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line="0" w:lineRule="atLeast"/>
        <w:rPr>
          <w:rFonts w:hint="default" w:ascii="Times New Roman" w:hAnsi="Times New Roman" w:eastAsia="仿宋_GB2312" w:cs="Times New Roman"/>
          <w:b/>
          <w:color w:val="auto"/>
          <w:sz w:val="44"/>
          <w:szCs w:val="44"/>
          <w:lang w:val="en-US" w:eastAsia="zh-CN"/>
        </w:rPr>
      </w:pPr>
      <w:r>
        <w:rPr>
          <w:rFonts w:ascii="Times New Roman" w:hAnsi="Times New Roman" w:eastAsia="仿宋_GB2312" w:cs="Times New Roman"/>
          <w:color w:val="auto"/>
          <w:kern w:val="0"/>
          <w:sz w:val="28"/>
          <w:szCs w:val="32"/>
        </w:rPr>
        <w:t>水保方案（川）字第0148号                         BC-202</w:t>
      </w:r>
      <w:r>
        <w:rPr>
          <w:rFonts w:hint="eastAsia" w:ascii="Times New Roman" w:hAnsi="Times New Roman" w:eastAsia="仿宋_GB2312" w:cs="Times New Roman"/>
          <w:color w:val="auto"/>
          <w:kern w:val="0"/>
          <w:sz w:val="28"/>
          <w:szCs w:val="32"/>
          <w:lang w:val="en-US" w:eastAsia="zh-CN"/>
        </w:rPr>
        <w:t>2</w:t>
      </w:r>
      <w:r>
        <w:rPr>
          <w:rFonts w:ascii="Times New Roman" w:hAnsi="Times New Roman" w:eastAsia="仿宋_GB2312" w:cs="Times New Roman"/>
          <w:color w:val="auto"/>
          <w:kern w:val="0"/>
          <w:sz w:val="28"/>
          <w:szCs w:val="32"/>
        </w:rPr>
        <w:t>-</w:t>
      </w:r>
      <w:r>
        <w:rPr>
          <w:rFonts w:hint="eastAsia" w:ascii="Times New Roman" w:hAnsi="Times New Roman" w:eastAsia="仿宋_GB2312" w:cs="Times New Roman"/>
          <w:color w:val="auto"/>
          <w:kern w:val="0"/>
          <w:sz w:val="28"/>
          <w:szCs w:val="32"/>
          <w:lang w:val="en-US" w:eastAsia="zh-CN"/>
        </w:rPr>
        <w:t>33</w:t>
      </w:r>
    </w:p>
    <w:p>
      <w:pPr>
        <w:spacing w:before="120" w:beforeLines="50" w:line="0" w:lineRule="atLeast"/>
        <w:jc w:val="center"/>
        <w:rPr>
          <w:rFonts w:ascii="Times New Roman" w:hAnsi="Times New Roman" w:eastAsia="仿宋_GB2312" w:cs="Times New Roman"/>
          <w:b/>
          <w:color w:val="auto"/>
          <w:sz w:val="44"/>
          <w:szCs w:val="44"/>
        </w:rPr>
      </w:pPr>
    </w:p>
    <w:p>
      <w:pPr>
        <w:spacing w:before="120" w:beforeLines="50" w:line="0" w:lineRule="atLeast"/>
        <w:jc w:val="center"/>
        <w:rPr>
          <w:rFonts w:ascii="Times New Roman" w:hAnsi="Times New Roman" w:eastAsia="仿宋_GB2312" w:cs="Times New Roman"/>
          <w:b/>
          <w:color w:val="auto"/>
          <w:sz w:val="52"/>
          <w:szCs w:val="44"/>
        </w:rPr>
      </w:pPr>
    </w:p>
    <w:p>
      <w:pPr>
        <w:snapToGrid w:val="0"/>
        <w:spacing w:line="360" w:lineRule="auto"/>
        <w:jc w:val="center"/>
        <w:rPr>
          <w:rFonts w:hint="eastAsia" w:ascii="Times New Roman" w:hAnsi="Times New Roman" w:eastAsia="宋体" w:cs="Times New Roman"/>
          <w:b/>
          <w:color w:val="auto"/>
          <w:sz w:val="44"/>
          <w:szCs w:val="44"/>
          <w:lang w:val="en-US" w:eastAsia="zh-CN"/>
        </w:rPr>
      </w:pPr>
      <w:r>
        <w:rPr>
          <w:rFonts w:hint="eastAsia" w:ascii="Times New Roman" w:hAnsi="Times New Roman" w:eastAsia="宋体" w:cs="Times New Roman"/>
          <w:b/>
          <w:color w:val="auto"/>
          <w:sz w:val="44"/>
          <w:szCs w:val="44"/>
          <w:lang w:val="en-US" w:eastAsia="zh-CN"/>
        </w:rPr>
        <w:t>德页1井</w:t>
      </w:r>
      <w:r>
        <w:rPr>
          <w:rFonts w:ascii="Times New Roman" w:hAnsi="Times New Roman" w:eastAsia="宋体" w:cs="Times New Roman"/>
          <w:b/>
          <w:color w:val="auto"/>
          <w:sz w:val="44"/>
          <w:szCs w:val="44"/>
        </w:rPr>
        <w:t>钻前工程</w:t>
      </w:r>
    </w:p>
    <w:p>
      <w:pPr>
        <w:spacing w:line="480" w:lineRule="auto"/>
        <w:jc w:val="center"/>
        <w:rPr>
          <w:rFonts w:hint="eastAsia" w:ascii="Times New Roman" w:hAnsi="Times New Roman" w:eastAsia="黑体" w:cs="Times New Roman"/>
          <w:color w:val="auto"/>
          <w:sz w:val="72"/>
          <w:szCs w:val="72"/>
          <w:lang w:eastAsia="zh-CN"/>
        </w:rPr>
      </w:pPr>
      <w:r>
        <w:rPr>
          <w:rFonts w:ascii="Times New Roman" w:hAnsi="Times New Roman" w:eastAsia="黑体" w:cs="Times New Roman"/>
          <w:color w:val="auto"/>
          <w:sz w:val="72"/>
          <w:szCs w:val="72"/>
        </w:rPr>
        <w:t>水土保持方案</w:t>
      </w:r>
      <w:r>
        <w:rPr>
          <w:rFonts w:hint="eastAsia" w:ascii="Times New Roman" w:hAnsi="Times New Roman" w:eastAsia="黑体" w:cs="Times New Roman"/>
          <w:color w:val="auto"/>
          <w:sz w:val="72"/>
          <w:szCs w:val="72"/>
          <w:lang w:eastAsia="zh-CN"/>
        </w:rPr>
        <w:t>报告表</w:t>
      </w:r>
    </w:p>
    <w:p>
      <w:pPr>
        <w:jc w:val="center"/>
        <w:rPr>
          <w:rFonts w:ascii="Times New Roman" w:hAnsi="Times New Roman" w:eastAsia="仿宋_GB2312" w:cs="Times New Roman"/>
          <w:color w:val="auto"/>
          <w:sz w:val="28"/>
          <w:szCs w:val="28"/>
        </w:rPr>
      </w:pPr>
    </w:p>
    <w:p>
      <w:pPr>
        <w:jc w:val="center"/>
        <w:rPr>
          <w:rFonts w:ascii="Times New Roman" w:hAnsi="Times New Roman" w:eastAsia="仿宋_GB2312" w:cs="Times New Roman"/>
          <w:color w:val="auto"/>
        </w:rPr>
      </w:pPr>
    </w:p>
    <w:p>
      <w:pPr>
        <w:jc w:val="both"/>
        <w:rPr>
          <w:rFonts w:ascii="Times New Roman" w:hAnsi="Times New Roman" w:eastAsia="仿宋_GB2312" w:cs="Times New Roman"/>
          <w:b/>
          <w:color w:val="auto"/>
          <w:sz w:val="72"/>
          <w:szCs w:val="44"/>
        </w:rPr>
      </w:pPr>
    </w:p>
    <w:p>
      <w:pPr>
        <w:jc w:val="center"/>
        <w:rPr>
          <w:rFonts w:ascii="Times New Roman" w:hAnsi="Times New Roman" w:eastAsia="仿宋_GB2312" w:cs="Times New Roman"/>
          <w:b/>
          <w:color w:val="auto"/>
          <w:sz w:val="72"/>
          <w:szCs w:val="44"/>
        </w:rPr>
      </w:pPr>
    </w:p>
    <w:p>
      <w:pPr>
        <w:jc w:val="center"/>
        <w:rPr>
          <w:rFonts w:ascii="Times New Roman" w:hAnsi="Times New Roman" w:eastAsia="仿宋_GB2312" w:cs="Times New Roman"/>
          <w:b/>
          <w:color w:val="auto"/>
          <w:sz w:val="72"/>
          <w:szCs w:val="44"/>
        </w:rPr>
      </w:pPr>
    </w:p>
    <w:p>
      <w:pPr>
        <w:pStyle w:val="2"/>
        <w:rPr>
          <w:rFonts w:ascii="Times New Roman" w:hAnsi="Times New Roman" w:eastAsia="仿宋_GB2312" w:cs="Times New Roman"/>
          <w:b/>
          <w:color w:val="auto"/>
          <w:sz w:val="72"/>
          <w:szCs w:val="44"/>
        </w:rPr>
      </w:pPr>
    </w:p>
    <w:p>
      <w:pPr>
        <w:pStyle w:val="3"/>
        <w:rPr>
          <w:color w:val="auto"/>
        </w:rPr>
      </w:pPr>
    </w:p>
    <w:p>
      <w:pPr>
        <w:jc w:val="center"/>
        <w:rPr>
          <w:rFonts w:ascii="Times New Roman" w:hAnsi="Times New Roman" w:eastAsia="仿宋_GB2312" w:cs="Times New Roman"/>
          <w:b/>
          <w:color w:val="auto"/>
          <w:sz w:val="72"/>
          <w:szCs w:val="44"/>
        </w:rPr>
      </w:pPr>
    </w:p>
    <w:p>
      <w:pPr>
        <w:jc w:val="center"/>
        <w:rPr>
          <w:rFonts w:ascii="Times New Roman" w:hAnsi="Times New Roman" w:eastAsia="仿宋_GB2312" w:cs="Times New Roman"/>
          <w:b/>
          <w:color w:val="auto"/>
          <w:sz w:val="72"/>
          <w:szCs w:val="44"/>
        </w:rPr>
      </w:pPr>
    </w:p>
    <w:tbl>
      <w:tblPr>
        <w:tblStyle w:val="40"/>
        <w:tblW w:w="831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693"/>
        <w:gridCol w:w="6623"/>
      </w:tblGrid>
      <w:tr>
        <w:tblPrEx>
          <w:tblCellMar>
            <w:top w:w="0" w:type="dxa"/>
            <w:left w:w="0" w:type="dxa"/>
            <w:bottom w:w="0" w:type="dxa"/>
            <w:right w:w="0" w:type="dxa"/>
          </w:tblCellMar>
        </w:tblPrEx>
        <w:trPr>
          <w:jc w:val="center"/>
        </w:trPr>
        <w:tc>
          <w:tcPr>
            <w:tcW w:w="1693" w:type="dxa"/>
          </w:tcPr>
          <w:p>
            <w:pPr>
              <w:spacing w:line="360" w:lineRule="auto"/>
              <w:jc w:val="center"/>
              <w:rPr>
                <w:rFonts w:ascii="Times New Roman" w:hAnsi="Times New Roman" w:eastAsia="仿宋_GB2312" w:cs="Times New Roman"/>
                <w:bCs/>
                <w:snapToGrid w:val="0"/>
                <w:color w:val="auto"/>
                <w:kern w:val="0"/>
                <w:sz w:val="32"/>
                <w:szCs w:val="32"/>
                <w:lang w:val="zh-CN"/>
              </w:rPr>
            </w:pPr>
            <w:r>
              <w:rPr>
                <w:rFonts w:ascii="Times New Roman" w:hAnsi="Times New Roman" w:eastAsia="仿宋_GB2312" w:cs="Times New Roman"/>
                <w:bCs/>
                <w:snapToGrid w:val="0"/>
                <w:color w:val="auto"/>
                <w:kern w:val="0"/>
                <w:sz w:val="32"/>
                <w:szCs w:val="32"/>
                <w:lang w:val="zh-CN"/>
              </w:rPr>
              <w:t>建设单位：</w:t>
            </w:r>
          </w:p>
        </w:tc>
        <w:tc>
          <w:tcPr>
            <w:tcW w:w="6623" w:type="dxa"/>
          </w:tcPr>
          <w:p>
            <w:pPr>
              <w:spacing w:line="360" w:lineRule="auto"/>
              <w:jc w:val="center"/>
              <w:rPr>
                <w:rFonts w:hint="default" w:ascii="Times New Roman" w:hAnsi="Times New Roman" w:eastAsia="仿宋_GB2312" w:cs="Times New Roman"/>
                <w:bCs/>
                <w:snapToGrid w:val="0"/>
                <w:color w:val="auto"/>
                <w:kern w:val="0"/>
                <w:sz w:val="32"/>
                <w:szCs w:val="32"/>
                <w:lang w:val="en-US" w:eastAsia="zh-CN"/>
              </w:rPr>
            </w:pPr>
            <w:r>
              <w:rPr>
                <w:rFonts w:hint="eastAsia" w:ascii="Times New Roman" w:hAnsi="Times New Roman" w:eastAsia="仿宋_GB2312" w:cs="Times New Roman"/>
                <w:bCs/>
                <w:snapToGrid w:val="0"/>
                <w:color w:val="auto"/>
                <w:kern w:val="0"/>
                <w:sz w:val="32"/>
                <w:szCs w:val="32"/>
                <w:lang w:val="en-US" w:eastAsia="zh-CN"/>
              </w:rPr>
              <w:t>大庆油田有限责任公司勘探事业部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1693" w:type="dxa"/>
          </w:tcPr>
          <w:p>
            <w:pPr>
              <w:spacing w:line="360" w:lineRule="auto"/>
              <w:rPr>
                <w:rFonts w:ascii="Times New Roman" w:hAnsi="Times New Roman" w:eastAsia="仿宋_GB2312" w:cs="Times New Roman"/>
                <w:bCs/>
                <w:snapToGrid w:val="0"/>
                <w:color w:val="auto"/>
                <w:kern w:val="0"/>
                <w:sz w:val="32"/>
                <w:szCs w:val="32"/>
                <w:lang w:val="zh-CN"/>
              </w:rPr>
            </w:pPr>
            <w:r>
              <w:rPr>
                <w:rFonts w:ascii="Times New Roman" w:hAnsi="Times New Roman" w:eastAsia="仿宋_GB2312" w:cs="Times New Roman"/>
                <w:bCs/>
                <w:snapToGrid w:val="0"/>
                <w:color w:val="auto"/>
                <w:kern w:val="0"/>
                <w:sz w:val="32"/>
                <w:szCs w:val="32"/>
                <w:lang w:val="zh-CN"/>
              </w:rPr>
              <w:t>编制单位：</w:t>
            </w:r>
          </w:p>
        </w:tc>
        <w:tc>
          <w:tcPr>
            <w:tcW w:w="6623" w:type="dxa"/>
          </w:tcPr>
          <w:p>
            <w:pPr>
              <w:spacing w:line="360" w:lineRule="auto"/>
              <w:jc w:val="center"/>
              <w:rPr>
                <w:rFonts w:ascii="Times New Roman" w:hAnsi="Times New Roman" w:eastAsia="仿宋_GB2312" w:cs="Times New Roman"/>
                <w:bCs/>
                <w:snapToGrid w:val="0"/>
                <w:color w:val="auto"/>
                <w:kern w:val="0"/>
                <w:sz w:val="32"/>
                <w:szCs w:val="32"/>
                <w:lang w:val="zh-CN"/>
              </w:rPr>
            </w:pPr>
            <w:r>
              <w:rPr>
                <w:rFonts w:ascii="Times New Roman" w:hAnsi="Times New Roman" w:eastAsia="仿宋_GB2312" w:cs="Times New Roman"/>
                <w:bCs/>
                <w:snapToGrid w:val="0"/>
                <w:color w:val="auto"/>
                <w:kern w:val="0"/>
                <w:sz w:val="32"/>
                <w:szCs w:val="32"/>
                <w:lang w:val="zh-CN"/>
              </w:rPr>
              <w:t>四川</w:t>
            </w:r>
            <w:r>
              <w:rPr>
                <w:rFonts w:ascii="Times New Roman" w:hAnsi="Times New Roman" w:eastAsia="仿宋_GB2312" w:cs="Times New Roman"/>
                <w:bCs/>
                <w:snapToGrid w:val="0"/>
                <w:color w:val="auto"/>
                <w:kern w:val="0"/>
                <w:sz w:val="32"/>
                <w:szCs w:val="32"/>
              </w:rPr>
              <w:t>保川</w:t>
            </w:r>
            <w:r>
              <w:rPr>
                <w:rFonts w:ascii="Times New Roman" w:hAnsi="Times New Roman" w:eastAsia="仿宋_GB2312" w:cs="Times New Roman"/>
                <w:bCs/>
                <w:snapToGrid w:val="0"/>
                <w:color w:val="auto"/>
                <w:kern w:val="0"/>
                <w:sz w:val="32"/>
                <w:szCs w:val="32"/>
                <w:lang w:val="zh-CN"/>
              </w:rPr>
              <w:t>工程勘察设计有限公司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316" w:type="dxa"/>
            <w:gridSpan w:val="2"/>
          </w:tcPr>
          <w:p>
            <w:pPr>
              <w:adjustRightInd w:val="0"/>
              <w:snapToGrid w:val="0"/>
              <w:spacing w:line="360" w:lineRule="auto"/>
              <w:jc w:val="center"/>
              <w:rPr>
                <w:rFonts w:ascii="Times New Roman" w:hAnsi="Times New Roman" w:eastAsia="仿宋_GB2312" w:cs="Times New Roman"/>
                <w:bCs/>
                <w:snapToGrid w:val="0"/>
                <w:color w:val="auto"/>
                <w:kern w:val="0"/>
                <w:sz w:val="32"/>
                <w:szCs w:val="32"/>
                <w:lang w:val="zh-CN"/>
              </w:rPr>
            </w:pPr>
            <w:r>
              <w:rPr>
                <w:rFonts w:ascii="Times New Roman" w:hAnsi="Times New Roman" w:eastAsia="仿宋_GB2312" w:cs="Times New Roman"/>
                <w:bCs/>
                <w:snapToGrid w:val="0"/>
                <w:color w:val="auto"/>
                <w:kern w:val="0"/>
                <w:sz w:val="32"/>
                <w:szCs w:val="32"/>
                <w:lang w:val="zh-CN"/>
              </w:rPr>
              <w:t xml:space="preserve">  20</w:t>
            </w:r>
            <w:r>
              <w:rPr>
                <w:rFonts w:ascii="Times New Roman" w:hAnsi="Times New Roman" w:eastAsia="仿宋_GB2312" w:cs="Times New Roman"/>
                <w:bCs/>
                <w:snapToGrid w:val="0"/>
                <w:color w:val="auto"/>
                <w:kern w:val="0"/>
                <w:sz w:val="32"/>
                <w:szCs w:val="32"/>
              </w:rPr>
              <w:t>22</w:t>
            </w:r>
            <w:r>
              <w:rPr>
                <w:rFonts w:ascii="Times New Roman" w:hAnsi="Times New Roman" w:eastAsia="仿宋_GB2312" w:cs="Times New Roman"/>
                <w:bCs/>
                <w:snapToGrid w:val="0"/>
                <w:color w:val="auto"/>
                <w:kern w:val="0"/>
                <w:sz w:val="32"/>
                <w:szCs w:val="32"/>
                <w:lang w:val="zh-CN"/>
              </w:rPr>
              <w:t>年</w:t>
            </w:r>
            <w:r>
              <w:rPr>
                <w:rFonts w:hint="eastAsia" w:ascii="Times New Roman" w:hAnsi="Times New Roman" w:eastAsia="仿宋_GB2312" w:cs="Times New Roman"/>
                <w:bCs/>
                <w:snapToGrid w:val="0"/>
                <w:color w:val="auto"/>
                <w:kern w:val="0"/>
                <w:sz w:val="32"/>
                <w:szCs w:val="32"/>
                <w:lang w:val="en-US" w:eastAsia="zh-CN"/>
              </w:rPr>
              <w:t>8</w:t>
            </w:r>
            <w:r>
              <w:rPr>
                <w:rFonts w:ascii="Times New Roman" w:hAnsi="Times New Roman" w:eastAsia="仿宋_GB2312" w:cs="Times New Roman"/>
                <w:bCs/>
                <w:snapToGrid w:val="0"/>
                <w:color w:val="auto"/>
                <w:kern w:val="0"/>
                <w:sz w:val="32"/>
                <w:szCs w:val="32"/>
                <w:lang w:val="zh-CN"/>
              </w:rPr>
              <w:t>月</w:t>
            </w:r>
          </w:p>
        </w:tc>
      </w:tr>
    </w:tbl>
    <w:p>
      <w:pPr>
        <w:rPr>
          <w:rFonts w:ascii="Times New Roman" w:hAnsi="Times New Roman" w:cs="Times New Roman"/>
          <w:color w:val="auto"/>
        </w:rPr>
      </w:pPr>
    </w:p>
    <w:p>
      <w:pPr>
        <w:spacing w:before="120" w:beforeLines="50" w:line="0" w:lineRule="atLeast"/>
        <w:rPr>
          <w:rFonts w:ascii="Times New Roman" w:hAnsi="Times New Roman" w:eastAsia="仿宋_GB2312" w:cs="Times New Roman"/>
          <w:b/>
          <w:color w:val="auto"/>
          <w:sz w:val="44"/>
          <w:szCs w:val="44"/>
        </w:rPr>
      </w:pPr>
    </w:p>
    <w:p>
      <w:pPr>
        <w:spacing w:before="120" w:beforeLines="50" w:line="0" w:lineRule="atLeast"/>
        <w:jc w:val="center"/>
        <w:rPr>
          <w:rFonts w:ascii="Times New Roman" w:hAnsi="Times New Roman" w:eastAsia="仿宋_GB2312" w:cs="Times New Roman"/>
          <w:b/>
          <w:color w:val="auto"/>
          <w:sz w:val="44"/>
          <w:szCs w:val="44"/>
        </w:rPr>
      </w:pPr>
    </w:p>
    <w:p>
      <w:pPr>
        <w:spacing w:before="120" w:beforeLines="50" w:line="0" w:lineRule="atLeast"/>
        <w:jc w:val="center"/>
        <w:rPr>
          <w:rFonts w:ascii="Times New Roman" w:hAnsi="Times New Roman" w:eastAsia="仿宋_GB2312" w:cs="Times New Roman"/>
          <w:b/>
          <w:color w:val="auto"/>
          <w:sz w:val="52"/>
          <w:szCs w:val="44"/>
        </w:rPr>
      </w:pPr>
    </w:p>
    <w:p>
      <w:pPr>
        <w:snapToGrid w:val="0"/>
        <w:spacing w:line="360" w:lineRule="auto"/>
        <w:jc w:val="center"/>
        <w:rPr>
          <w:rFonts w:ascii="Times New Roman" w:hAnsi="Times New Roman" w:eastAsia="宋体" w:cs="Times New Roman"/>
          <w:b/>
          <w:color w:val="auto"/>
          <w:sz w:val="44"/>
          <w:szCs w:val="44"/>
        </w:rPr>
      </w:pPr>
      <w:r>
        <w:rPr>
          <w:rFonts w:hint="eastAsia" w:ascii="Times New Roman" w:hAnsi="Times New Roman" w:eastAsia="宋体" w:cs="Times New Roman"/>
          <w:b/>
          <w:color w:val="auto"/>
          <w:sz w:val="44"/>
          <w:szCs w:val="44"/>
          <w:lang w:val="en-US" w:eastAsia="zh-CN"/>
        </w:rPr>
        <w:t>德页1井</w:t>
      </w:r>
      <w:r>
        <w:rPr>
          <w:rFonts w:ascii="Times New Roman" w:hAnsi="Times New Roman" w:eastAsia="宋体" w:cs="Times New Roman"/>
          <w:b/>
          <w:color w:val="auto"/>
          <w:sz w:val="44"/>
          <w:szCs w:val="44"/>
        </w:rPr>
        <w:t>钻前工程</w:t>
      </w:r>
    </w:p>
    <w:p>
      <w:pPr>
        <w:spacing w:line="480" w:lineRule="auto"/>
        <w:jc w:val="center"/>
        <w:rPr>
          <w:rFonts w:hint="eastAsia" w:ascii="Times New Roman" w:hAnsi="Times New Roman" w:eastAsia="黑体" w:cs="Times New Roman"/>
          <w:color w:val="auto"/>
          <w:sz w:val="72"/>
          <w:szCs w:val="72"/>
          <w:lang w:eastAsia="zh-CN"/>
        </w:rPr>
      </w:pPr>
      <w:r>
        <w:rPr>
          <w:rFonts w:ascii="Times New Roman" w:hAnsi="Times New Roman" w:eastAsia="黑体" w:cs="Times New Roman"/>
          <w:color w:val="auto"/>
          <w:sz w:val="72"/>
          <w:szCs w:val="72"/>
        </w:rPr>
        <w:t>水土保持方案</w:t>
      </w:r>
      <w:r>
        <w:rPr>
          <w:rFonts w:hint="eastAsia" w:ascii="Times New Roman" w:hAnsi="Times New Roman" w:eastAsia="黑体" w:cs="Times New Roman"/>
          <w:color w:val="auto"/>
          <w:sz w:val="72"/>
          <w:szCs w:val="72"/>
          <w:lang w:eastAsia="zh-CN"/>
        </w:rPr>
        <w:t>报告表</w:t>
      </w:r>
    </w:p>
    <w:p>
      <w:pPr>
        <w:spacing w:line="480" w:lineRule="auto"/>
        <w:jc w:val="center"/>
        <w:rPr>
          <w:rFonts w:ascii="Times New Roman" w:hAnsi="Times New Roman" w:eastAsia="宋体" w:cs="Times New Roman"/>
          <w:color w:val="auto"/>
          <w:sz w:val="44"/>
          <w:szCs w:val="44"/>
        </w:rPr>
      </w:pPr>
    </w:p>
    <w:p>
      <w:pPr>
        <w:pStyle w:val="2"/>
        <w:rPr>
          <w:rFonts w:ascii="Times New Roman" w:hAnsi="Times New Roman"/>
          <w:color w:val="auto"/>
        </w:rPr>
      </w:pPr>
    </w:p>
    <w:p>
      <w:pPr>
        <w:pStyle w:val="11"/>
        <w:rPr>
          <w:rFonts w:ascii="Times New Roman" w:hAnsi="Times New Roman"/>
          <w:color w:val="auto"/>
        </w:rPr>
      </w:pPr>
    </w:p>
    <w:p>
      <w:pPr>
        <w:jc w:val="center"/>
        <w:rPr>
          <w:rFonts w:ascii="Times New Roman" w:hAnsi="Times New Roman" w:eastAsia="仿宋_GB2312" w:cs="Times New Roman"/>
          <w:color w:val="auto"/>
          <w:sz w:val="28"/>
          <w:szCs w:val="28"/>
        </w:rPr>
      </w:pPr>
    </w:p>
    <w:p>
      <w:pPr>
        <w:jc w:val="center"/>
        <w:rPr>
          <w:rFonts w:ascii="Times New Roman" w:hAnsi="Times New Roman" w:cs="Times New Roman"/>
          <w:b/>
          <w:bCs/>
          <w:color w:val="auto"/>
          <w:sz w:val="32"/>
          <w:szCs w:val="32"/>
        </w:rPr>
      </w:pPr>
      <w:r>
        <w:rPr>
          <w:rFonts w:ascii="Times New Roman" w:hAnsi="Times New Roman" w:eastAsia="仿宋_GB2312" w:cs="Times New Roman"/>
          <w:color w:val="auto"/>
          <w:sz w:val="32"/>
          <w:szCs w:val="32"/>
        </w:rPr>
        <w:t xml:space="preserve"> </w:t>
      </w:r>
    </w:p>
    <w:p>
      <w:pPr>
        <w:jc w:val="center"/>
        <w:rPr>
          <w:rFonts w:ascii="Times New Roman" w:hAnsi="Times New Roman" w:eastAsia="仿宋_GB2312" w:cs="Times New Roman"/>
          <w:color w:val="auto"/>
        </w:rPr>
      </w:pPr>
    </w:p>
    <w:p>
      <w:pPr>
        <w:spacing w:before="120" w:beforeLines="50" w:line="0" w:lineRule="atLeast"/>
        <w:jc w:val="center"/>
        <w:rPr>
          <w:rFonts w:ascii="Times New Roman" w:hAnsi="Times New Roman" w:eastAsia="仿宋_GB2312" w:cs="Times New Roman"/>
          <w:b/>
          <w:color w:val="auto"/>
          <w:sz w:val="40"/>
          <w:szCs w:val="44"/>
        </w:rPr>
      </w:pPr>
    </w:p>
    <w:p>
      <w:pPr>
        <w:jc w:val="center"/>
        <w:rPr>
          <w:rFonts w:ascii="Times New Roman" w:hAnsi="Times New Roman" w:eastAsia="仿宋_GB2312" w:cs="Times New Roman"/>
          <w:b/>
          <w:color w:val="auto"/>
          <w:sz w:val="72"/>
          <w:szCs w:val="44"/>
        </w:rPr>
      </w:pPr>
    </w:p>
    <w:p>
      <w:pPr>
        <w:jc w:val="center"/>
        <w:rPr>
          <w:rFonts w:ascii="Times New Roman" w:hAnsi="Times New Roman" w:eastAsia="仿宋_GB2312" w:cs="Times New Roman"/>
          <w:b/>
          <w:color w:val="auto"/>
          <w:sz w:val="72"/>
          <w:szCs w:val="44"/>
        </w:rPr>
      </w:pPr>
    </w:p>
    <w:p>
      <w:pPr>
        <w:jc w:val="both"/>
        <w:rPr>
          <w:rFonts w:ascii="Times New Roman" w:hAnsi="Times New Roman" w:eastAsia="仿宋_GB2312" w:cs="Times New Roman"/>
          <w:b/>
          <w:color w:val="auto"/>
          <w:sz w:val="72"/>
          <w:szCs w:val="44"/>
        </w:rPr>
      </w:pPr>
    </w:p>
    <w:p>
      <w:pPr>
        <w:jc w:val="center"/>
        <w:rPr>
          <w:rFonts w:ascii="Times New Roman" w:hAnsi="Times New Roman" w:eastAsia="仿宋_GB2312" w:cs="Times New Roman"/>
          <w:b/>
          <w:color w:val="auto"/>
          <w:sz w:val="72"/>
          <w:szCs w:val="44"/>
        </w:rPr>
      </w:pPr>
    </w:p>
    <w:tbl>
      <w:tblPr>
        <w:tblStyle w:val="40"/>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69"/>
        <w:gridCol w:w="66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9" w:type="dxa"/>
            <w:vAlign w:val="center"/>
          </w:tcPr>
          <w:p>
            <w:pPr>
              <w:spacing w:line="360" w:lineRule="auto"/>
              <w:jc w:val="center"/>
              <w:rPr>
                <w:rFonts w:ascii="Times New Roman" w:hAnsi="Times New Roman" w:eastAsia="仿宋_GB2312" w:cs="Times New Roman"/>
                <w:color w:val="auto"/>
                <w:sz w:val="24"/>
                <w:szCs w:val="21"/>
              </w:rPr>
            </w:pPr>
            <w:r>
              <w:rPr>
                <w:rFonts w:ascii="Times New Roman" w:hAnsi="Times New Roman" w:eastAsia="仿宋_GB2312" w:cs="Times New Roman"/>
                <w:color w:val="auto"/>
                <w:sz w:val="32"/>
                <w:szCs w:val="32"/>
              </w:rPr>
              <w:t>建设单位：</w:t>
            </w:r>
          </w:p>
        </w:tc>
        <w:tc>
          <w:tcPr>
            <w:tcW w:w="6664" w:type="dxa"/>
            <w:vAlign w:val="center"/>
          </w:tcPr>
          <w:p>
            <w:pPr>
              <w:spacing w:line="360" w:lineRule="auto"/>
              <w:jc w:val="center"/>
              <w:rPr>
                <w:rFonts w:ascii="Times New Roman" w:hAnsi="Times New Roman" w:eastAsia="仿宋_GB2312" w:cs="Times New Roman"/>
                <w:color w:val="auto"/>
                <w:sz w:val="24"/>
                <w:szCs w:val="21"/>
              </w:rPr>
            </w:pPr>
            <w:r>
              <w:rPr>
                <w:rFonts w:hint="eastAsia" w:ascii="Times New Roman" w:hAnsi="Times New Roman" w:eastAsia="仿宋_GB2312" w:cs="Times New Roman"/>
                <w:bCs/>
                <w:snapToGrid w:val="0"/>
                <w:color w:val="auto"/>
                <w:kern w:val="0"/>
                <w:sz w:val="32"/>
                <w:szCs w:val="32"/>
                <w:lang w:val="en-US" w:eastAsia="zh-CN"/>
              </w:rPr>
              <w:t>大庆油田有限责任公司勘探事业部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69" w:type="dxa"/>
            <w:vAlign w:val="center"/>
          </w:tcPr>
          <w:p>
            <w:pPr>
              <w:spacing w:line="360" w:lineRule="auto"/>
              <w:jc w:val="center"/>
              <w:rPr>
                <w:rFonts w:ascii="Times New Roman" w:hAnsi="Times New Roman" w:eastAsia="仿宋_GB2312" w:cs="Times New Roman"/>
                <w:color w:val="auto"/>
                <w:sz w:val="24"/>
                <w:szCs w:val="21"/>
              </w:rPr>
            </w:pPr>
            <w:r>
              <w:rPr>
                <w:rFonts w:ascii="Times New Roman" w:hAnsi="Times New Roman" w:eastAsia="仿宋_GB2312" w:cs="Times New Roman"/>
                <w:color w:val="auto"/>
                <w:sz w:val="32"/>
                <w:szCs w:val="32"/>
              </w:rPr>
              <w:t>编制单位：</w:t>
            </w:r>
          </w:p>
        </w:tc>
        <w:tc>
          <w:tcPr>
            <w:tcW w:w="6664" w:type="dxa"/>
            <w:vAlign w:val="center"/>
          </w:tcPr>
          <w:p>
            <w:pPr>
              <w:spacing w:line="360" w:lineRule="auto"/>
              <w:jc w:val="center"/>
              <w:rPr>
                <w:rFonts w:ascii="Times New Roman" w:hAnsi="Times New Roman" w:eastAsia="仿宋_GB2312" w:cs="Times New Roman"/>
                <w:color w:val="auto"/>
                <w:sz w:val="24"/>
                <w:szCs w:val="21"/>
              </w:rPr>
            </w:pPr>
            <w:r>
              <w:rPr>
                <w:rFonts w:ascii="Times New Roman" w:hAnsi="Times New Roman" w:eastAsia="仿宋_GB2312" w:cs="Times New Roman"/>
                <w:color w:val="auto"/>
                <w:sz w:val="32"/>
                <w:szCs w:val="32"/>
              </w:rPr>
              <w:t>四川保川工程勘察设计有限公司</w:t>
            </w:r>
          </w:p>
        </w:tc>
      </w:tr>
    </w:tbl>
    <w:p>
      <w:pPr>
        <w:spacing w:line="276" w:lineRule="auto"/>
        <w:jc w:val="center"/>
        <w:rPr>
          <w:rFonts w:ascii="Times New Roman" w:hAnsi="Times New Roman" w:eastAsia="仿宋_GB2312" w:cs="Times New Roman"/>
          <w:b/>
          <w:color w:val="auto"/>
        </w:rPr>
      </w:pPr>
      <w:r>
        <w:rPr>
          <w:rFonts w:ascii="Times New Roman" w:hAnsi="Times New Roman" w:eastAsia="仿宋_GB2312" w:cs="Times New Roman"/>
          <w:b/>
          <w:color w:val="auto"/>
        </w:rPr>
        <mc:AlternateContent>
          <mc:Choice Requires="wps">
            <w:drawing>
              <wp:anchor distT="0" distB="0" distL="114300" distR="114300" simplePos="0" relativeHeight="251660288" behindDoc="0" locked="0" layoutInCell="1" allowOverlap="1">
                <wp:simplePos x="0" y="0"/>
                <wp:positionH relativeFrom="column">
                  <wp:posOffset>-248285</wp:posOffset>
                </wp:positionH>
                <wp:positionV relativeFrom="paragraph">
                  <wp:posOffset>2015490</wp:posOffset>
                </wp:positionV>
                <wp:extent cx="5687695" cy="1168400"/>
                <wp:effectExtent l="0" t="1619250" r="0" b="1612900"/>
                <wp:wrapNone/>
                <wp:docPr id="15" name="文本框 15"/>
                <wp:cNvGraphicFramePr/>
                <a:graphic xmlns:a="http://schemas.openxmlformats.org/drawingml/2006/main">
                  <a:graphicData uri="http://schemas.microsoft.com/office/word/2010/wordprocessingShape">
                    <wps:wsp>
                      <wps:cNvSpPr txBox="1"/>
                      <wps:spPr>
                        <a:xfrm rot="2354689">
                          <a:off x="0" y="0"/>
                          <a:ext cx="5687695" cy="1168400"/>
                        </a:xfrm>
                        <a:prstGeom prst="rect">
                          <a:avLst/>
                        </a:prstGeom>
                        <a:noFill/>
                        <a:ln w="6350">
                          <a:noFill/>
                        </a:ln>
                        <a:effectLst/>
                      </wps:spPr>
                      <wps:txbx>
                        <w:txbxContent>
                          <w:p>
                            <w:pPr>
                              <w:jc w:val="center"/>
                              <w:rPr>
                                <w:rFonts w:ascii="Times New Roman" w:hAnsi="Times New Roman"/>
                                <w:color w:val="FF0000"/>
                                <w:sz w:val="52"/>
                                <w:szCs w:val="52"/>
                              </w:rPr>
                            </w:pPr>
                            <w:r>
                              <w:rPr>
                                <w:rFonts w:hint="eastAsia" w:ascii="Times New Roman" w:hAnsi="Times New Roman"/>
                                <w:color w:val="FF0000"/>
                                <w:sz w:val="40"/>
                                <w:szCs w:val="52"/>
                              </w:rPr>
                              <w:t>仅用于</w:t>
                            </w:r>
                            <w:r>
                              <w:rPr>
                                <w:rFonts w:hint="eastAsia" w:ascii="Times New Roman" w:hAnsi="Times New Roman"/>
                                <w:color w:val="FF0000"/>
                                <w:sz w:val="40"/>
                                <w:szCs w:val="52"/>
                                <w:lang w:val="en-US" w:eastAsia="zh-CN"/>
                              </w:rPr>
                              <w:t>德页1井</w:t>
                            </w:r>
                            <w:r>
                              <w:rPr>
                                <w:rFonts w:ascii="Times New Roman" w:hAnsi="Times New Roman"/>
                                <w:color w:val="FF0000"/>
                                <w:sz w:val="40"/>
                                <w:szCs w:val="52"/>
                              </w:rPr>
                              <w:t>钻</w:t>
                            </w:r>
                            <w:r>
                              <w:rPr>
                                <w:rFonts w:hint="eastAsia" w:ascii="Times New Roman" w:hAnsi="Times New Roman"/>
                                <w:color w:val="FF0000"/>
                                <w:sz w:val="40"/>
                                <w:szCs w:val="52"/>
                              </w:rPr>
                              <w:t>前</w:t>
                            </w:r>
                            <w:r>
                              <w:rPr>
                                <w:rFonts w:ascii="Times New Roman" w:hAnsi="Times New Roman"/>
                                <w:color w:val="FF0000"/>
                                <w:sz w:val="40"/>
                                <w:szCs w:val="52"/>
                              </w:rPr>
                              <w:t>工程</w:t>
                            </w:r>
                            <w:r>
                              <w:rPr>
                                <w:rFonts w:hint="eastAsia" w:ascii="Times New Roman" w:hAnsi="Times New Roman"/>
                                <w:color w:val="FF0000"/>
                                <w:sz w:val="40"/>
                                <w:szCs w:val="52"/>
                              </w:rPr>
                              <w:t>水土保持方案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55pt;margin-top:158.7pt;height:92pt;width:447.85pt;rotation:2571948f;z-index:251660288;mso-width-relative:page;mso-height-relative:page;" filled="f" stroked="f" coordsize="21600,21600" o:gfxdata="UEsDBAoAAAAAAIdO4kAAAAAAAAAAAAAAAAAEAAAAZHJzL1BLAwQUAAAACACHTuJAFpzbadwAAAAL&#10;AQAADwAAAGRycy9kb3ducmV2LnhtbE2PwU7DMBBE70j8g7VI3FrbTZuWkE0PRUgIDoUWiauTGCci&#10;Xkex04Z+PeYEx9U8zbzNt5Pt2EkPvnWEIOcCmKbK1S0ZhPfj42wDzAdFteocaYRv7WFbXF/lKqvd&#10;md706RAMiyXkM4XQhNBnnPuq0Vb5ues1xezTDVaFeA6G14M6x3Lb8YUQKbeqpbjQqF7vGl19HUaL&#10;cPnYJ7vSP7Sjubw8TfvxNV08G8TbGynugQU9hT8YfvWjOhTRqXQj1Z51CLPkTkYUIZHrJbBIbFZp&#10;CqxEWAm5BF7k/P8PxQ9QSwMEFAAAAAgAh07iQI4dzUxOAgAAhQQAAA4AAABkcnMvZTJvRG9jLnht&#10;bK1UzW4TMRC+I/EOlu90kzRJ0yibKjQqQopopYI4O15vdiX/YTvdDQ8Ab9ATF+48V5+Dz94kRIVD&#10;D1ys8czsN/N9M97ZVaskeRDO10bntH/Wo0Robopab3L66ePNmwklPjBdMGm0yOlOeHo1f/1q1tip&#10;GJjKyEI4AhDtp43NaRWCnWaZ55VQzJ8ZKzSCpXGKBVzdJisca4CuZDbo9cZZY1xhneHCe3iXXZDu&#10;Ed1LAE1Z1lwsDd8qoUOH6oRkAZR8VVtP56nbshQ83JalF4HInIJpSCeKwF7HM5vP2HTjmK1qvm+B&#10;vaSFZ5wUqzWKHqGWLDCydfVfUKrmznhThjNuVNYRSYqARb/3TJv7ilmRuEBqb4+i+/8Hyz883DlS&#10;F9iEESWaKUz86fH7049fTz+/EfggUGP9FHn3FpmhfWtaJB/8Hs7Iuy2dIs5A38H5aDieXCY1wI8g&#10;G2LvjmKLNhAO52g8uRhfoihHrN8fT4a9NI6sA4ug1vnwThhFopFTh2kmWPaw8gGNIfWQEtO1uaml&#10;TBOVmjQ5HZ+PeumDYwRfSB1zRdqNPUwk2BGJVmjX7Z712hQ7kE68QMJbflOjlRXz4Y45LAqceErh&#10;FkcpDUqavUVJZdzXf/ljPuaHKCUNFi+n/suWOUGJfK8x2cv+cAjYkC7D0cUAF3caWZ9G9FZdG+x2&#10;P3WXzJgf5MEsnVGf8eIWsSpCTHPUzmk4mNehew54sVwsFikJu2lZWOl7yyN0J+5iG0xZJ92jTJ02&#10;GEK8YDvTOPYvKa7/6T1l/fl7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pzbadwAAAALAQAA&#10;DwAAAAAAAAABACAAAAAiAAAAZHJzL2Rvd25yZXYueG1sUEsBAhQAFAAAAAgAh07iQI4dzUxOAgAA&#10;hQQAAA4AAAAAAAAAAQAgAAAAKwEAAGRycy9lMm9Eb2MueG1sUEsFBgAAAAAGAAYAWQEAAOsFAAAA&#10;AA==&#10;">
                <v:fill on="f" focussize="0,0"/>
                <v:stroke on="f" weight="0.5pt"/>
                <v:imagedata o:title=""/>
                <o:lock v:ext="edit" aspectratio="f"/>
                <v:textbox>
                  <w:txbxContent>
                    <w:p>
                      <w:pPr>
                        <w:jc w:val="center"/>
                        <w:rPr>
                          <w:rFonts w:ascii="Times New Roman" w:hAnsi="Times New Roman"/>
                          <w:color w:val="FF0000"/>
                          <w:sz w:val="52"/>
                          <w:szCs w:val="52"/>
                        </w:rPr>
                      </w:pPr>
                      <w:r>
                        <w:rPr>
                          <w:rFonts w:hint="eastAsia" w:ascii="Times New Roman" w:hAnsi="Times New Roman"/>
                          <w:color w:val="FF0000"/>
                          <w:sz w:val="40"/>
                          <w:szCs w:val="52"/>
                        </w:rPr>
                        <w:t>仅用于</w:t>
                      </w:r>
                      <w:r>
                        <w:rPr>
                          <w:rFonts w:hint="eastAsia" w:ascii="Times New Roman" w:hAnsi="Times New Roman"/>
                          <w:color w:val="FF0000"/>
                          <w:sz w:val="40"/>
                          <w:szCs w:val="52"/>
                          <w:lang w:val="en-US" w:eastAsia="zh-CN"/>
                        </w:rPr>
                        <w:t>德页1井</w:t>
                      </w:r>
                      <w:r>
                        <w:rPr>
                          <w:rFonts w:ascii="Times New Roman" w:hAnsi="Times New Roman"/>
                          <w:color w:val="FF0000"/>
                          <w:sz w:val="40"/>
                          <w:szCs w:val="52"/>
                        </w:rPr>
                        <w:t>钻</w:t>
                      </w:r>
                      <w:r>
                        <w:rPr>
                          <w:rFonts w:hint="eastAsia" w:ascii="Times New Roman" w:hAnsi="Times New Roman"/>
                          <w:color w:val="FF0000"/>
                          <w:sz w:val="40"/>
                          <w:szCs w:val="52"/>
                        </w:rPr>
                        <w:t>前</w:t>
                      </w:r>
                      <w:r>
                        <w:rPr>
                          <w:rFonts w:ascii="Times New Roman" w:hAnsi="Times New Roman"/>
                          <w:color w:val="FF0000"/>
                          <w:sz w:val="40"/>
                          <w:szCs w:val="52"/>
                        </w:rPr>
                        <w:t>工程</w:t>
                      </w:r>
                      <w:r>
                        <w:rPr>
                          <w:rFonts w:hint="eastAsia" w:ascii="Times New Roman" w:hAnsi="Times New Roman"/>
                          <w:color w:val="FF0000"/>
                          <w:sz w:val="40"/>
                          <w:szCs w:val="52"/>
                        </w:rPr>
                        <w:t>水土保持方案</w:t>
                      </w:r>
                    </w:p>
                  </w:txbxContent>
                </v:textbox>
              </v:shape>
            </w:pict>
          </mc:Fallback>
        </mc:AlternateContent>
      </w:r>
      <w:r>
        <w:rPr>
          <w:rFonts w:ascii="Times New Roman" w:hAnsi="Times New Roman" w:eastAsia="Times New Roman" w:cs="Times New Roman"/>
          <w:snapToGrid w:val="0"/>
          <w:color w:val="auto"/>
          <w:w w:val="0"/>
          <w:kern w:val="0"/>
          <w:sz w:val="0"/>
          <w:szCs w:val="0"/>
          <w:u w:color="000000"/>
          <w:shd w:val="clear" w:color="000000" w:fill="000000"/>
          <w:lang w:val="zh-CN" w:bidi="zh-CN"/>
        </w:rPr>
        <w:t xml:space="preserve"> </w:t>
      </w:r>
      <w:r>
        <w:rPr>
          <w:rFonts w:ascii="Times New Roman" w:hAnsi="Times New Roman" w:eastAsia="仿宋_GB2312" w:cs="Times New Roman"/>
          <w:b/>
          <w:color w:val="auto"/>
        </w:rPr>
        <w:drawing>
          <wp:inline distT="0" distB="0" distL="0" distR="0">
            <wp:extent cx="5471795" cy="3870325"/>
            <wp:effectExtent l="0" t="0" r="0" b="0"/>
            <wp:docPr id="1" name="图片 1" descr="L:\外业资料\保川资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外业资料\保川资质.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471795" cy="3870956"/>
                    </a:xfrm>
                    <a:prstGeom prst="rect">
                      <a:avLst/>
                    </a:prstGeom>
                    <a:noFill/>
                    <a:ln>
                      <a:noFill/>
                    </a:ln>
                  </pic:spPr>
                </pic:pic>
              </a:graphicData>
            </a:graphic>
          </wp:inline>
        </w:drawing>
      </w:r>
    </w:p>
    <w:p>
      <w:pPr>
        <w:spacing w:line="276" w:lineRule="auto"/>
        <w:ind w:firstLine="422" w:firstLineChars="200"/>
        <w:rPr>
          <w:rFonts w:ascii="Times New Roman" w:hAnsi="Times New Roman" w:eastAsia="仿宋_GB2312" w:cs="Times New Roman"/>
          <w:b/>
          <w:color w:val="auto"/>
        </w:rPr>
      </w:pPr>
    </w:p>
    <w:p>
      <w:pPr>
        <w:spacing w:line="276" w:lineRule="auto"/>
        <w:ind w:firstLine="422" w:firstLineChars="200"/>
        <w:rPr>
          <w:rFonts w:ascii="Times New Roman" w:hAnsi="Times New Roman" w:eastAsia="仿宋_GB2312" w:cs="Times New Roman"/>
          <w:b/>
          <w:color w:val="auto"/>
        </w:rPr>
      </w:pP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项目名称：</w:t>
      </w:r>
      <w:r>
        <w:rPr>
          <w:rFonts w:hint="eastAsia" w:ascii="Times New Roman" w:hAnsi="Times New Roman" w:eastAsia="仿宋_GB2312" w:cs="Times New Roman"/>
          <w:b/>
          <w:color w:val="auto"/>
          <w:sz w:val="28"/>
          <w:szCs w:val="28"/>
          <w:lang w:val="en-US" w:eastAsia="zh-CN"/>
        </w:rPr>
        <w:t>德页1井</w:t>
      </w:r>
      <w:r>
        <w:rPr>
          <w:rFonts w:ascii="Times New Roman" w:hAnsi="Times New Roman" w:eastAsia="仿宋_GB2312" w:cs="Times New Roman"/>
          <w:b/>
          <w:color w:val="auto"/>
          <w:sz w:val="28"/>
          <w:szCs w:val="28"/>
        </w:rPr>
        <w:t>钻前工程</w:t>
      </w: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编制单位：四川保川工程勘察设计有限公司</w:t>
      </w: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编制单位地址：成都市天府新区华阳街道华阳大道四段313号1栋3层3101号</w:t>
      </w: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编制单位邮编：610041</w:t>
      </w: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项目联系人：唐  宇</w:t>
      </w: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联系电话：18109036929</w:t>
      </w:r>
    </w:p>
    <w:p>
      <w:pPr>
        <w:snapToGrid w:val="0"/>
        <w:spacing w:line="360" w:lineRule="auto"/>
        <w:rPr>
          <w:rFonts w:ascii="Times New Roman" w:hAnsi="Times New Roman" w:eastAsia="仿宋_GB2312" w:cs="Times New Roman"/>
          <w:b/>
          <w:color w:val="auto"/>
          <w:sz w:val="28"/>
          <w:szCs w:val="28"/>
        </w:rPr>
      </w:pPr>
      <w:r>
        <w:rPr>
          <w:rFonts w:ascii="Times New Roman" w:hAnsi="Times New Roman" w:eastAsia="仿宋_GB2312" w:cs="Times New Roman"/>
          <w:b/>
          <w:color w:val="auto"/>
          <w:sz w:val="28"/>
          <w:szCs w:val="28"/>
        </w:rPr>
        <w:t>电子邮箱：2574253776@qq.com</w:t>
      </w:r>
    </w:p>
    <w:p>
      <w:pPr>
        <w:spacing w:line="276" w:lineRule="auto"/>
        <w:rPr>
          <w:rFonts w:ascii="Times New Roman" w:hAnsi="Times New Roman" w:eastAsia="仿宋_GB2312" w:cs="Times New Roman"/>
          <w:b/>
          <w:color w:val="auto"/>
        </w:rPr>
      </w:pPr>
      <w:r>
        <w:rPr>
          <w:rFonts w:ascii="Times New Roman" w:hAnsi="Times New Roman" w:eastAsia="仿宋_GB2312" w:cs="Times New Roman"/>
          <w:b/>
          <w:color w:val="auto"/>
          <w:sz w:val="28"/>
          <w:szCs w:val="28"/>
        </w:rPr>
        <w:t>传真：028-85699696</w:t>
      </w:r>
    </w:p>
    <w:p>
      <w:pPr>
        <w:spacing w:line="276" w:lineRule="auto"/>
        <w:jc w:val="center"/>
        <w:rPr>
          <w:rFonts w:ascii="Times New Roman" w:hAnsi="Times New Roman" w:eastAsia="仿宋_GB2312" w:cs="Times New Roman"/>
          <w:b/>
          <w:color w:val="auto"/>
        </w:rPr>
      </w:pPr>
    </w:p>
    <w:p>
      <w:pPr>
        <w:spacing w:line="276" w:lineRule="auto"/>
        <w:jc w:val="center"/>
        <w:rPr>
          <w:rFonts w:ascii="Times New Roman" w:hAnsi="Times New Roman" w:eastAsia="仿宋_GB2312" w:cs="Times New Roman"/>
          <w:b/>
          <w:color w:val="auto"/>
        </w:rPr>
      </w:pPr>
    </w:p>
    <w:p>
      <w:pPr>
        <w:rPr>
          <w:rFonts w:ascii="Times New Roman" w:hAnsi="Times New Roman" w:eastAsia="仿宋_GB2312" w:cs="Times New Roman"/>
          <w:b/>
          <w:color w:val="auto"/>
          <w:sz w:val="32"/>
          <w:szCs w:val="32"/>
        </w:rPr>
        <w:sectPr>
          <w:headerReference r:id="rId3" w:type="default"/>
          <w:pgSz w:w="11906" w:h="16838"/>
          <w:pgMar w:top="1418" w:right="1588" w:bottom="1418" w:left="1701"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jc w:val="center"/>
        <w:rPr>
          <w:rFonts w:ascii="Times New Roman" w:hAnsi="Times New Roman" w:eastAsia="仿宋_GB2312" w:cs="Times New Roman"/>
          <w:b/>
          <w:color w:val="auto"/>
          <w:sz w:val="40"/>
          <w:szCs w:val="28"/>
        </w:rPr>
      </w:pPr>
    </w:p>
    <w:p>
      <w:pPr>
        <w:spacing w:line="360" w:lineRule="auto"/>
        <w:jc w:val="center"/>
        <w:rPr>
          <w:rFonts w:ascii="Times New Roman" w:hAnsi="Times New Roman" w:eastAsia="仿宋_GB2312" w:cs="Times New Roman"/>
          <w:b/>
          <w:sz w:val="40"/>
          <w:szCs w:val="28"/>
        </w:rPr>
      </w:pPr>
      <w:r>
        <w:rPr>
          <w:rFonts w:hint="eastAsia" w:ascii="Times New Roman" w:hAnsi="Times New Roman" w:eastAsia="仿宋_GB2312" w:cs="Times New Roman"/>
          <w:b/>
          <w:sz w:val="40"/>
          <w:szCs w:val="28"/>
          <w:lang w:val="en-US" w:eastAsia="zh-CN"/>
        </w:rPr>
        <w:t>德页1井</w:t>
      </w:r>
      <w:r>
        <w:rPr>
          <w:rFonts w:ascii="Times New Roman" w:hAnsi="Times New Roman" w:eastAsia="仿宋_GB2312" w:cs="Times New Roman"/>
          <w:b/>
          <w:sz w:val="40"/>
          <w:szCs w:val="28"/>
        </w:rPr>
        <w:t>钻前工程</w:t>
      </w:r>
    </w:p>
    <w:p>
      <w:pPr>
        <w:spacing w:line="360" w:lineRule="auto"/>
        <w:jc w:val="center"/>
        <w:rPr>
          <w:rFonts w:hint="eastAsia" w:ascii="Times New Roman" w:hAnsi="Times New Roman" w:eastAsia="仿宋_GB2312" w:cs="Times New Roman"/>
          <w:b/>
          <w:sz w:val="52"/>
          <w:szCs w:val="28"/>
          <w:lang w:val="en-US" w:eastAsia="zh-CN"/>
        </w:rPr>
      </w:pPr>
      <w:r>
        <w:rPr>
          <w:rFonts w:ascii="Times New Roman" w:hAnsi="Times New Roman" w:eastAsia="仿宋_GB2312" w:cs="Times New Roman"/>
          <w:b/>
          <w:sz w:val="52"/>
          <w:szCs w:val="28"/>
        </w:rPr>
        <w:t>水土保持方案报告</w:t>
      </w:r>
      <w:r>
        <w:rPr>
          <w:rFonts w:hint="eastAsia" w:ascii="Times New Roman" w:hAnsi="Times New Roman" w:eastAsia="仿宋_GB2312" w:cs="Times New Roman"/>
          <w:b/>
          <w:sz w:val="52"/>
          <w:szCs w:val="28"/>
          <w:lang w:val="en-US" w:eastAsia="zh-CN"/>
        </w:rPr>
        <w:t>表</w:t>
      </w:r>
    </w:p>
    <w:p>
      <w:pPr>
        <w:spacing w:line="360" w:lineRule="auto"/>
        <w:jc w:val="center"/>
        <w:rPr>
          <w:rFonts w:ascii="Times New Roman" w:hAnsi="Times New Roman" w:eastAsia="仿宋_GB2312" w:cs="Times New Roman"/>
          <w:sz w:val="40"/>
          <w:szCs w:val="28"/>
        </w:rPr>
      </w:pPr>
      <w:r>
        <w:rPr>
          <w:rFonts w:ascii="Times New Roman" w:hAnsi="Times New Roman" w:eastAsia="仿宋_GB2312" w:cs="Times New Roman"/>
          <w:sz w:val="40"/>
          <w:szCs w:val="28"/>
        </w:rPr>
        <w:t>责  任  页</w:t>
      </w:r>
    </w:p>
    <w:p>
      <w:pPr>
        <w:spacing w:line="360" w:lineRule="auto"/>
        <w:ind w:firstLine="643" w:firstLineChars="201"/>
        <w:jc w:val="center"/>
        <w:rPr>
          <w:rFonts w:ascii="Times New Roman" w:hAnsi="Times New Roman" w:eastAsia="仿宋_GB2312" w:cs="Times New Roman"/>
          <w:sz w:val="32"/>
          <w:szCs w:val="28"/>
        </w:rPr>
      </w:pPr>
      <w:r>
        <w:rPr>
          <w:rFonts w:ascii="Times New Roman" w:hAnsi="Times New Roman" w:eastAsia="仿宋_GB2312" w:cs="Times New Roman"/>
          <w:sz w:val="32"/>
          <w:szCs w:val="28"/>
        </w:rPr>
        <w:t>（编制单位：四川保川工程勘察设计有限公司）</w:t>
      </w:r>
    </w:p>
    <w:p>
      <w:pPr>
        <w:spacing w:line="360" w:lineRule="auto"/>
        <w:ind w:firstLine="726" w:firstLineChars="201"/>
        <w:jc w:val="center"/>
        <w:rPr>
          <w:rFonts w:ascii="Times New Roman" w:hAnsi="Times New Roman" w:eastAsia="仿宋_GB2312" w:cs="Times New Roman"/>
          <w:sz w:val="32"/>
          <w:szCs w:val="28"/>
        </w:rPr>
      </w:pPr>
      <w:r>
        <w:rPr>
          <w:rFonts w:ascii="Times New Roman" w:hAnsi="Times New Roman" w:eastAsia="仿宋" w:cs="Times New Roman"/>
          <w:b/>
          <w:sz w:val="36"/>
          <w:szCs w:val="36"/>
        </w:rPr>
        <w:drawing>
          <wp:anchor distT="0" distB="0" distL="114300" distR="114300" simplePos="0" relativeHeight="251697152" behindDoc="0" locked="0" layoutInCell="1" allowOverlap="1">
            <wp:simplePos x="0" y="0"/>
            <wp:positionH relativeFrom="column">
              <wp:posOffset>2037080</wp:posOffset>
            </wp:positionH>
            <wp:positionV relativeFrom="paragraph">
              <wp:posOffset>202565</wp:posOffset>
            </wp:positionV>
            <wp:extent cx="922655" cy="551815"/>
            <wp:effectExtent l="0" t="0" r="10795" b="63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922655" cy="551815"/>
                    </a:xfrm>
                    <a:prstGeom prst="rect">
                      <a:avLst/>
                    </a:prstGeom>
                    <a:noFill/>
                    <a:ln>
                      <a:noFill/>
                    </a:ln>
                  </pic:spPr>
                </pic:pic>
              </a:graphicData>
            </a:graphic>
          </wp:anchor>
        </w:drawing>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_GB2312" w:cs="Times New Roman"/>
          <w:sz w:val="28"/>
          <w:szCs w:val="24"/>
        </w:rPr>
        <w:t>批      准：谭先觉</w:t>
      </w:r>
    </w:p>
    <w:p>
      <w:pPr>
        <w:spacing w:line="360" w:lineRule="auto"/>
        <w:ind w:firstLine="424" w:firstLineChars="202"/>
        <w:rPr>
          <w:rFonts w:ascii="Times New Roman" w:hAnsi="Times New Roman" w:eastAsia="仿宋_GB2312" w:cs="Times New Roman"/>
          <w:sz w:val="28"/>
          <w:szCs w:val="24"/>
        </w:rPr>
      </w:pPr>
      <w:r>
        <w:rPr>
          <w:rFonts w:ascii="Times New Roman" w:hAnsi="Times New Roman" w:cs="Times New Roman"/>
        </w:rPr>
        <w:drawing>
          <wp:anchor distT="0" distB="0" distL="114300" distR="114300" simplePos="0" relativeHeight="251698176" behindDoc="0" locked="0" layoutInCell="1" allowOverlap="1">
            <wp:simplePos x="0" y="0"/>
            <wp:positionH relativeFrom="column">
              <wp:posOffset>3147695</wp:posOffset>
            </wp:positionH>
            <wp:positionV relativeFrom="paragraph">
              <wp:posOffset>221615</wp:posOffset>
            </wp:positionV>
            <wp:extent cx="1000125" cy="464820"/>
            <wp:effectExtent l="0" t="0" r="9525" b="1143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000125" cy="464820"/>
                    </a:xfrm>
                    <a:prstGeom prst="rect">
                      <a:avLst/>
                    </a:prstGeom>
                    <a:noFill/>
                    <a:ln>
                      <a:noFill/>
                    </a:ln>
                  </pic:spPr>
                </pic:pic>
              </a:graphicData>
            </a:graphic>
          </wp:anchor>
        </w:drawing>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_GB2312" w:cs="Times New Roman"/>
          <w:sz w:val="28"/>
          <w:szCs w:val="24"/>
        </w:rPr>
        <w:t>核      定：李泰新（高级工程师）</w:t>
      </w:r>
    </w:p>
    <w:p>
      <w:pPr>
        <w:spacing w:line="360" w:lineRule="auto"/>
        <w:ind w:firstLine="424" w:firstLineChars="202"/>
        <w:rPr>
          <w:rFonts w:ascii="Times New Roman" w:hAnsi="Times New Roman" w:eastAsia="仿宋_GB2312" w:cs="Times New Roman"/>
          <w:sz w:val="28"/>
          <w:szCs w:val="24"/>
        </w:rPr>
      </w:pPr>
      <w:r>
        <w:rPr>
          <w:rFonts w:ascii="Times New Roman" w:hAnsi="Times New Roman" w:cs="Times New Roman"/>
        </w:rPr>
        <w:drawing>
          <wp:anchor distT="0" distB="0" distL="114300" distR="114300" simplePos="0" relativeHeight="251699200" behindDoc="0" locked="0" layoutInCell="1" allowOverlap="1">
            <wp:simplePos x="0" y="0"/>
            <wp:positionH relativeFrom="column">
              <wp:posOffset>3103245</wp:posOffset>
            </wp:positionH>
            <wp:positionV relativeFrom="paragraph">
              <wp:posOffset>220980</wp:posOffset>
            </wp:positionV>
            <wp:extent cx="952500" cy="49530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952500" cy="495300"/>
                    </a:xfrm>
                    <a:prstGeom prst="rect">
                      <a:avLst/>
                    </a:prstGeom>
                    <a:noFill/>
                    <a:ln>
                      <a:noFill/>
                    </a:ln>
                  </pic:spPr>
                </pic:pic>
              </a:graphicData>
            </a:graphic>
          </wp:anchor>
        </w:drawing>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_GB2312" w:cs="Times New Roman"/>
          <w:sz w:val="28"/>
          <w:szCs w:val="24"/>
        </w:rPr>
        <w:t>审      查：张芙蓉（总工程师）</w:t>
      </w:r>
    </w:p>
    <w:p>
      <w:pPr>
        <w:spacing w:line="360" w:lineRule="auto"/>
        <w:ind w:firstLine="424" w:firstLineChars="202"/>
        <w:rPr>
          <w:rFonts w:ascii="Times New Roman" w:hAnsi="Times New Roman" w:eastAsia="仿宋_GB2312" w:cs="Times New Roman"/>
          <w:sz w:val="28"/>
          <w:szCs w:val="24"/>
        </w:rPr>
      </w:pPr>
      <w:r>
        <w:rPr>
          <w:rFonts w:ascii="Times New Roman" w:hAnsi="Times New Roman" w:cs="Times New Roman"/>
        </w:rPr>
        <w:drawing>
          <wp:anchor distT="0" distB="0" distL="114300" distR="114300" simplePos="0" relativeHeight="251700224" behindDoc="1" locked="0" layoutInCell="1" allowOverlap="1">
            <wp:simplePos x="0" y="0"/>
            <wp:positionH relativeFrom="column">
              <wp:posOffset>3097530</wp:posOffset>
            </wp:positionH>
            <wp:positionV relativeFrom="paragraph">
              <wp:posOffset>132080</wp:posOffset>
            </wp:positionV>
            <wp:extent cx="1150620" cy="586105"/>
            <wp:effectExtent l="0" t="0" r="11430" b="444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1">
                      <a:extLst>
                        <a:ext uri="{28A0092B-C50C-407E-A947-70E740481C1C}">
                          <a14:useLocalDpi xmlns:a14="http://schemas.microsoft.com/office/drawing/2010/main" val="0"/>
                        </a:ext>
                      </a:extLst>
                    </a:blip>
                    <a:srcRect r="55981"/>
                    <a:stretch>
                      <a:fillRect/>
                    </a:stretch>
                  </pic:blipFill>
                  <pic:spPr>
                    <a:xfrm>
                      <a:off x="0" y="0"/>
                      <a:ext cx="1150620" cy="586105"/>
                    </a:xfrm>
                    <a:prstGeom prst="rect">
                      <a:avLst/>
                    </a:prstGeom>
                    <a:noFill/>
                    <a:ln>
                      <a:noFill/>
                    </a:ln>
                  </pic:spPr>
                </pic:pic>
              </a:graphicData>
            </a:graphic>
          </wp:anchor>
        </w:drawing>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_GB2312" w:cs="Times New Roman"/>
          <w:sz w:val="28"/>
          <w:szCs w:val="24"/>
        </w:rPr>
        <w:t>校      核：刘洪波（高级工程师）</w:t>
      </w:r>
    </w:p>
    <w:p>
      <w:pPr>
        <w:spacing w:line="360" w:lineRule="auto"/>
        <w:ind w:firstLine="424" w:firstLineChars="202"/>
        <w:rPr>
          <w:rFonts w:ascii="Times New Roman" w:hAnsi="Times New Roman" w:eastAsia="仿宋_GB2312" w:cs="Times New Roman"/>
          <w:sz w:val="28"/>
          <w:szCs w:val="24"/>
        </w:rPr>
      </w:pPr>
      <w:r>
        <w:rPr>
          <w:rFonts w:ascii="Times New Roman" w:hAnsi="Times New Roman" w:cs="Times New Roman"/>
        </w:rPr>
        <w:drawing>
          <wp:anchor distT="0" distB="0" distL="114300" distR="114300" simplePos="0" relativeHeight="251701248" behindDoc="1" locked="0" layoutInCell="1" allowOverlap="1">
            <wp:simplePos x="0" y="0"/>
            <wp:positionH relativeFrom="column">
              <wp:posOffset>3153410</wp:posOffset>
            </wp:positionH>
            <wp:positionV relativeFrom="paragraph">
              <wp:posOffset>127635</wp:posOffset>
            </wp:positionV>
            <wp:extent cx="1150620" cy="586105"/>
            <wp:effectExtent l="0" t="0" r="11430" b="444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1">
                      <a:extLst>
                        <a:ext uri="{28A0092B-C50C-407E-A947-70E740481C1C}">
                          <a14:useLocalDpi xmlns:a14="http://schemas.microsoft.com/office/drawing/2010/main" val="0"/>
                        </a:ext>
                      </a:extLst>
                    </a:blip>
                    <a:srcRect r="55981"/>
                    <a:stretch>
                      <a:fillRect/>
                    </a:stretch>
                  </pic:blipFill>
                  <pic:spPr>
                    <a:xfrm>
                      <a:off x="0" y="0"/>
                      <a:ext cx="1150620" cy="586105"/>
                    </a:xfrm>
                    <a:prstGeom prst="rect">
                      <a:avLst/>
                    </a:prstGeom>
                    <a:noFill/>
                    <a:ln>
                      <a:noFill/>
                    </a:ln>
                  </pic:spPr>
                </pic:pic>
              </a:graphicData>
            </a:graphic>
          </wp:anchor>
        </w:drawing>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_GB2312" w:cs="Times New Roman"/>
          <w:sz w:val="28"/>
          <w:szCs w:val="24"/>
        </w:rPr>
        <w:t>项目负责人：刘洪波（高级工程师）</w:t>
      </w:r>
    </w:p>
    <w:p>
      <w:pPr>
        <w:spacing w:line="360" w:lineRule="auto"/>
        <w:ind w:firstLine="424" w:firstLineChars="202"/>
        <w:rPr>
          <w:rFonts w:ascii="Times New Roman" w:hAnsi="Times New Roman" w:eastAsia="仿宋_GB2312" w:cs="Times New Roman"/>
          <w:sz w:val="28"/>
          <w:szCs w:val="24"/>
        </w:rPr>
      </w:pPr>
      <w:r>
        <w:rPr>
          <w:rFonts w:ascii="Times New Roman" w:hAnsi="Times New Roman" w:cs="Times New Roman"/>
        </w:rPr>
        <w:drawing>
          <wp:anchor distT="0" distB="0" distL="114300" distR="114300" simplePos="0" relativeHeight="251702272" behindDoc="1" locked="0" layoutInCell="1" allowOverlap="1">
            <wp:simplePos x="0" y="0"/>
            <wp:positionH relativeFrom="column">
              <wp:posOffset>4775200</wp:posOffset>
            </wp:positionH>
            <wp:positionV relativeFrom="paragraph">
              <wp:posOffset>96520</wp:posOffset>
            </wp:positionV>
            <wp:extent cx="845185" cy="586105"/>
            <wp:effectExtent l="0" t="0" r="12065" b="4445"/>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21">
                      <a:extLst>
                        <a:ext uri="{28A0092B-C50C-407E-A947-70E740481C1C}">
                          <a14:useLocalDpi xmlns:a14="http://schemas.microsoft.com/office/drawing/2010/main" val="0"/>
                        </a:ext>
                      </a:extLst>
                    </a:blip>
                    <a:srcRect l="42173" r="25493"/>
                    <a:stretch>
                      <a:fillRect/>
                    </a:stretch>
                  </pic:blipFill>
                  <pic:spPr>
                    <a:xfrm>
                      <a:off x="0" y="0"/>
                      <a:ext cx="845185" cy="586105"/>
                    </a:xfrm>
                    <a:prstGeom prst="rect">
                      <a:avLst/>
                    </a:prstGeom>
                    <a:noFill/>
                    <a:ln>
                      <a:noFill/>
                    </a:ln>
                  </pic:spPr>
                </pic:pic>
              </a:graphicData>
            </a:graphic>
          </wp:anchor>
        </w:drawing>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_GB2312" w:cs="Times New Roman"/>
          <w:sz w:val="28"/>
          <w:szCs w:val="24"/>
        </w:rPr>
        <w:t>编      写：刘浩然（工程师）（编写第1、2、3、4章）</w:t>
      </w:r>
    </w:p>
    <w:p>
      <w:pPr>
        <w:spacing w:line="360" w:lineRule="auto"/>
        <w:ind w:firstLine="565" w:firstLineChars="202"/>
        <w:rPr>
          <w:rFonts w:ascii="Times New Roman" w:hAnsi="Times New Roman" w:eastAsia="仿宋_GB2312" w:cs="Times New Roman"/>
          <w:sz w:val="28"/>
          <w:szCs w:val="24"/>
        </w:rPr>
      </w:pPr>
      <w:r>
        <w:rPr>
          <w:rFonts w:ascii="Times New Roman" w:hAnsi="Times New Roman" w:eastAsia="仿宋" w:cs="Times New Roman"/>
          <w:sz w:val="28"/>
          <w:szCs w:val="28"/>
        </w:rPr>
        <w:drawing>
          <wp:anchor distT="0" distB="0" distL="114300" distR="114300" simplePos="0" relativeHeight="251703296" behindDoc="1" locked="0" layoutInCell="1" allowOverlap="1">
            <wp:simplePos x="0" y="0"/>
            <wp:positionH relativeFrom="column">
              <wp:posOffset>5135880</wp:posOffset>
            </wp:positionH>
            <wp:positionV relativeFrom="paragraph">
              <wp:posOffset>243205</wp:posOffset>
            </wp:positionV>
            <wp:extent cx="843280" cy="304800"/>
            <wp:effectExtent l="0" t="0" r="13970" b="0"/>
            <wp:wrapNone/>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22">
                      <a:extLst>
                        <a:ext uri="{28A0092B-C50C-407E-A947-70E740481C1C}">
                          <a14:useLocalDpi xmlns:a14="http://schemas.microsoft.com/office/drawing/2010/main" val="0"/>
                        </a:ext>
                      </a:extLst>
                    </a:blip>
                    <a:srcRect t="17883" b="15056"/>
                    <a:stretch>
                      <a:fillRect/>
                    </a:stretch>
                  </pic:blipFill>
                  <pic:spPr>
                    <a:xfrm>
                      <a:off x="0" y="0"/>
                      <a:ext cx="843280" cy="304800"/>
                    </a:xfrm>
                    <a:prstGeom prst="rect">
                      <a:avLst/>
                    </a:prstGeom>
                    <a:ln>
                      <a:noFill/>
                    </a:ln>
                  </pic:spPr>
                </pic:pic>
              </a:graphicData>
            </a:graphic>
          </wp:anchor>
        </w:drawing>
      </w:r>
    </w:p>
    <w:p>
      <w:pPr>
        <w:spacing w:line="360" w:lineRule="auto"/>
        <w:ind w:firstLine="565" w:firstLineChars="202"/>
        <w:rPr>
          <w:rFonts w:ascii="Times New Roman" w:hAnsi="Times New Roman" w:eastAsia="黑体" w:cs="Times New Roman"/>
          <w:sz w:val="32"/>
          <w:szCs w:val="32"/>
        </w:rPr>
        <w:sectPr>
          <w:pgSz w:w="11906" w:h="16838"/>
          <w:pgMar w:top="1418" w:right="1588" w:bottom="1418" w:left="1701" w:header="851" w:footer="992" w:gutter="0"/>
          <w:pgBorders>
            <w:top w:val="none" w:sz="0" w:space="0"/>
            <w:left w:val="none" w:sz="0" w:space="0"/>
            <w:bottom w:val="none" w:sz="0" w:space="0"/>
            <w:right w:val="none" w:sz="0" w:space="0"/>
          </w:pgBorders>
          <w:pgNumType w:fmt="upperRoman" w:start="1"/>
          <w:cols w:space="425" w:num="1"/>
          <w:docGrid w:linePitch="312" w:charSpace="0"/>
        </w:sectPr>
      </w:pPr>
      <w:r>
        <w:rPr>
          <w:rFonts w:ascii="Times New Roman" w:hAnsi="Times New Roman" w:eastAsia="仿宋_GB2312" w:cs="Times New Roman"/>
          <w:sz w:val="28"/>
          <w:szCs w:val="24"/>
        </w:rPr>
        <w:t xml:space="preserve">            张强（工程师）（编写第5、6、7、8章、制图）</w:t>
      </w:r>
    </w:p>
    <w:p>
      <w:pPr>
        <w:pStyle w:val="2"/>
        <w:ind w:firstLine="0" w:firstLineChars="0"/>
        <w:jc w:val="center"/>
        <w:rPr>
          <w:rFonts w:ascii="Times New Roman" w:hAnsi="Times New Roman" w:eastAsia="仿宋_GB2312" w:cs="Times New Roman"/>
          <w:b/>
          <w:bCs/>
          <w:color w:val="auto"/>
          <w:kern w:val="44"/>
          <w:sz w:val="32"/>
          <w:szCs w:val="32"/>
          <w:lang w:val="zh-CN" w:eastAsia="zh-CN" w:bidi="ar-SA"/>
        </w:rPr>
      </w:pPr>
      <w:r>
        <w:rPr>
          <w:rFonts w:ascii="Times New Roman" w:hAnsi="Times New Roman" w:eastAsia="仿宋_GB2312" w:cs="Times New Roman"/>
          <w:b/>
          <w:bCs/>
          <w:color w:val="auto"/>
          <w:kern w:val="44"/>
          <w:sz w:val="32"/>
          <w:szCs w:val="32"/>
          <w:lang w:val="zh-CN" w:eastAsia="zh-CN" w:bidi="ar-SA"/>
        </w:rPr>
        <w:t>现场地貌</w:t>
      </w:r>
    </w:p>
    <w:p>
      <w:pPr>
        <w:pStyle w:val="2"/>
        <w:ind w:firstLine="0" w:firstLineChars="0"/>
        <w:jc w:val="center"/>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inline distT="0" distB="0" distL="114300" distR="114300">
            <wp:extent cx="5467985" cy="3425190"/>
            <wp:effectExtent l="0" t="0" r="18415" b="3810"/>
            <wp:docPr id="78" name="图片 78" descr="QQ图片2022060711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QQ图片20220607110815"/>
                    <pic:cNvPicPr>
                      <a:picLocks noChangeAspect="1"/>
                    </pic:cNvPicPr>
                  </pic:nvPicPr>
                  <pic:blipFill>
                    <a:blip r:embed="rId23"/>
                    <a:stretch>
                      <a:fillRect/>
                    </a:stretch>
                  </pic:blipFill>
                  <pic:spPr>
                    <a:xfrm>
                      <a:off x="0" y="0"/>
                      <a:ext cx="5467985" cy="3425190"/>
                    </a:xfrm>
                    <a:prstGeom prst="rect">
                      <a:avLst/>
                    </a:prstGeom>
                  </pic:spPr>
                </pic:pic>
              </a:graphicData>
            </a:graphic>
          </wp:inline>
        </w:drawing>
      </w:r>
    </w:p>
    <w:p>
      <w:pPr>
        <w:pStyle w:val="2"/>
        <w:ind w:firstLine="0" w:firstLineChars="0"/>
        <w:jc w:val="center"/>
        <w:rPr>
          <w:rFonts w:ascii="Times New Roman" w:hAnsi="Times New Roman" w:eastAsia="仿宋_GB2312" w:cs="Times New Roman"/>
          <w:b/>
          <w:bCs/>
          <w:color w:val="auto"/>
          <w:kern w:val="44"/>
          <w:sz w:val="32"/>
          <w:szCs w:val="32"/>
          <w:lang w:val="zh-CN" w:eastAsia="zh-CN" w:bidi="ar-SA"/>
        </w:rPr>
      </w:pPr>
      <w:r>
        <w:rPr>
          <w:rFonts w:hint="eastAsia" w:cs="Times New Roman"/>
          <w:b/>
          <w:bCs/>
          <w:color w:val="auto"/>
          <w:kern w:val="44"/>
          <w:sz w:val="32"/>
          <w:szCs w:val="32"/>
          <w:lang w:val="en-US" w:eastAsia="zh-CN" w:bidi="ar-SA"/>
        </w:rPr>
        <w:t>旱</w:t>
      </w:r>
      <w:r>
        <w:rPr>
          <w:rFonts w:ascii="Times New Roman" w:hAnsi="Times New Roman" w:eastAsia="仿宋_GB2312" w:cs="Times New Roman"/>
          <w:b/>
          <w:bCs/>
          <w:color w:val="auto"/>
          <w:kern w:val="44"/>
          <w:sz w:val="32"/>
          <w:szCs w:val="32"/>
          <w:lang w:val="zh-CN" w:eastAsia="zh-CN" w:bidi="ar-SA"/>
        </w:rPr>
        <w:t>地</w:t>
      </w:r>
    </w:p>
    <w:p>
      <w:pPr>
        <w:pStyle w:val="2"/>
        <w:ind w:firstLine="0" w:firstLineChars="0"/>
        <w:jc w:val="center"/>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inline distT="0" distB="0" distL="114300" distR="114300">
            <wp:extent cx="5467985" cy="4100830"/>
            <wp:effectExtent l="0" t="0" r="18415" b="13970"/>
            <wp:docPr id="79" name="图片 79" descr="QQ图片202206071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QQ图片20220607110835"/>
                    <pic:cNvPicPr>
                      <a:picLocks noChangeAspect="1"/>
                    </pic:cNvPicPr>
                  </pic:nvPicPr>
                  <pic:blipFill>
                    <a:blip r:embed="rId24"/>
                    <a:stretch>
                      <a:fillRect/>
                    </a:stretch>
                  </pic:blipFill>
                  <pic:spPr>
                    <a:xfrm>
                      <a:off x="0" y="0"/>
                      <a:ext cx="5467985" cy="4100830"/>
                    </a:xfrm>
                    <a:prstGeom prst="rect">
                      <a:avLst/>
                    </a:prstGeom>
                  </pic:spPr>
                </pic:pic>
              </a:graphicData>
            </a:graphic>
          </wp:inline>
        </w:drawing>
      </w:r>
    </w:p>
    <w:p>
      <w:pPr>
        <w:jc w:val="center"/>
        <w:rPr>
          <w:rFonts w:ascii="Times New Roman" w:hAnsi="Times New Roman" w:cs="Times New Roman"/>
          <w:color w:val="auto"/>
        </w:rPr>
      </w:pPr>
      <w:r>
        <w:rPr>
          <w:rFonts w:hint="eastAsia" w:cs="Times New Roman"/>
          <w:b/>
          <w:bCs/>
          <w:color w:val="auto"/>
          <w:kern w:val="44"/>
          <w:sz w:val="32"/>
          <w:szCs w:val="32"/>
          <w:lang w:val="en-US" w:eastAsia="zh-CN" w:bidi="ar-SA"/>
        </w:rPr>
        <w:t>水田</w:t>
      </w:r>
    </w:p>
    <w:p>
      <w:pPr>
        <w:pStyle w:val="2"/>
        <w:ind w:firstLine="0" w:firstLineChars="0"/>
        <w:jc w:val="center"/>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inline distT="0" distB="0" distL="114300" distR="114300">
            <wp:extent cx="5316855" cy="3987800"/>
            <wp:effectExtent l="0" t="0" r="17145" b="12700"/>
            <wp:docPr id="80" name="图片 80" descr="QQ图片2022060711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QQ图片20220607110839"/>
                    <pic:cNvPicPr>
                      <a:picLocks noChangeAspect="1"/>
                    </pic:cNvPicPr>
                  </pic:nvPicPr>
                  <pic:blipFill>
                    <a:blip r:embed="rId25"/>
                    <a:stretch>
                      <a:fillRect/>
                    </a:stretch>
                  </pic:blipFill>
                  <pic:spPr>
                    <a:xfrm>
                      <a:off x="0" y="0"/>
                      <a:ext cx="5316855" cy="3987800"/>
                    </a:xfrm>
                    <a:prstGeom prst="rect">
                      <a:avLst/>
                    </a:prstGeom>
                  </pic:spPr>
                </pic:pic>
              </a:graphicData>
            </a:graphic>
          </wp:inline>
        </w:drawing>
      </w:r>
    </w:p>
    <w:p>
      <w:pPr>
        <w:pStyle w:val="2"/>
        <w:ind w:firstLine="0" w:firstLineChars="0"/>
        <w:jc w:val="center"/>
        <w:rPr>
          <w:rFonts w:hint="eastAsia" w:cs="Times New Roman"/>
          <w:b/>
          <w:bCs/>
          <w:color w:val="auto"/>
          <w:kern w:val="44"/>
          <w:sz w:val="32"/>
          <w:szCs w:val="32"/>
          <w:lang w:val="en-US" w:eastAsia="zh-CN" w:bidi="ar-SA"/>
        </w:rPr>
      </w:pPr>
      <w:r>
        <w:rPr>
          <w:rFonts w:hint="eastAsia" w:cs="Times New Roman"/>
          <w:b/>
          <w:bCs/>
          <w:color w:val="auto"/>
          <w:kern w:val="44"/>
          <w:sz w:val="32"/>
          <w:szCs w:val="32"/>
          <w:lang w:val="en-US" w:eastAsia="zh-CN" w:bidi="ar-SA"/>
        </w:rPr>
        <w:t>旱地</w:t>
      </w:r>
    </w:p>
    <w:p>
      <w:pPr>
        <w:pStyle w:val="2"/>
        <w:ind w:firstLine="0" w:firstLineChars="0"/>
        <w:jc w:val="center"/>
        <w:rPr>
          <w:rFonts w:hint="eastAsia" w:ascii="Times New Roman" w:hAnsi="Times New Roman" w:eastAsia="黑体"/>
          <w:color w:val="auto"/>
          <w:sz w:val="32"/>
          <w:szCs w:val="32"/>
          <w:lang w:eastAsia="zh-CN"/>
        </w:rPr>
      </w:pPr>
      <w:r>
        <w:rPr>
          <w:rFonts w:hint="eastAsia" w:ascii="Times New Roman" w:hAnsi="Times New Roman" w:eastAsia="黑体"/>
          <w:color w:val="auto"/>
          <w:sz w:val="32"/>
          <w:szCs w:val="32"/>
          <w:lang w:eastAsia="zh-CN"/>
        </w:rPr>
        <w:drawing>
          <wp:inline distT="0" distB="0" distL="114300" distR="114300">
            <wp:extent cx="5363845" cy="3794760"/>
            <wp:effectExtent l="0" t="0" r="8255" b="15240"/>
            <wp:docPr id="81" name="图片 81" descr="QQ图片2022060711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QQ图片20220607110845"/>
                    <pic:cNvPicPr>
                      <a:picLocks noChangeAspect="1"/>
                    </pic:cNvPicPr>
                  </pic:nvPicPr>
                  <pic:blipFill>
                    <a:blip r:embed="rId26"/>
                    <a:stretch>
                      <a:fillRect/>
                    </a:stretch>
                  </pic:blipFill>
                  <pic:spPr>
                    <a:xfrm>
                      <a:off x="0" y="0"/>
                      <a:ext cx="5363845" cy="3794760"/>
                    </a:xfrm>
                    <a:prstGeom prst="rect">
                      <a:avLst/>
                    </a:prstGeom>
                  </pic:spPr>
                </pic:pic>
              </a:graphicData>
            </a:graphic>
          </wp:inline>
        </w:drawing>
      </w:r>
    </w:p>
    <w:p>
      <w:pPr>
        <w:pStyle w:val="2"/>
        <w:ind w:firstLine="0" w:firstLineChars="0"/>
        <w:jc w:val="center"/>
        <w:rPr>
          <w:rFonts w:hint="default" w:ascii="Times New Roman" w:hAnsi="Times New Roman" w:eastAsia="仿宋_GB2312" w:cs="Times New Roman"/>
          <w:b/>
          <w:bCs/>
          <w:color w:val="auto"/>
          <w:kern w:val="44"/>
          <w:sz w:val="32"/>
          <w:szCs w:val="32"/>
          <w:lang w:val="en-US" w:eastAsia="zh-CN" w:bidi="ar-SA"/>
        </w:rPr>
      </w:pPr>
      <w:r>
        <w:rPr>
          <w:rFonts w:hint="eastAsia" w:cs="Times New Roman"/>
          <w:b/>
          <w:bCs/>
          <w:color w:val="auto"/>
          <w:kern w:val="44"/>
          <w:sz w:val="32"/>
          <w:szCs w:val="32"/>
          <w:lang w:val="en-US" w:eastAsia="zh-CN" w:bidi="ar-SA"/>
        </w:rPr>
        <w:t>水田</w:t>
      </w:r>
    </w:p>
    <w:p>
      <w:pPr>
        <w:pStyle w:val="2"/>
        <w:ind w:firstLine="0" w:firstLineChars="0"/>
        <w:jc w:val="center"/>
        <w:rPr>
          <w:rFonts w:hint="eastAsia" w:ascii="Times New Roman" w:hAnsi="Times New Roman" w:eastAsia="黑体"/>
          <w:color w:val="auto"/>
          <w:sz w:val="32"/>
          <w:szCs w:val="32"/>
          <w:lang w:eastAsia="zh-CN"/>
        </w:rPr>
      </w:pPr>
      <w:r>
        <w:rPr>
          <w:rFonts w:hint="eastAsia" w:eastAsia="黑体"/>
          <w:color w:val="auto"/>
          <w:sz w:val="32"/>
          <w:szCs w:val="32"/>
          <w:lang w:val="en-US" w:eastAsia="zh-CN"/>
        </w:rPr>
        <w:t xml:space="preserve">   </w:t>
      </w:r>
      <w:r>
        <w:rPr>
          <w:rFonts w:hint="eastAsia" w:ascii="Times New Roman" w:hAnsi="Times New Roman" w:eastAsia="黑体"/>
          <w:color w:val="auto"/>
          <w:sz w:val="32"/>
          <w:szCs w:val="32"/>
          <w:lang w:eastAsia="zh-CN"/>
        </w:rPr>
        <w:drawing>
          <wp:inline distT="0" distB="0" distL="114300" distR="114300">
            <wp:extent cx="5467985" cy="4100830"/>
            <wp:effectExtent l="0" t="0" r="18415" b="13970"/>
            <wp:docPr id="82" name="图片 82" descr="QQ图片2022060711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QQ图片20220607110851"/>
                    <pic:cNvPicPr>
                      <a:picLocks noChangeAspect="1"/>
                    </pic:cNvPicPr>
                  </pic:nvPicPr>
                  <pic:blipFill>
                    <a:blip r:embed="rId27"/>
                    <a:stretch>
                      <a:fillRect/>
                    </a:stretch>
                  </pic:blipFill>
                  <pic:spPr>
                    <a:xfrm>
                      <a:off x="0" y="0"/>
                      <a:ext cx="5467985" cy="4100830"/>
                    </a:xfrm>
                    <a:prstGeom prst="rect">
                      <a:avLst/>
                    </a:prstGeom>
                  </pic:spPr>
                </pic:pic>
              </a:graphicData>
            </a:graphic>
          </wp:inline>
        </w:drawing>
      </w:r>
    </w:p>
    <w:p>
      <w:pPr>
        <w:pStyle w:val="2"/>
        <w:ind w:firstLine="0" w:firstLineChars="0"/>
        <w:jc w:val="center"/>
        <w:rPr>
          <w:rFonts w:ascii="Times New Roman" w:hAnsi="Times New Roman" w:eastAsia="黑体"/>
          <w:color w:val="auto"/>
          <w:sz w:val="32"/>
          <w:szCs w:val="32"/>
        </w:rPr>
      </w:pPr>
      <w:r>
        <w:rPr>
          <w:rFonts w:hint="eastAsia" w:cs="Times New Roman"/>
          <w:b/>
          <w:bCs/>
          <w:color w:val="auto"/>
          <w:kern w:val="44"/>
          <w:sz w:val="32"/>
          <w:szCs w:val="32"/>
          <w:lang w:val="en-US" w:eastAsia="zh-CN" w:bidi="ar-SA"/>
        </w:rPr>
        <w:t>水田</w:t>
      </w: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hint="eastAsia" w:ascii="Times New Roman" w:hAnsi="Times New Roman" w:eastAsia="仿宋_GB2312" w:cs="Times New Roman"/>
          <w:b/>
          <w:bCs/>
          <w:color w:val="auto"/>
          <w:sz w:val="24"/>
          <w:szCs w:val="24"/>
          <w:u w:val="single"/>
          <w:lang w:eastAsia="zh-CN"/>
        </w:rPr>
      </w:pPr>
    </w:p>
    <w:p>
      <w:pPr>
        <w:spacing w:line="360" w:lineRule="auto"/>
        <w:jc w:val="center"/>
        <w:rPr>
          <w:rFonts w:ascii="仿宋_GB2312" w:eastAsia="仿宋_GB2312"/>
          <w:b/>
          <w:bCs/>
          <w:color w:val="auto"/>
          <w:sz w:val="24"/>
          <w:szCs w:val="24"/>
        </w:rPr>
      </w:pPr>
      <w:r>
        <w:rPr>
          <w:rFonts w:hint="eastAsia" w:ascii="Times New Roman" w:hAnsi="Times New Roman" w:eastAsia="仿宋_GB2312" w:cs="Times New Roman"/>
          <w:b/>
          <w:bCs/>
          <w:color w:val="auto"/>
          <w:sz w:val="24"/>
          <w:szCs w:val="24"/>
          <w:u w:val="single"/>
          <w:lang w:val="en-US" w:eastAsia="zh-CN"/>
        </w:rPr>
        <w:t>德页1井</w:t>
      </w:r>
      <w:r>
        <w:rPr>
          <w:rFonts w:ascii="Times New Roman" w:hAnsi="Times New Roman" w:eastAsia="仿宋_GB2312" w:cs="Times New Roman"/>
          <w:b/>
          <w:bCs/>
          <w:color w:val="auto"/>
          <w:sz w:val="24"/>
          <w:szCs w:val="24"/>
          <w:u w:val="single"/>
        </w:rPr>
        <w:t>钻前工程</w:t>
      </w:r>
      <w:r>
        <w:rPr>
          <w:rFonts w:hint="eastAsia" w:ascii="仿宋_GB2312" w:eastAsia="仿宋_GB2312"/>
          <w:b/>
          <w:bCs/>
          <w:color w:val="auto"/>
          <w:sz w:val="24"/>
          <w:szCs w:val="24"/>
        </w:rPr>
        <w:t>水土保持方案报告表</w:t>
      </w:r>
    </w:p>
    <w:tbl>
      <w:tblPr>
        <w:tblStyle w:val="39"/>
        <w:tblW w:w="924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1125"/>
        <w:gridCol w:w="1821"/>
        <w:gridCol w:w="1133"/>
        <w:gridCol w:w="441"/>
        <w:gridCol w:w="552"/>
        <w:gridCol w:w="170"/>
        <w:gridCol w:w="853"/>
        <w:gridCol w:w="819"/>
        <w:gridCol w:w="756"/>
        <w:gridCol w:w="95"/>
        <w:gridCol w:w="148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restart"/>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项目概况</w:t>
            </w: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位置</w:t>
            </w:r>
          </w:p>
        </w:tc>
        <w:tc>
          <w:tcPr>
            <w:tcW w:w="6299" w:type="dxa"/>
            <w:gridSpan w:val="9"/>
            <w:tcBorders>
              <w:tl2br w:val="nil"/>
              <w:tr2bl w:val="nil"/>
            </w:tcBorders>
            <w:vAlign w:val="center"/>
          </w:tcPr>
          <w:p>
            <w:pPr>
              <w:adjustRightInd w:val="0"/>
              <w:snapToGrid w:val="0"/>
              <w:rPr>
                <w:rFonts w:hint="eastAsia"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南充市仪陇县日兴镇油坊村5社。</w:t>
            </w:r>
          </w:p>
          <w:p>
            <w:pPr>
              <w:adjustRightInd w:val="0"/>
              <w:snapToGrid w:val="0"/>
              <w:rPr>
                <w:rFonts w:hint="default" w:ascii="Times New Roman" w:hAnsi="Times New Roman" w:eastAsia="仿宋_GB2312" w:cs="Times New Roman"/>
                <w:color w:val="auto"/>
                <w:szCs w:val="21"/>
                <w:lang w:val="en-US"/>
              </w:rPr>
            </w:pPr>
            <w:r>
              <w:rPr>
                <w:rFonts w:hint="eastAsia" w:ascii="Times New Roman" w:hAnsi="Times New Roman" w:eastAsia="仿宋_GB2312" w:cs="Times New Roman"/>
                <w:color w:val="auto"/>
                <w:szCs w:val="21"/>
                <w:lang w:val="en-US" w:eastAsia="zh-CN"/>
              </w:rPr>
              <w:t>井场中心位置：106°29'23.03"E，31°31'23.51"N。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1444"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建设内容</w:t>
            </w:r>
          </w:p>
        </w:tc>
        <w:tc>
          <w:tcPr>
            <w:tcW w:w="6299" w:type="dxa"/>
            <w:gridSpan w:val="9"/>
            <w:tcBorders>
              <w:tl2br w:val="nil"/>
              <w:tr2bl w:val="nil"/>
            </w:tcBorders>
            <w:vAlign w:val="center"/>
          </w:tcPr>
          <w:p>
            <w:pPr>
              <w:adjustRightInd w:val="0"/>
              <w:snapToGrid w:val="0"/>
              <w:spacing w:line="288" w:lineRule="auto"/>
              <w:rPr>
                <w:rFonts w:hint="default" w:ascii="Times New Roman" w:hAnsi="Times New Roman" w:eastAsia="仿宋_GB2312" w:cs="Times New Roman"/>
                <w:b/>
                <w:color w:val="auto"/>
                <w:szCs w:val="21"/>
                <w:lang w:val="en-US"/>
              </w:rPr>
            </w:pPr>
            <w:r>
              <w:rPr>
                <w:rFonts w:hint="default" w:ascii="Times New Roman" w:hAnsi="Times New Roman" w:eastAsia="仿宋_GB2312" w:cs="Times New Roman"/>
                <w:color w:val="auto"/>
                <w:szCs w:val="21"/>
                <w:lang w:val="en-US" w:eastAsia="zh-CN"/>
              </w:rPr>
              <w:t>德页1井钻前工程位于</w:t>
            </w:r>
            <w:r>
              <w:rPr>
                <w:rFonts w:hint="default" w:ascii="Times New Roman" w:hAnsi="Times New Roman" w:eastAsia="仿宋_GB2312" w:cs="Times New Roman"/>
                <w:color w:val="auto"/>
                <w:szCs w:val="21"/>
                <w:lang w:val="en-US"/>
              </w:rPr>
              <w:t>四川省四川省南充市仪陇县日兴镇油坊村5社</w:t>
            </w:r>
            <w:r>
              <w:rPr>
                <w:rFonts w:hint="default" w:ascii="Times New Roman" w:hAnsi="Times New Roman" w:eastAsia="仿宋_GB2312" w:cs="Times New Roman"/>
                <w:color w:val="auto"/>
                <w:szCs w:val="21"/>
                <w:lang w:val="en-US" w:eastAsia="zh-CN"/>
              </w:rPr>
              <w:t>。德页1井</w:t>
            </w:r>
            <w:r>
              <w:rPr>
                <w:rFonts w:hint="default" w:ascii="Times New Roman" w:hAnsi="Times New Roman" w:eastAsia="仿宋_GB2312" w:cs="Times New Roman"/>
                <w:color w:val="auto"/>
                <w:szCs w:val="21"/>
                <w:lang w:val="en-US"/>
              </w:rPr>
              <w:t>预计井深 5140m，拟采用ZJ50D型钻机进行钻井作业，井场平面尺寸为100m（长）×55m（宽）。应急池500m</w:t>
            </w:r>
            <w:r>
              <w:rPr>
                <w:rFonts w:hint="default" w:ascii="Times New Roman" w:hAnsi="Times New Roman" w:eastAsia="仿宋_GB2312" w:cs="Times New Roman"/>
                <w:color w:val="auto"/>
                <w:szCs w:val="21"/>
                <w:vertAlign w:val="superscript"/>
                <w:lang w:val="en-US"/>
              </w:rPr>
              <w:t>3</w:t>
            </w:r>
            <w:r>
              <w:rPr>
                <w:rFonts w:hint="default" w:ascii="Times New Roman" w:hAnsi="Times New Roman" w:eastAsia="仿宋_GB2312" w:cs="Times New Roman"/>
                <w:color w:val="auto"/>
                <w:szCs w:val="21"/>
                <w:lang w:val="en-US"/>
              </w:rPr>
              <w:t>，泥浆储备罐6个，清洁生产操作平台450m</w:t>
            </w:r>
            <w:r>
              <w:rPr>
                <w:rFonts w:hint="default" w:ascii="Times New Roman" w:hAnsi="Times New Roman" w:eastAsia="仿宋_GB2312" w:cs="Times New Roman"/>
                <w:color w:val="auto"/>
                <w:szCs w:val="21"/>
                <w:vertAlign w:val="superscript"/>
                <w:lang w:val="en-US"/>
              </w:rPr>
              <w:t>2</w:t>
            </w:r>
            <w:r>
              <w:rPr>
                <w:rFonts w:hint="default" w:ascii="Times New Roman" w:hAnsi="Times New Roman" w:eastAsia="仿宋_GB2312" w:cs="Times New Roman"/>
                <w:color w:val="auto"/>
                <w:szCs w:val="21"/>
                <w:lang w:val="en-US"/>
              </w:rPr>
              <w:t>（其中 150m</w:t>
            </w:r>
            <w:r>
              <w:rPr>
                <w:rFonts w:hint="default" w:ascii="Times New Roman" w:hAnsi="Times New Roman" w:eastAsia="仿宋_GB2312" w:cs="Times New Roman"/>
                <w:color w:val="auto"/>
                <w:szCs w:val="21"/>
                <w:vertAlign w:val="superscript"/>
                <w:lang w:val="en-US"/>
              </w:rPr>
              <w:t>2</w:t>
            </w:r>
            <w:r>
              <w:rPr>
                <w:rFonts w:hint="default" w:ascii="Times New Roman" w:hAnsi="Times New Roman" w:eastAsia="仿宋_GB2312" w:cs="Times New Roman"/>
                <w:color w:val="auto"/>
                <w:szCs w:val="21"/>
                <w:lang w:val="en-US"/>
              </w:rPr>
              <w:t>作为岩屑堆放区），井队生活区一套，厕所2座，A类燃烧池1座，新建进场道路0.191km，新建生活区道路0.065km。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建设性质</w:t>
            </w:r>
          </w:p>
        </w:tc>
        <w:tc>
          <w:tcPr>
            <w:tcW w:w="2126" w:type="dxa"/>
            <w:gridSpan w:val="3"/>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kern w:val="0"/>
                <w:szCs w:val="21"/>
              </w:rPr>
              <w:t>新建，建设类</w:t>
            </w:r>
          </w:p>
        </w:tc>
        <w:tc>
          <w:tcPr>
            <w:tcW w:w="1842" w:type="dxa"/>
            <w:gridSpan w:val="3"/>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总投资（万元）</w:t>
            </w:r>
          </w:p>
        </w:tc>
        <w:tc>
          <w:tcPr>
            <w:tcW w:w="2331" w:type="dxa"/>
            <w:gridSpan w:val="3"/>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1450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vMerge w:val="restart"/>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土建投资（万元）</w:t>
            </w:r>
          </w:p>
        </w:tc>
        <w:tc>
          <w:tcPr>
            <w:tcW w:w="2126" w:type="dxa"/>
            <w:gridSpan w:val="3"/>
            <w:vMerge w:val="restart"/>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890</w:t>
            </w:r>
          </w:p>
        </w:tc>
        <w:tc>
          <w:tcPr>
            <w:tcW w:w="1842" w:type="dxa"/>
            <w:gridSpan w:val="3"/>
            <w:vMerge w:val="restart"/>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占地面积（hm</w:t>
            </w:r>
            <w:r>
              <w:rPr>
                <w:rFonts w:ascii="Times New Roman" w:hAnsi="Times New Roman" w:eastAsia="仿宋_GB2312" w:cs="Times New Roman"/>
                <w:color w:val="auto"/>
                <w:szCs w:val="21"/>
                <w:vertAlign w:val="superscript"/>
              </w:rPr>
              <w:t>2</w:t>
            </w:r>
            <w:r>
              <w:rPr>
                <w:rFonts w:ascii="Times New Roman" w:hAnsi="Times New Roman" w:eastAsia="仿宋_GB2312" w:cs="Times New Roman"/>
                <w:color w:val="auto"/>
                <w:szCs w:val="21"/>
              </w:rPr>
              <w:t>）</w:t>
            </w:r>
          </w:p>
        </w:tc>
        <w:tc>
          <w:tcPr>
            <w:tcW w:w="2331" w:type="dxa"/>
            <w:gridSpan w:val="3"/>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lang w:val="en-US" w:eastAsia="zh-CN"/>
              </w:rPr>
            </w:pPr>
            <w:r>
              <w:rPr>
                <w:rFonts w:ascii="Times New Roman" w:hAnsi="Times New Roman" w:eastAsia="仿宋_GB2312" w:cs="Times New Roman"/>
                <w:color w:val="auto"/>
                <w:szCs w:val="21"/>
              </w:rPr>
              <w:t>永久：</w:t>
            </w:r>
            <w:r>
              <w:rPr>
                <w:rFonts w:hint="eastAsia" w:ascii="Times New Roman" w:hAnsi="Times New Roman" w:eastAsia="仿宋_GB2312" w:cs="Times New Roman"/>
                <w:color w:val="auto"/>
                <w:szCs w:val="21"/>
                <w:lang w:val="en-US" w:eastAsia="zh-CN"/>
              </w:rPr>
              <w:t>0.00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2126" w:type="dxa"/>
            <w:gridSpan w:val="3"/>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42" w:type="dxa"/>
            <w:gridSpan w:val="3"/>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2331" w:type="dxa"/>
            <w:gridSpan w:val="3"/>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lang w:val="en-US"/>
              </w:rPr>
            </w:pPr>
            <w:r>
              <w:rPr>
                <w:rFonts w:ascii="Times New Roman" w:hAnsi="Times New Roman" w:eastAsia="仿宋_GB2312" w:cs="Times New Roman"/>
                <w:color w:val="auto"/>
                <w:szCs w:val="21"/>
              </w:rPr>
              <w:t>临时：</w:t>
            </w:r>
            <w:r>
              <w:rPr>
                <w:rFonts w:hint="eastAsia" w:ascii="Times New Roman" w:hAnsi="Times New Roman" w:eastAsia="仿宋_GB2312" w:cs="Times New Roman"/>
                <w:color w:val="auto"/>
                <w:szCs w:val="21"/>
                <w:lang w:val="en-US" w:eastAsia="zh-CN"/>
              </w:rPr>
              <w:t>1.76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动工时间</w:t>
            </w:r>
          </w:p>
        </w:tc>
        <w:tc>
          <w:tcPr>
            <w:tcW w:w="2126" w:type="dxa"/>
            <w:gridSpan w:val="3"/>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202</w:t>
            </w:r>
            <w:r>
              <w:rPr>
                <w:rFonts w:hint="eastAsia" w:ascii="Times New Roman" w:hAnsi="Times New Roman" w:eastAsia="仿宋_GB2312" w:cs="Times New Roman"/>
                <w:color w:val="auto"/>
                <w:szCs w:val="21"/>
                <w:lang w:val="en-US" w:eastAsia="zh-CN"/>
              </w:rPr>
              <w:t>2</w:t>
            </w:r>
            <w:r>
              <w:rPr>
                <w:rFonts w:ascii="Times New Roman" w:hAnsi="Times New Roman" w:eastAsia="仿宋_GB2312" w:cs="Times New Roman"/>
                <w:color w:val="auto"/>
                <w:szCs w:val="21"/>
              </w:rPr>
              <w:t>年</w:t>
            </w:r>
            <w:r>
              <w:rPr>
                <w:rFonts w:hint="eastAsia" w:ascii="Times New Roman" w:hAnsi="Times New Roman" w:eastAsia="仿宋_GB2312" w:cs="Times New Roman"/>
                <w:color w:val="auto"/>
                <w:szCs w:val="21"/>
                <w:lang w:val="en-US" w:eastAsia="zh-CN"/>
              </w:rPr>
              <w:t>9</w:t>
            </w:r>
            <w:r>
              <w:rPr>
                <w:rFonts w:ascii="Times New Roman" w:hAnsi="Times New Roman" w:eastAsia="仿宋_GB2312" w:cs="Times New Roman"/>
                <w:color w:val="auto"/>
                <w:szCs w:val="21"/>
              </w:rPr>
              <w:t>月</w:t>
            </w:r>
          </w:p>
        </w:tc>
        <w:tc>
          <w:tcPr>
            <w:tcW w:w="1842" w:type="dxa"/>
            <w:gridSpan w:val="3"/>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完工时间</w:t>
            </w:r>
          </w:p>
        </w:tc>
        <w:tc>
          <w:tcPr>
            <w:tcW w:w="2331" w:type="dxa"/>
            <w:gridSpan w:val="3"/>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202</w:t>
            </w:r>
            <w:r>
              <w:rPr>
                <w:rFonts w:hint="eastAsia" w:ascii="Times New Roman" w:hAnsi="Times New Roman" w:eastAsia="仿宋_GB2312" w:cs="Times New Roman"/>
                <w:color w:val="auto"/>
                <w:szCs w:val="21"/>
                <w:lang w:val="en-US" w:eastAsia="zh-CN"/>
              </w:rPr>
              <w:t>3</w:t>
            </w:r>
            <w:r>
              <w:rPr>
                <w:rFonts w:ascii="Times New Roman" w:hAnsi="Times New Roman" w:eastAsia="仿宋_GB2312" w:cs="Times New Roman"/>
                <w:color w:val="auto"/>
                <w:szCs w:val="21"/>
              </w:rPr>
              <w:t>年</w:t>
            </w:r>
            <w:r>
              <w:rPr>
                <w:rFonts w:hint="eastAsia" w:ascii="Times New Roman" w:hAnsi="Times New Roman" w:eastAsia="仿宋_GB2312" w:cs="Times New Roman"/>
                <w:color w:val="auto"/>
                <w:szCs w:val="21"/>
                <w:lang w:val="en-US" w:eastAsia="zh-CN"/>
              </w:rPr>
              <w:t>2</w:t>
            </w:r>
            <w:r>
              <w:rPr>
                <w:rFonts w:ascii="Times New Roman" w:hAnsi="Times New Roman" w:eastAsia="仿宋_GB2312" w:cs="Times New Roman"/>
                <w:color w:val="auto"/>
                <w:szCs w:val="21"/>
              </w:rPr>
              <w:t>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27"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vMerge w:val="restart"/>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土石方（</w:t>
            </w:r>
            <w:r>
              <w:rPr>
                <w:rFonts w:hint="eastAsia" w:ascii="Times New Roman" w:hAnsi="Times New Roman" w:eastAsia="仿宋_GB2312" w:cs="Times New Roman"/>
                <w:color w:val="auto"/>
                <w:szCs w:val="21"/>
                <w:lang w:val="en-US" w:eastAsia="zh-CN"/>
              </w:rPr>
              <w:t>万</w:t>
            </w:r>
            <w:r>
              <w:rPr>
                <w:rFonts w:ascii="Times New Roman" w:hAnsi="Times New Roman" w:eastAsia="仿宋_GB2312" w:cs="Times New Roman"/>
                <w:color w:val="auto"/>
                <w:szCs w:val="21"/>
              </w:rPr>
              <w:t>m</w:t>
            </w:r>
            <w:r>
              <w:rPr>
                <w:rFonts w:ascii="Times New Roman" w:hAnsi="Times New Roman" w:eastAsia="仿宋_GB2312" w:cs="Times New Roman"/>
                <w:color w:val="auto"/>
                <w:szCs w:val="21"/>
                <w:vertAlign w:val="superscript"/>
              </w:rPr>
              <w:t>3</w:t>
            </w:r>
            <w:r>
              <w:rPr>
                <w:rFonts w:ascii="Times New Roman" w:hAnsi="Times New Roman" w:eastAsia="仿宋_GB2312" w:cs="Times New Roman"/>
                <w:color w:val="auto"/>
                <w:szCs w:val="21"/>
              </w:rPr>
              <w:t>）</w:t>
            </w:r>
          </w:p>
        </w:tc>
        <w:tc>
          <w:tcPr>
            <w:tcW w:w="1574"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挖方</w:t>
            </w:r>
          </w:p>
        </w:tc>
        <w:tc>
          <w:tcPr>
            <w:tcW w:w="1575" w:type="dxa"/>
            <w:gridSpan w:val="3"/>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填方</w:t>
            </w:r>
          </w:p>
        </w:tc>
        <w:tc>
          <w:tcPr>
            <w:tcW w:w="1575"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借方</w:t>
            </w:r>
          </w:p>
        </w:tc>
        <w:tc>
          <w:tcPr>
            <w:tcW w:w="1575"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余方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27"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574" w:type="dxa"/>
            <w:gridSpan w:val="2"/>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2.13</w:t>
            </w:r>
          </w:p>
        </w:tc>
        <w:tc>
          <w:tcPr>
            <w:tcW w:w="1575" w:type="dxa"/>
            <w:gridSpan w:val="3"/>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2.13</w:t>
            </w:r>
          </w:p>
        </w:tc>
        <w:tc>
          <w:tcPr>
            <w:tcW w:w="1575"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p>
        </w:tc>
        <w:tc>
          <w:tcPr>
            <w:tcW w:w="1575"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27"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取土（石、砂）场</w:t>
            </w:r>
          </w:p>
        </w:tc>
        <w:tc>
          <w:tcPr>
            <w:tcW w:w="6299" w:type="dxa"/>
            <w:gridSpan w:val="9"/>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27"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弃土（石、砂）场</w:t>
            </w:r>
          </w:p>
        </w:tc>
        <w:tc>
          <w:tcPr>
            <w:tcW w:w="6299" w:type="dxa"/>
            <w:gridSpan w:val="9"/>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restart"/>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项目区概况</w:t>
            </w: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涉及重点</w:t>
            </w:r>
          </w:p>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防治区情况</w:t>
            </w:r>
          </w:p>
        </w:tc>
        <w:tc>
          <w:tcPr>
            <w:tcW w:w="2296"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沱江下游省级水土流失重点治理区</w:t>
            </w:r>
          </w:p>
        </w:tc>
        <w:tc>
          <w:tcPr>
            <w:tcW w:w="2523"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地貌类型</w:t>
            </w:r>
          </w:p>
        </w:tc>
        <w:tc>
          <w:tcPr>
            <w:tcW w:w="1480"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丘陵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27"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p>
        </w:tc>
        <w:tc>
          <w:tcPr>
            <w:tcW w:w="2954"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原地貌土壤侵蚀模数（t/km</w:t>
            </w:r>
            <w:r>
              <w:rPr>
                <w:rFonts w:ascii="Times New Roman" w:hAnsi="Times New Roman" w:eastAsia="仿宋_GB2312" w:cs="Times New Roman"/>
                <w:color w:val="auto"/>
                <w:szCs w:val="21"/>
                <w:highlight w:val="none"/>
                <w:vertAlign w:val="superscript"/>
              </w:rPr>
              <w:t>2</w:t>
            </w:r>
            <w:r>
              <w:rPr>
                <w:rFonts w:ascii="Times New Roman" w:hAnsi="Times New Roman" w:eastAsia="仿宋_GB2312" w:cs="Times New Roman"/>
                <w:color w:val="auto"/>
                <w:szCs w:val="21"/>
                <w:highlight w:val="none"/>
              </w:rPr>
              <w:t>.a）</w:t>
            </w:r>
          </w:p>
        </w:tc>
        <w:tc>
          <w:tcPr>
            <w:tcW w:w="1163" w:type="dxa"/>
            <w:gridSpan w:val="3"/>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1505</w:t>
            </w:r>
          </w:p>
        </w:tc>
        <w:tc>
          <w:tcPr>
            <w:tcW w:w="2523"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kern w:val="0"/>
                <w:szCs w:val="21"/>
                <w:highlight w:val="none"/>
              </w:rPr>
            </w:pPr>
            <w:r>
              <w:rPr>
                <w:rFonts w:ascii="Times New Roman" w:hAnsi="Times New Roman" w:eastAsia="仿宋_GB2312" w:cs="Times New Roman"/>
                <w:color w:val="auto"/>
                <w:szCs w:val="21"/>
                <w:highlight w:val="none"/>
              </w:rPr>
              <w:t>容许土壤流失量（t/km</w:t>
            </w:r>
            <w:r>
              <w:rPr>
                <w:rFonts w:ascii="Times New Roman" w:hAnsi="Times New Roman" w:eastAsia="仿宋_GB2312" w:cs="Times New Roman"/>
                <w:color w:val="auto"/>
                <w:szCs w:val="21"/>
                <w:highlight w:val="none"/>
                <w:vertAlign w:val="superscript"/>
              </w:rPr>
              <w:t>2</w:t>
            </w:r>
            <w:r>
              <w:rPr>
                <w:rFonts w:ascii="Times New Roman" w:hAnsi="Times New Roman" w:eastAsia="仿宋_GB2312" w:cs="Times New Roman"/>
                <w:color w:val="auto"/>
                <w:szCs w:val="21"/>
                <w:highlight w:val="none"/>
              </w:rPr>
              <w:t>.a）</w:t>
            </w:r>
          </w:p>
        </w:tc>
        <w:tc>
          <w:tcPr>
            <w:tcW w:w="1480" w:type="dxa"/>
            <w:tcBorders>
              <w:tl2br w:val="nil"/>
              <w:tr2bl w:val="nil"/>
            </w:tcBorders>
            <w:vAlign w:val="center"/>
          </w:tcPr>
          <w:p>
            <w:pPr>
              <w:adjustRightInd w:val="0"/>
              <w:snapToGrid w:val="0"/>
              <w:jc w:val="center"/>
              <w:rPr>
                <w:rFonts w:ascii="Times New Roman" w:hAnsi="Times New Roman" w:eastAsia="仿宋_GB2312" w:cs="Times New Roman"/>
                <w:color w:val="auto"/>
                <w:kern w:val="0"/>
                <w:szCs w:val="21"/>
                <w:highlight w:val="none"/>
              </w:rPr>
            </w:pPr>
            <w:r>
              <w:rPr>
                <w:rFonts w:ascii="Times New Roman" w:hAnsi="Times New Roman" w:eastAsia="仿宋_GB2312" w:cs="Times New Roman"/>
                <w:color w:val="auto"/>
                <w:kern w:val="0"/>
                <w:szCs w:val="21"/>
                <w:highlight w:val="none"/>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68" w:hRule="atLeast"/>
          <w:jc w:val="center"/>
        </w:trPr>
        <w:tc>
          <w:tcPr>
            <w:tcW w:w="2946"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项目选址（线）水土保持评价</w:t>
            </w:r>
          </w:p>
        </w:tc>
        <w:tc>
          <w:tcPr>
            <w:tcW w:w="6299" w:type="dxa"/>
            <w:gridSpan w:val="9"/>
            <w:tcBorders>
              <w:tl2br w:val="nil"/>
              <w:tr2bl w:val="nil"/>
            </w:tcBorders>
            <w:vAlign w:val="center"/>
          </w:tcPr>
          <w:p>
            <w:pPr>
              <w:adjustRightInd w:val="0"/>
              <w:snapToGrid w:val="0"/>
              <w:spacing w:line="324" w:lineRule="auto"/>
              <w:rPr>
                <w:rFonts w:ascii="Times New Roman" w:hAnsi="Times New Roman" w:eastAsia="仿宋_GB2312" w:cs="Times New Roman"/>
                <w:color w:val="auto"/>
                <w:szCs w:val="21"/>
              </w:rPr>
            </w:pPr>
            <w:r>
              <w:rPr>
                <w:rFonts w:hint="eastAsia" w:ascii="Times New Roman" w:hAnsi="Times New Roman" w:eastAsia="仿宋_GB2312" w:cs="Times New Roman"/>
                <w:szCs w:val="21"/>
              </w:rPr>
              <w:t>本</w:t>
            </w:r>
            <w:r>
              <w:rPr>
                <w:rFonts w:ascii="Times New Roman" w:hAnsi="Times New Roman" w:eastAsia="仿宋_GB2312" w:cs="Times New Roman"/>
                <w:szCs w:val="21"/>
              </w:rPr>
              <w:t>项目建设符合国家</w:t>
            </w:r>
            <w:r>
              <w:rPr>
                <w:rFonts w:hint="eastAsia" w:ascii="Times New Roman" w:hAnsi="Times New Roman" w:eastAsia="仿宋_GB2312" w:cs="Times New Roman"/>
                <w:szCs w:val="21"/>
              </w:rPr>
              <w:t>现行</w:t>
            </w:r>
            <w:r>
              <w:rPr>
                <w:rFonts w:ascii="Times New Roman" w:hAnsi="Times New Roman" w:eastAsia="仿宋_GB2312" w:cs="Times New Roman"/>
                <w:szCs w:val="21"/>
              </w:rPr>
              <w:t>产业政策和地方相关规划的要求，项目区不属于水土流失严重和生态环境脆弱区，不属于国家重要江河、湖泊的水功能一级区和饮用水源区；未涉及国家水土保持监测网络中的水土保持监测站点和重点试验区；不涉及河流两岸、湖泊和水库周边的植物保护带；</w:t>
            </w:r>
            <w:r>
              <w:rPr>
                <w:rFonts w:hint="eastAsia" w:ascii="Times New Roman" w:hAnsi="Times New Roman" w:eastAsia="仿宋_GB2312" w:cs="Times New Roman"/>
                <w:szCs w:val="21"/>
              </w:rPr>
              <w:t>工程</w:t>
            </w:r>
            <w:r>
              <w:rPr>
                <w:rFonts w:ascii="Times New Roman" w:hAnsi="Times New Roman" w:eastAsia="仿宋_GB2312" w:cs="Times New Roman"/>
                <w:szCs w:val="21"/>
              </w:rPr>
              <w:t>选址（线）无法避让</w:t>
            </w:r>
            <w:r>
              <w:rPr>
                <w:rFonts w:hint="eastAsia" w:ascii="Times New Roman" w:hAnsi="Times New Roman" w:eastAsia="仿宋_GB2312" w:cs="Times New Roman"/>
                <w:szCs w:val="21"/>
              </w:rPr>
              <w:t>嘉陵江及沱江中下游国家级水土流失重点治理区</w:t>
            </w:r>
            <w:r>
              <w:rPr>
                <w:rFonts w:ascii="Times New Roman" w:hAnsi="Times New Roman" w:eastAsia="仿宋_GB2312" w:cs="Times New Roman"/>
                <w:szCs w:val="21"/>
              </w:rPr>
              <w:t>，水土流失防治标准采用一级标准，并提高植物措施标准，主体工程设计和施工中优化了施工工艺，减少地表扰动和植被损坏范围，有效控制了水土流失，符合水土保持法相关规定，总体来看，</w:t>
            </w:r>
            <w:r>
              <w:rPr>
                <w:rFonts w:hint="eastAsia" w:ascii="Times New Roman" w:hAnsi="Times New Roman" w:eastAsia="仿宋_GB2312" w:cs="Times New Roman"/>
                <w:szCs w:val="21"/>
              </w:rPr>
              <w:t>本项目</w:t>
            </w:r>
            <w:r>
              <w:rPr>
                <w:rFonts w:ascii="Times New Roman" w:hAnsi="Times New Roman" w:eastAsia="仿宋_GB2312" w:cs="Times New Roman"/>
                <w:szCs w:val="21"/>
              </w:rPr>
              <w:t>工程选址（线）符合水土保持相关要求。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90" w:hRule="atLeast"/>
          <w:jc w:val="center"/>
        </w:trPr>
        <w:tc>
          <w:tcPr>
            <w:tcW w:w="2946"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预测水土流失总量</w:t>
            </w:r>
          </w:p>
        </w:tc>
        <w:tc>
          <w:tcPr>
            <w:tcW w:w="6299" w:type="dxa"/>
            <w:gridSpan w:val="9"/>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hint="eastAsia" w:ascii="Times New Roman" w:hAnsi="Times New Roman" w:eastAsia="仿宋_GB2312" w:cs="Times New Roman"/>
                <w:color w:val="auto"/>
                <w:szCs w:val="21"/>
                <w:highlight w:val="none"/>
                <w:lang w:val="en-US" w:eastAsia="zh-CN"/>
              </w:rPr>
              <w:t>185.38t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33" w:hRule="atLeast"/>
          <w:jc w:val="center"/>
        </w:trPr>
        <w:tc>
          <w:tcPr>
            <w:tcW w:w="2946" w:type="dxa"/>
            <w:gridSpan w:val="2"/>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防治责任范围（hm</w:t>
            </w:r>
            <w:r>
              <w:rPr>
                <w:rFonts w:ascii="Times New Roman" w:hAnsi="Times New Roman" w:eastAsia="仿宋_GB2312" w:cs="Times New Roman"/>
                <w:color w:val="auto"/>
                <w:szCs w:val="21"/>
                <w:vertAlign w:val="superscript"/>
              </w:rPr>
              <w:t>2</w:t>
            </w:r>
            <w:r>
              <w:rPr>
                <w:rFonts w:ascii="Times New Roman" w:hAnsi="Times New Roman" w:eastAsia="仿宋_GB2312" w:cs="Times New Roman"/>
                <w:color w:val="auto"/>
                <w:szCs w:val="21"/>
              </w:rPr>
              <w:t>）</w:t>
            </w:r>
          </w:p>
        </w:tc>
        <w:tc>
          <w:tcPr>
            <w:tcW w:w="6299" w:type="dxa"/>
            <w:gridSpan w:val="9"/>
            <w:tcBorders>
              <w:tl2br w:val="nil"/>
              <w:tr2bl w:val="nil"/>
            </w:tcBorders>
            <w:vAlign w:val="center"/>
          </w:tcPr>
          <w:p>
            <w:pPr>
              <w:adjustRightInd w:val="0"/>
              <w:snapToGrid w:val="0"/>
              <w:jc w:val="center"/>
              <w:rPr>
                <w:rFonts w:hint="default" w:ascii="Times New Roman" w:hAnsi="Times New Roman" w:eastAsia="仿宋_GB2312" w:cs="Times New Roman"/>
                <w:color w:val="auto"/>
                <w:szCs w:val="21"/>
                <w:lang w:val="en-US" w:eastAsia="zh-CN"/>
              </w:rPr>
            </w:pPr>
            <w:r>
              <w:rPr>
                <w:rFonts w:hint="eastAsia" w:ascii="Times New Roman" w:hAnsi="Times New Roman" w:eastAsia="仿宋_GB2312" w:cs="Times New Roman"/>
                <w:color w:val="auto"/>
                <w:szCs w:val="21"/>
                <w:lang w:val="en-US" w:eastAsia="zh-CN"/>
              </w:rPr>
              <w:t>1.76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233" w:hRule="atLeast"/>
          <w:jc w:val="center"/>
        </w:trPr>
        <w:tc>
          <w:tcPr>
            <w:tcW w:w="1125" w:type="dxa"/>
            <w:vMerge w:val="restart"/>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防治标准等级及</w:t>
            </w:r>
          </w:p>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目标</w:t>
            </w: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防治标准等级</w:t>
            </w:r>
          </w:p>
        </w:tc>
        <w:tc>
          <w:tcPr>
            <w:tcW w:w="6299" w:type="dxa"/>
            <w:gridSpan w:val="9"/>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kern w:val="24"/>
                <w:szCs w:val="21"/>
              </w:rPr>
              <w:t>西南紫色土区一级标准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水土流失治理度（%）</w:t>
            </w:r>
          </w:p>
        </w:tc>
        <w:tc>
          <w:tcPr>
            <w:tcW w:w="2296"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97</w:t>
            </w:r>
          </w:p>
        </w:tc>
        <w:tc>
          <w:tcPr>
            <w:tcW w:w="2523"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土壤流失控制比</w:t>
            </w:r>
          </w:p>
        </w:tc>
        <w:tc>
          <w:tcPr>
            <w:tcW w:w="1480"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34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渣土防护率（%）</w:t>
            </w:r>
          </w:p>
        </w:tc>
        <w:tc>
          <w:tcPr>
            <w:tcW w:w="2296"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92</w:t>
            </w:r>
          </w:p>
        </w:tc>
        <w:tc>
          <w:tcPr>
            <w:tcW w:w="2523"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表土保护率（%）</w:t>
            </w:r>
          </w:p>
        </w:tc>
        <w:tc>
          <w:tcPr>
            <w:tcW w:w="1480"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108" w:type="dxa"/>
            <w:bottom w:w="28" w:type="dxa"/>
            <w:right w:w="108" w:type="dxa"/>
          </w:tblCellMar>
        </w:tblPrEx>
        <w:trPr>
          <w:cantSplit/>
          <w:trHeight w:val="170" w:hRule="atLeast"/>
          <w:jc w:val="center"/>
        </w:trPr>
        <w:tc>
          <w:tcPr>
            <w:tcW w:w="1125" w:type="dxa"/>
            <w:vMerge w:val="continue"/>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p>
        </w:tc>
        <w:tc>
          <w:tcPr>
            <w:tcW w:w="1821" w:type="dxa"/>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林草植被恢复率（%）</w:t>
            </w:r>
          </w:p>
        </w:tc>
        <w:tc>
          <w:tcPr>
            <w:tcW w:w="2296"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97</w:t>
            </w:r>
          </w:p>
        </w:tc>
        <w:tc>
          <w:tcPr>
            <w:tcW w:w="2523" w:type="dxa"/>
            <w:gridSpan w:val="4"/>
            <w:tcBorders>
              <w:tl2br w:val="nil"/>
              <w:tr2bl w:val="nil"/>
            </w:tcBorders>
            <w:vAlign w:val="center"/>
          </w:tcPr>
          <w:p>
            <w:pPr>
              <w:adjustRightInd w:val="0"/>
              <w:snapToGrid w:val="0"/>
              <w:jc w:val="center"/>
              <w:rPr>
                <w:rFonts w:ascii="Times New Roman" w:hAnsi="Times New Roman" w:eastAsia="仿宋_GB2312" w:cs="Times New Roman"/>
                <w:color w:val="auto"/>
                <w:szCs w:val="21"/>
              </w:rPr>
            </w:pPr>
            <w:r>
              <w:rPr>
                <w:rFonts w:ascii="Times New Roman" w:hAnsi="Times New Roman" w:eastAsia="仿宋_GB2312" w:cs="Times New Roman"/>
                <w:color w:val="auto"/>
                <w:szCs w:val="21"/>
              </w:rPr>
              <w:t>林草覆盖率（%）</w:t>
            </w:r>
          </w:p>
        </w:tc>
        <w:tc>
          <w:tcPr>
            <w:tcW w:w="1480" w:type="dxa"/>
            <w:tcBorders>
              <w:tl2br w:val="nil"/>
              <w:tr2bl w:val="nil"/>
            </w:tcBorders>
            <w:vAlign w:val="center"/>
          </w:tcPr>
          <w:p>
            <w:pPr>
              <w:adjustRightInd w:val="0"/>
              <w:snapToGrid w:val="0"/>
              <w:jc w:val="center"/>
              <w:rPr>
                <w:rFonts w:hint="eastAsia" w:ascii="Times New Roman" w:hAnsi="Times New Roman" w:eastAsia="仿宋_GB2312" w:cs="Times New Roman"/>
                <w:color w:val="auto"/>
                <w:szCs w:val="21"/>
                <w:lang w:eastAsia="zh-CN"/>
              </w:rPr>
            </w:pPr>
            <w:r>
              <w:rPr>
                <w:rFonts w:hint="eastAsia" w:ascii="Times New Roman" w:hAnsi="Times New Roman" w:eastAsia="仿宋_GB2312" w:cs="Times New Roman"/>
                <w:color w:val="auto"/>
                <w:szCs w:val="21"/>
              </w:rPr>
              <w:t>2</w:t>
            </w:r>
            <w:r>
              <w:rPr>
                <w:rFonts w:hint="eastAsia" w:ascii="Times New Roman" w:hAnsi="Times New Roman" w:eastAsia="仿宋_GB2312" w:cs="Times New Roman"/>
                <w:color w:val="auto"/>
                <w:szCs w:val="21"/>
                <w:lang w:val="en-US" w:eastAsia="zh-CN"/>
              </w:rPr>
              <w:t>5</w:t>
            </w:r>
          </w:p>
        </w:tc>
      </w:tr>
    </w:tbl>
    <w:p>
      <w:pPr>
        <w:jc w:val="center"/>
        <w:rPr>
          <w:rFonts w:ascii="仿宋_GB2312" w:eastAsia="仿宋_GB2312"/>
          <w:b/>
          <w:bCs/>
          <w:color w:val="auto"/>
          <w:sz w:val="24"/>
          <w:szCs w:val="24"/>
        </w:rPr>
      </w:pPr>
      <w:r>
        <w:rPr>
          <w:rFonts w:hint="eastAsia" w:ascii="仿宋_GB2312" w:eastAsia="仿宋_GB2312"/>
          <w:b/>
          <w:bCs/>
          <w:color w:val="auto"/>
          <w:sz w:val="24"/>
          <w:szCs w:val="24"/>
        </w:rPr>
        <w:t>续表</w:t>
      </w:r>
    </w:p>
    <w:tbl>
      <w:tblPr>
        <w:tblStyle w:val="39"/>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1125"/>
        <w:gridCol w:w="534"/>
        <w:gridCol w:w="1349"/>
        <w:gridCol w:w="1725"/>
        <w:gridCol w:w="826"/>
        <w:gridCol w:w="660"/>
        <w:gridCol w:w="146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340" w:hRule="atLeast"/>
          <w:jc w:val="center"/>
        </w:trPr>
        <w:tc>
          <w:tcPr>
            <w:tcW w:w="1125" w:type="dxa"/>
            <w:vAlign w:val="center"/>
          </w:tcPr>
          <w:p>
            <w:pPr>
              <w:adjustRightInd w:val="0"/>
              <w:snapToGrid w:val="0"/>
              <w:jc w:val="center"/>
              <w:rPr>
                <w:rFonts w:eastAsia="仿宋_GB2312"/>
                <w:color w:val="auto"/>
                <w:szCs w:val="21"/>
              </w:rPr>
            </w:pPr>
            <w:r>
              <w:rPr>
                <w:rFonts w:ascii="Times New Roman" w:hAnsi="Times New Roman" w:eastAsia="仿宋_GB2312" w:cs="Times New Roman"/>
                <w:color w:val="auto"/>
                <w:szCs w:val="21"/>
              </w:rPr>
              <w:t>水土保持措施</w:t>
            </w:r>
          </w:p>
        </w:tc>
        <w:tc>
          <w:tcPr>
            <w:tcW w:w="8120" w:type="dxa"/>
            <w:gridSpan w:val="7"/>
            <w:vAlign w:val="center"/>
          </w:tcPr>
          <w:p>
            <w:pPr>
              <w:adjustRightInd w:val="0"/>
              <w:snapToGrid w:val="0"/>
              <w:spacing w:line="360" w:lineRule="auto"/>
              <w:ind w:firstLine="420" w:firstLineChars="200"/>
              <w:rPr>
                <w:rFonts w:ascii="Times New Roman" w:hAnsi="Times New Roman" w:eastAsia="仿宋_GB2312" w:cs="Times New Roman"/>
                <w:color w:val="auto"/>
                <w:sz w:val="21"/>
                <w:szCs w:val="21"/>
                <w:highlight w:val="none"/>
                <w:shd w:val="clear" w:color="auto" w:fill="auto"/>
              </w:rPr>
            </w:pPr>
            <w:r>
              <w:rPr>
                <w:rFonts w:hint="eastAsia" w:ascii="Times New Roman" w:hAnsi="Times New Roman" w:eastAsia="仿宋_GB2312" w:cs="Times New Roman"/>
                <w:color w:val="auto"/>
                <w:sz w:val="21"/>
                <w:szCs w:val="21"/>
                <w:highlight w:val="none"/>
                <w:shd w:val="clear" w:color="auto" w:fill="auto"/>
              </w:rPr>
              <w:t>（1）井场及附属工程区</w:t>
            </w:r>
          </w:p>
          <w:p>
            <w:pPr>
              <w:adjustRightInd w:val="0"/>
              <w:snapToGrid w:val="0"/>
              <w:spacing w:line="360" w:lineRule="auto"/>
              <w:ind w:firstLine="420" w:firstLineChars="200"/>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工程措施：</w:t>
            </w:r>
            <w:r>
              <w:rPr>
                <w:rFonts w:hint="eastAsia" w:ascii="Times New Roman" w:hAnsi="Times New Roman" w:eastAsia="仿宋_GB2312" w:cs="Times New Roman"/>
                <w:color w:val="auto"/>
                <w:sz w:val="21"/>
                <w:szCs w:val="21"/>
                <w:highlight w:val="none"/>
                <w:u w:val="single"/>
                <w:lang w:val="en-US" w:eastAsia="zh-CN"/>
              </w:rPr>
              <w:t>场内排水沟285m，场外</w:t>
            </w:r>
            <w:r>
              <w:rPr>
                <w:rFonts w:ascii="Times New Roman" w:hAnsi="Times New Roman" w:eastAsia="仿宋_GB2312" w:cs="Times New Roman"/>
                <w:color w:val="auto"/>
                <w:sz w:val="21"/>
                <w:szCs w:val="21"/>
                <w:highlight w:val="none"/>
                <w:u w:val="single"/>
              </w:rPr>
              <w:t>排水沟</w:t>
            </w:r>
            <w:r>
              <w:rPr>
                <w:rFonts w:hint="eastAsia" w:ascii="Times New Roman" w:hAnsi="Times New Roman" w:eastAsia="仿宋_GB2312" w:cs="Times New Roman"/>
                <w:color w:val="auto"/>
                <w:sz w:val="21"/>
                <w:szCs w:val="21"/>
                <w:highlight w:val="none"/>
                <w:u w:val="single"/>
                <w:lang w:val="en-US" w:eastAsia="zh-CN"/>
              </w:rPr>
              <w:t>433</w:t>
            </w:r>
            <w:r>
              <w:rPr>
                <w:rFonts w:ascii="Times New Roman" w:hAnsi="Times New Roman" w:eastAsia="仿宋_GB2312" w:cs="Times New Roman"/>
                <w:color w:val="auto"/>
                <w:sz w:val="21"/>
                <w:szCs w:val="21"/>
                <w:highlight w:val="none"/>
                <w:u w:val="single"/>
              </w:rPr>
              <w:t>m，表土剥离0.</w:t>
            </w:r>
            <w:r>
              <w:rPr>
                <w:rFonts w:hint="eastAsia" w:ascii="Times New Roman" w:hAnsi="Times New Roman" w:eastAsia="仿宋_GB2312" w:cs="Times New Roman"/>
                <w:color w:val="auto"/>
                <w:sz w:val="21"/>
                <w:szCs w:val="21"/>
                <w:highlight w:val="none"/>
                <w:u w:val="single"/>
                <w:lang w:val="en-US" w:eastAsia="zh-CN"/>
              </w:rPr>
              <w:t>45</w:t>
            </w:r>
            <w:r>
              <w:rPr>
                <w:rFonts w:ascii="Times New Roman" w:hAnsi="Times New Roman" w:eastAsia="仿宋_GB2312" w:cs="Times New Roman"/>
                <w:color w:val="auto"/>
                <w:sz w:val="21"/>
                <w:szCs w:val="21"/>
                <w:highlight w:val="none"/>
                <w:u w:val="single"/>
              </w:rPr>
              <w:t>万m</w:t>
            </w:r>
            <w:r>
              <w:rPr>
                <w:rFonts w:ascii="Times New Roman" w:hAnsi="Times New Roman" w:eastAsia="仿宋_GB2312" w:cs="Times New Roman"/>
                <w:color w:val="auto"/>
                <w:sz w:val="21"/>
                <w:szCs w:val="21"/>
                <w:highlight w:val="none"/>
                <w:u w:val="single"/>
                <w:vertAlign w:val="superscript"/>
              </w:rPr>
              <w:t>3</w:t>
            </w:r>
            <w:r>
              <w:rPr>
                <w:rFonts w:hint="eastAsia" w:ascii="Times New Roman" w:hAnsi="Times New Roman" w:eastAsia="仿宋_GB2312" w:cs="Times New Roman"/>
                <w:color w:val="auto"/>
                <w:sz w:val="21"/>
                <w:szCs w:val="21"/>
                <w:highlight w:val="none"/>
                <w:u w:val="single"/>
                <w:lang w:val="en-US" w:eastAsia="zh-CN"/>
              </w:rPr>
              <w:t>，</w:t>
            </w:r>
            <w:r>
              <w:rPr>
                <w:rFonts w:ascii="Times New Roman" w:hAnsi="Times New Roman" w:eastAsia="仿宋_GB2312" w:cs="Times New Roman"/>
                <w:color w:val="auto"/>
                <w:sz w:val="21"/>
                <w:szCs w:val="21"/>
                <w:highlight w:val="none"/>
              </w:rPr>
              <w:t>表土回覆0</w:t>
            </w:r>
            <w:r>
              <w:rPr>
                <w:rFonts w:hint="eastAsia" w:ascii="Times New Roman" w:hAnsi="Times New Roman" w:eastAsia="仿宋_GB2312" w:cs="Times New Roman"/>
                <w:color w:val="auto"/>
                <w:sz w:val="21"/>
                <w:szCs w:val="21"/>
                <w:highlight w:val="none"/>
                <w:lang w:val="en-US" w:eastAsia="zh-CN"/>
              </w:rPr>
              <w:t>.44</w:t>
            </w:r>
            <w:r>
              <w:rPr>
                <w:rFonts w:ascii="Times New Roman" w:hAnsi="Times New Roman" w:eastAsia="仿宋_GB2312" w:cs="Times New Roman"/>
                <w:color w:val="auto"/>
                <w:sz w:val="21"/>
                <w:szCs w:val="21"/>
                <w:highlight w:val="none"/>
              </w:rPr>
              <w:t>万m</w:t>
            </w:r>
            <w:r>
              <w:rPr>
                <w:rFonts w:ascii="Times New Roman" w:hAnsi="Times New Roman" w:eastAsia="仿宋_GB2312" w:cs="Times New Roman"/>
                <w:color w:val="auto"/>
                <w:sz w:val="21"/>
                <w:szCs w:val="21"/>
                <w:highlight w:val="none"/>
                <w:vertAlign w:val="superscript"/>
              </w:rPr>
              <w:t>3</w:t>
            </w:r>
            <w:r>
              <w:rPr>
                <w:rFonts w:ascii="Times New Roman" w:hAnsi="Times New Roman" w:eastAsia="仿宋_GB2312" w:cs="Times New Roman"/>
                <w:color w:val="auto"/>
                <w:sz w:val="21"/>
                <w:szCs w:val="21"/>
                <w:highlight w:val="none"/>
              </w:rPr>
              <w:t>，土地整治</w:t>
            </w:r>
            <w:r>
              <w:rPr>
                <w:rFonts w:hint="eastAsia" w:ascii="Times New Roman" w:hAnsi="Times New Roman" w:eastAsia="仿宋_GB2312" w:cs="Times New Roman"/>
                <w:color w:val="auto"/>
                <w:sz w:val="21"/>
                <w:szCs w:val="21"/>
                <w:highlight w:val="none"/>
                <w:lang w:val="en-US" w:eastAsia="zh-CN"/>
              </w:rPr>
              <w:t>1.13</w:t>
            </w:r>
            <w:r>
              <w:rPr>
                <w:rFonts w:hint="eastAsia" w:ascii="Times New Roman" w:hAnsi="Times New Roman" w:eastAsia="仿宋_GB2312" w:cs="Times New Roman"/>
                <w:color w:val="auto"/>
                <w:sz w:val="21"/>
                <w:szCs w:val="21"/>
                <w:highlight w:val="none"/>
                <w:lang w:eastAsia="zh-CN"/>
              </w:rPr>
              <w:t>hm</w:t>
            </w:r>
            <w:r>
              <w:rPr>
                <w:rFonts w:hint="eastAsia" w:ascii="Times New Roman" w:hAnsi="Times New Roman" w:eastAsia="仿宋_GB2312" w:cs="Times New Roman"/>
                <w:color w:val="auto"/>
                <w:sz w:val="21"/>
                <w:szCs w:val="21"/>
                <w:highlight w:val="none"/>
                <w:vertAlign w:val="superscript"/>
                <w:lang w:eastAsia="zh-CN"/>
              </w:rPr>
              <w:t>2</w:t>
            </w:r>
            <w:r>
              <w:rPr>
                <w:rFonts w:ascii="Times New Roman" w:hAnsi="Times New Roman" w:eastAsia="仿宋_GB2312" w:cs="Times New Roman"/>
                <w:color w:val="auto"/>
                <w:sz w:val="21"/>
                <w:szCs w:val="21"/>
                <w:highlight w:val="none"/>
              </w:rPr>
              <w:t>，复耕</w:t>
            </w:r>
            <w:r>
              <w:rPr>
                <w:rFonts w:hint="eastAsia" w:ascii="Times New Roman" w:hAnsi="Times New Roman" w:eastAsia="仿宋_GB2312" w:cs="Times New Roman"/>
                <w:color w:val="auto"/>
                <w:sz w:val="21"/>
                <w:szCs w:val="21"/>
                <w:highlight w:val="none"/>
                <w:lang w:val="en-US" w:eastAsia="zh-CN"/>
              </w:rPr>
              <w:t>1.13</w:t>
            </w:r>
            <w:r>
              <w:rPr>
                <w:rFonts w:hint="eastAsia" w:ascii="Times New Roman" w:hAnsi="Times New Roman" w:eastAsia="仿宋_GB2312" w:cs="Times New Roman"/>
                <w:color w:val="auto"/>
                <w:sz w:val="21"/>
                <w:szCs w:val="21"/>
                <w:highlight w:val="none"/>
                <w:lang w:eastAsia="zh-CN"/>
              </w:rPr>
              <w:t>hm</w:t>
            </w:r>
            <w:r>
              <w:rPr>
                <w:rFonts w:hint="eastAsia" w:ascii="Times New Roman" w:hAnsi="Times New Roman" w:eastAsia="仿宋_GB2312" w:cs="Times New Roman"/>
                <w:color w:val="auto"/>
                <w:sz w:val="21"/>
                <w:szCs w:val="21"/>
                <w:highlight w:val="none"/>
                <w:vertAlign w:val="superscript"/>
                <w:lang w:eastAsia="zh-CN"/>
              </w:rPr>
              <w:t>2</w:t>
            </w:r>
            <w:r>
              <w:rPr>
                <w:rFonts w:ascii="Times New Roman" w:hAnsi="Times New Roman" w:eastAsia="仿宋_GB2312" w:cs="Times New Roman"/>
                <w:color w:val="auto"/>
                <w:sz w:val="21"/>
                <w:szCs w:val="21"/>
                <w:highlight w:val="none"/>
              </w:rPr>
              <w:t>；</w:t>
            </w:r>
          </w:p>
          <w:p>
            <w:pPr>
              <w:adjustRightInd w:val="0"/>
              <w:snapToGrid w:val="0"/>
              <w:spacing w:line="360" w:lineRule="auto"/>
              <w:ind w:firstLine="420" w:firstLineChars="200"/>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植物措施：</w:t>
            </w:r>
            <w:r>
              <w:rPr>
                <w:rFonts w:hint="eastAsia" w:ascii="Times New Roman" w:hAnsi="Times New Roman" w:eastAsia="仿宋_GB2312" w:cs="Times New Roman"/>
                <w:color w:val="auto"/>
                <w:sz w:val="21"/>
                <w:szCs w:val="21"/>
                <w:highlight w:val="none"/>
                <w:u w:val="single"/>
                <w:lang w:val="en-US" w:eastAsia="zh-CN"/>
              </w:rPr>
              <w:t>撒播草籽900</w:t>
            </w:r>
            <w:r>
              <w:rPr>
                <w:rFonts w:ascii="Times New Roman" w:hAnsi="Times New Roman" w:eastAsia="仿宋_GB2312" w:cs="Times New Roman"/>
                <w:color w:val="auto"/>
                <w:sz w:val="21"/>
                <w:szCs w:val="21"/>
                <w:highlight w:val="none"/>
                <w:u w:val="single"/>
              </w:rPr>
              <w:t>m</w:t>
            </w:r>
            <w:r>
              <w:rPr>
                <w:rFonts w:ascii="Times New Roman" w:hAnsi="Times New Roman" w:eastAsia="仿宋_GB2312" w:cs="Times New Roman"/>
                <w:color w:val="auto"/>
                <w:sz w:val="21"/>
                <w:szCs w:val="21"/>
                <w:highlight w:val="none"/>
                <w:u w:val="single"/>
                <w:vertAlign w:val="superscript"/>
              </w:rPr>
              <w:t>2</w:t>
            </w:r>
            <w:r>
              <w:rPr>
                <w:rFonts w:ascii="Times New Roman" w:hAnsi="Times New Roman" w:eastAsia="仿宋_GB2312" w:cs="Times New Roman"/>
                <w:color w:val="auto"/>
                <w:sz w:val="21"/>
                <w:szCs w:val="21"/>
                <w:highlight w:val="none"/>
                <w:u w:val="single"/>
              </w:rPr>
              <w:t>；</w:t>
            </w:r>
            <w:r>
              <w:rPr>
                <w:rFonts w:ascii="Times New Roman" w:hAnsi="Times New Roman" w:eastAsia="仿宋_GB2312" w:cs="Times New Roman"/>
                <w:color w:val="auto"/>
                <w:sz w:val="21"/>
                <w:szCs w:val="21"/>
                <w:highlight w:val="none"/>
              </w:rPr>
              <w:t xml:space="preserve"> </w:t>
            </w:r>
          </w:p>
          <w:p>
            <w:pPr>
              <w:adjustRightInd w:val="0"/>
              <w:snapToGrid w:val="0"/>
              <w:spacing w:line="360" w:lineRule="auto"/>
              <w:ind w:firstLine="420" w:firstLineChars="200"/>
              <w:rPr>
                <w:rFonts w:hint="eastAsia" w:ascii="Times New Roman" w:hAnsi="Times New Roman" w:eastAsia="仿宋_GB2312" w:cs="Times New Roman"/>
                <w:color w:val="auto"/>
                <w:sz w:val="21"/>
                <w:szCs w:val="21"/>
                <w:highlight w:val="none"/>
                <w:shd w:val="clear" w:color="auto" w:fill="auto"/>
                <w:lang w:val="en-US" w:eastAsia="zh-CN"/>
              </w:rPr>
            </w:pPr>
            <w:r>
              <w:rPr>
                <w:rFonts w:ascii="Times New Roman" w:hAnsi="Times New Roman" w:eastAsia="仿宋_GB2312" w:cs="Times New Roman"/>
                <w:color w:val="auto"/>
                <w:sz w:val="21"/>
                <w:szCs w:val="21"/>
                <w:highlight w:val="none"/>
              </w:rPr>
              <w:t>临时措施：临时土质排水沟</w:t>
            </w:r>
            <w:r>
              <w:rPr>
                <w:rFonts w:hint="eastAsia" w:ascii="Times New Roman" w:hAnsi="Times New Roman" w:eastAsia="仿宋_GB2312" w:cs="Times New Roman"/>
                <w:color w:val="auto"/>
                <w:sz w:val="21"/>
                <w:szCs w:val="21"/>
                <w:highlight w:val="none"/>
                <w:lang w:val="en-US" w:eastAsia="zh-CN"/>
              </w:rPr>
              <w:t>435</w:t>
            </w:r>
            <w:r>
              <w:rPr>
                <w:rFonts w:ascii="Times New Roman" w:hAnsi="Times New Roman" w:eastAsia="仿宋_GB2312" w:cs="Times New Roman"/>
                <w:color w:val="auto"/>
                <w:sz w:val="21"/>
                <w:szCs w:val="21"/>
                <w:highlight w:val="none"/>
              </w:rPr>
              <w:t>m，临时沉砂池</w:t>
            </w:r>
            <w:r>
              <w:rPr>
                <w:rFonts w:hint="eastAsia" w:ascii="Times New Roman" w:hAnsi="Times New Roman" w:eastAsia="仿宋_GB2312" w:cs="Times New Roman"/>
                <w:color w:val="auto"/>
                <w:sz w:val="21"/>
                <w:szCs w:val="21"/>
                <w:highlight w:val="none"/>
                <w:lang w:val="en-US" w:eastAsia="zh-CN"/>
              </w:rPr>
              <w:t>4</w:t>
            </w:r>
            <w:r>
              <w:rPr>
                <w:rFonts w:ascii="Times New Roman" w:hAnsi="Times New Roman" w:eastAsia="仿宋_GB2312" w:cs="Times New Roman"/>
                <w:color w:val="auto"/>
                <w:sz w:val="21"/>
                <w:szCs w:val="21"/>
                <w:highlight w:val="none"/>
              </w:rPr>
              <w:t>个，彩条布苫盖</w:t>
            </w:r>
            <w:r>
              <w:rPr>
                <w:rFonts w:hint="eastAsia" w:ascii="Times New Roman" w:hAnsi="Times New Roman" w:eastAsia="仿宋_GB2312" w:cs="Times New Roman"/>
                <w:color w:val="auto"/>
                <w:sz w:val="21"/>
                <w:szCs w:val="21"/>
                <w:highlight w:val="none"/>
                <w:lang w:val="en-US" w:eastAsia="zh-CN"/>
              </w:rPr>
              <w:t>900</w:t>
            </w:r>
            <w:r>
              <w:rPr>
                <w:rFonts w:ascii="Times New Roman" w:hAnsi="Times New Roman" w:eastAsia="仿宋_GB2312" w:cs="Times New Roman"/>
                <w:color w:val="auto"/>
                <w:sz w:val="21"/>
                <w:szCs w:val="21"/>
                <w:highlight w:val="none"/>
              </w:rPr>
              <w:t>m</w:t>
            </w:r>
            <w:r>
              <w:rPr>
                <w:rFonts w:ascii="Times New Roman" w:hAnsi="Times New Roman" w:eastAsia="仿宋_GB2312" w:cs="Times New Roman"/>
                <w:color w:val="auto"/>
                <w:sz w:val="21"/>
                <w:szCs w:val="21"/>
                <w:highlight w:val="none"/>
                <w:vertAlign w:val="superscript"/>
              </w:rPr>
              <w:t>2</w:t>
            </w:r>
            <w:r>
              <w:rPr>
                <w:rFonts w:ascii="Times New Roman" w:hAnsi="Times New Roman" w:eastAsia="仿宋_GB2312" w:cs="Times New Roman"/>
                <w:color w:val="auto"/>
                <w:sz w:val="21"/>
                <w:szCs w:val="21"/>
                <w:highlight w:val="none"/>
              </w:rPr>
              <w:t>。</w:t>
            </w:r>
          </w:p>
          <w:p>
            <w:pPr>
              <w:adjustRightInd w:val="0"/>
              <w:snapToGrid w:val="0"/>
              <w:spacing w:line="360" w:lineRule="auto"/>
              <w:ind w:firstLine="420" w:firstLineChars="200"/>
              <w:rPr>
                <w:rFonts w:ascii="Times New Roman" w:hAnsi="Times New Roman" w:eastAsia="仿宋_GB2312" w:cs="Times New Roman"/>
                <w:color w:val="auto"/>
                <w:sz w:val="21"/>
                <w:szCs w:val="21"/>
                <w:highlight w:val="none"/>
                <w:shd w:val="clear" w:color="auto" w:fill="auto"/>
              </w:rPr>
            </w:pPr>
            <w:r>
              <w:rPr>
                <w:rFonts w:hint="eastAsia" w:ascii="Times New Roman" w:hAnsi="Times New Roman" w:eastAsia="仿宋_GB2312" w:cs="Times New Roman"/>
                <w:color w:val="auto"/>
                <w:sz w:val="21"/>
                <w:szCs w:val="21"/>
                <w:highlight w:val="none"/>
                <w:shd w:val="clear" w:color="auto" w:fill="auto"/>
              </w:rPr>
              <w:t>（2）施工临时生活区</w:t>
            </w:r>
          </w:p>
          <w:p>
            <w:pPr>
              <w:pStyle w:val="8"/>
              <w:ind w:firstLine="480"/>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工程措施：</w:t>
            </w:r>
            <w:r>
              <w:rPr>
                <w:rFonts w:hint="eastAsia"/>
                <w:color w:val="auto"/>
                <w:sz w:val="21"/>
                <w:szCs w:val="21"/>
                <w:highlight w:val="none"/>
                <w:u w:val="single"/>
                <w:lang w:val="en-US" w:eastAsia="zh-CN"/>
              </w:rPr>
              <w:t>排水沟135m，</w:t>
            </w:r>
            <w:r>
              <w:rPr>
                <w:rFonts w:hint="eastAsia" w:ascii="Times New Roman" w:hAnsi="Times New Roman"/>
                <w:color w:val="auto"/>
                <w:sz w:val="21"/>
                <w:szCs w:val="21"/>
                <w:highlight w:val="none"/>
                <w:lang w:val="en-US" w:eastAsia="zh-CN"/>
              </w:rPr>
              <w:t>土地整治0.</w:t>
            </w:r>
            <w:r>
              <w:rPr>
                <w:rFonts w:hint="eastAsia"/>
                <w:color w:val="auto"/>
                <w:sz w:val="21"/>
                <w:szCs w:val="21"/>
                <w:highlight w:val="none"/>
                <w:lang w:val="en-US" w:eastAsia="zh-CN"/>
              </w:rPr>
              <w:t>23hm</w:t>
            </w:r>
            <w:r>
              <w:rPr>
                <w:rFonts w:hint="eastAsia"/>
                <w:color w:val="auto"/>
                <w:sz w:val="21"/>
                <w:szCs w:val="21"/>
                <w:highlight w:val="none"/>
                <w:vertAlign w:val="superscript"/>
                <w:lang w:val="en-US" w:eastAsia="zh-CN"/>
              </w:rPr>
              <w:t>2</w:t>
            </w:r>
            <w:r>
              <w:rPr>
                <w:rFonts w:hint="eastAsia" w:ascii="Times New Roman" w:hAnsi="Times New Roman"/>
                <w:color w:val="auto"/>
                <w:sz w:val="21"/>
                <w:szCs w:val="21"/>
                <w:highlight w:val="none"/>
                <w:lang w:val="en-US" w:eastAsia="zh-CN"/>
              </w:rPr>
              <w:t>，复耕0.</w:t>
            </w:r>
            <w:r>
              <w:rPr>
                <w:rFonts w:hint="eastAsia"/>
                <w:color w:val="auto"/>
                <w:sz w:val="21"/>
                <w:szCs w:val="21"/>
                <w:highlight w:val="none"/>
                <w:lang w:val="en-US" w:eastAsia="zh-CN"/>
              </w:rPr>
              <w:t>16hm</w:t>
            </w:r>
            <w:r>
              <w:rPr>
                <w:rFonts w:hint="eastAsia"/>
                <w:color w:val="auto"/>
                <w:sz w:val="21"/>
                <w:szCs w:val="21"/>
                <w:highlight w:val="none"/>
                <w:vertAlign w:val="superscript"/>
                <w:lang w:val="en-US" w:eastAsia="zh-CN"/>
              </w:rPr>
              <w:t>2</w:t>
            </w:r>
            <w:r>
              <w:rPr>
                <w:rFonts w:hint="eastAsia" w:ascii="Times New Roman" w:hAnsi="Times New Roman"/>
                <w:color w:val="auto"/>
                <w:sz w:val="21"/>
                <w:szCs w:val="21"/>
                <w:highlight w:val="none"/>
                <w:lang w:val="en-US" w:eastAsia="zh-CN"/>
              </w:rPr>
              <w:t>；</w:t>
            </w:r>
          </w:p>
          <w:p>
            <w:pPr>
              <w:adjustRightInd w:val="0"/>
              <w:snapToGrid w:val="0"/>
              <w:spacing w:line="360" w:lineRule="auto"/>
              <w:ind w:firstLine="420" w:firstLineChars="200"/>
              <w:rPr>
                <w:rFonts w:ascii="Times New Roman" w:hAnsi="Times New Roman" w:eastAsia="仿宋_GB2312" w:cs="Times New Roman"/>
                <w:color w:val="auto"/>
                <w:sz w:val="21"/>
                <w:szCs w:val="21"/>
                <w:highlight w:val="none"/>
                <w:shd w:val="clear" w:color="auto" w:fill="auto"/>
              </w:rPr>
            </w:pPr>
            <w:r>
              <w:rPr>
                <w:rFonts w:ascii="Times New Roman" w:hAnsi="Times New Roman" w:eastAsia="仿宋_GB2312" w:cs="Times New Roman"/>
                <w:color w:val="auto"/>
                <w:sz w:val="21"/>
                <w:szCs w:val="21"/>
                <w:highlight w:val="none"/>
              </w:rPr>
              <w:t>临时措施：土工布铺垫</w:t>
            </w:r>
            <w:r>
              <w:rPr>
                <w:rFonts w:hint="eastAsia" w:ascii="Times New Roman" w:hAnsi="Times New Roman" w:eastAsia="仿宋_GB2312" w:cs="Times New Roman"/>
                <w:color w:val="auto"/>
                <w:sz w:val="21"/>
                <w:szCs w:val="21"/>
                <w:highlight w:val="none"/>
                <w:lang w:val="en-US" w:eastAsia="zh-CN"/>
              </w:rPr>
              <w:t>1130</w:t>
            </w:r>
            <w:r>
              <w:rPr>
                <w:rFonts w:ascii="Times New Roman" w:hAnsi="Times New Roman" w:eastAsia="仿宋_GB2312" w:cs="Times New Roman"/>
                <w:color w:val="auto"/>
                <w:sz w:val="21"/>
                <w:szCs w:val="21"/>
                <w:highlight w:val="none"/>
              </w:rPr>
              <w:t>m</w:t>
            </w:r>
            <w:r>
              <w:rPr>
                <w:rFonts w:ascii="Times New Roman" w:hAnsi="Times New Roman" w:eastAsia="仿宋_GB2312" w:cs="Times New Roman"/>
                <w:color w:val="auto"/>
                <w:sz w:val="21"/>
                <w:szCs w:val="21"/>
                <w:highlight w:val="none"/>
                <w:vertAlign w:val="superscript"/>
              </w:rPr>
              <w:t>2</w:t>
            </w:r>
            <w:r>
              <w:rPr>
                <w:rFonts w:ascii="Times New Roman" w:hAnsi="Times New Roman" w:eastAsia="仿宋_GB2312" w:cs="Times New Roman"/>
                <w:color w:val="auto"/>
                <w:sz w:val="21"/>
                <w:szCs w:val="21"/>
                <w:highlight w:val="none"/>
              </w:rPr>
              <w:t>，临时沉砂池</w:t>
            </w:r>
            <w:r>
              <w:rPr>
                <w:rFonts w:hint="eastAsia" w:ascii="Times New Roman" w:hAnsi="Times New Roman" w:eastAsia="仿宋_GB2312" w:cs="Times New Roman"/>
                <w:color w:val="auto"/>
                <w:sz w:val="21"/>
                <w:szCs w:val="21"/>
                <w:highlight w:val="none"/>
                <w:lang w:val="en-US" w:eastAsia="zh-CN"/>
              </w:rPr>
              <w:t>1</w:t>
            </w:r>
            <w:r>
              <w:rPr>
                <w:rFonts w:ascii="Times New Roman" w:hAnsi="Times New Roman" w:eastAsia="仿宋_GB2312" w:cs="Times New Roman"/>
                <w:color w:val="auto"/>
                <w:sz w:val="21"/>
                <w:szCs w:val="21"/>
                <w:highlight w:val="none"/>
              </w:rPr>
              <w:t>个。</w:t>
            </w:r>
          </w:p>
          <w:p>
            <w:pPr>
              <w:adjustRightInd w:val="0"/>
              <w:snapToGrid w:val="0"/>
              <w:spacing w:line="360" w:lineRule="auto"/>
              <w:ind w:firstLine="420" w:firstLineChars="200"/>
              <w:rPr>
                <w:rFonts w:ascii="Times New Roman" w:hAnsi="Times New Roman" w:eastAsia="仿宋_GB2312" w:cs="Times New Roman"/>
                <w:color w:val="auto"/>
                <w:sz w:val="21"/>
                <w:szCs w:val="21"/>
                <w:highlight w:val="none"/>
                <w:shd w:val="clear" w:color="auto" w:fill="auto"/>
              </w:rPr>
            </w:pPr>
            <w:r>
              <w:rPr>
                <w:rFonts w:hint="eastAsia" w:ascii="Times New Roman" w:hAnsi="Times New Roman" w:eastAsia="仿宋_GB2312" w:cs="Times New Roman"/>
                <w:color w:val="auto"/>
                <w:sz w:val="21"/>
                <w:szCs w:val="21"/>
                <w:highlight w:val="none"/>
                <w:shd w:val="clear" w:color="auto" w:fill="auto"/>
              </w:rPr>
              <w:t>（3）表土堆放场区</w:t>
            </w:r>
          </w:p>
          <w:p>
            <w:pPr>
              <w:adjustRightInd w:val="0"/>
              <w:snapToGrid w:val="0"/>
              <w:spacing w:line="360" w:lineRule="auto"/>
              <w:ind w:firstLine="420" w:firstLineChars="200"/>
              <w:rPr>
                <w:rFonts w:hint="eastAsia" w:ascii="Times New Roman" w:hAnsi="Times New Roman" w:eastAsia="仿宋_GB2312" w:cs="Times New Roman"/>
                <w:color w:val="auto"/>
                <w:sz w:val="21"/>
                <w:szCs w:val="21"/>
                <w:highlight w:val="none"/>
                <w:lang w:val="en-US" w:eastAsia="zh-CN"/>
              </w:rPr>
            </w:pPr>
            <w:r>
              <w:rPr>
                <w:rFonts w:hint="eastAsia" w:ascii="Times New Roman" w:hAnsi="Times New Roman" w:eastAsia="仿宋_GB2312" w:cs="Times New Roman"/>
                <w:color w:val="auto"/>
                <w:sz w:val="21"/>
                <w:szCs w:val="21"/>
                <w:highlight w:val="none"/>
                <w:lang w:val="en-US" w:eastAsia="zh-CN"/>
              </w:rPr>
              <w:t>工程措施：土地整治0.10hm</w:t>
            </w:r>
            <w:r>
              <w:rPr>
                <w:rFonts w:hint="eastAsia" w:ascii="Times New Roman" w:hAnsi="Times New Roman" w:eastAsia="仿宋_GB2312" w:cs="Times New Roman"/>
                <w:color w:val="auto"/>
                <w:sz w:val="21"/>
                <w:szCs w:val="21"/>
                <w:highlight w:val="none"/>
                <w:vertAlign w:val="superscript"/>
                <w:lang w:val="en-US" w:eastAsia="zh-CN"/>
              </w:rPr>
              <w:t>2</w:t>
            </w:r>
            <w:r>
              <w:rPr>
                <w:rFonts w:hint="eastAsia" w:ascii="Times New Roman" w:hAnsi="Times New Roman" w:eastAsia="仿宋_GB2312" w:cs="Times New Roman"/>
                <w:color w:val="auto"/>
                <w:sz w:val="21"/>
                <w:szCs w:val="21"/>
                <w:highlight w:val="none"/>
                <w:lang w:val="en-US" w:eastAsia="zh-CN"/>
              </w:rPr>
              <w:t>，复耕0.10hm</w:t>
            </w:r>
            <w:r>
              <w:rPr>
                <w:rFonts w:hint="eastAsia" w:ascii="Times New Roman" w:hAnsi="Times New Roman" w:eastAsia="仿宋_GB2312" w:cs="Times New Roman"/>
                <w:color w:val="auto"/>
                <w:sz w:val="21"/>
                <w:szCs w:val="21"/>
                <w:highlight w:val="none"/>
                <w:vertAlign w:val="superscript"/>
                <w:lang w:val="en-US" w:eastAsia="zh-CN"/>
              </w:rPr>
              <w:t>2</w:t>
            </w:r>
            <w:r>
              <w:rPr>
                <w:rFonts w:hint="eastAsia" w:ascii="Times New Roman" w:hAnsi="Times New Roman" w:eastAsia="仿宋_GB2312" w:cs="Times New Roman"/>
                <w:color w:val="auto"/>
                <w:sz w:val="21"/>
                <w:szCs w:val="21"/>
                <w:highlight w:val="none"/>
                <w:lang w:val="en-US" w:eastAsia="zh-CN"/>
              </w:rPr>
              <w:t>；</w:t>
            </w:r>
          </w:p>
          <w:p>
            <w:pPr>
              <w:adjustRightInd w:val="0"/>
              <w:snapToGrid w:val="0"/>
              <w:spacing w:line="360" w:lineRule="auto"/>
              <w:ind w:firstLine="420" w:firstLineChars="200"/>
              <w:rPr>
                <w:rFonts w:hint="default" w:ascii="Times New Roman" w:hAnsi="Times New Roman" w:eastAsia="仿宋_GB2312" w:cs="Times New Roman"/>
                <w:color w:val="auto"/>
                <w:sz w:val="21"/>
                <w:szCs w:val="21"/>
                <w:highlight w:val="none"/>
                <w:shd w:val="clear" w:color="auto" w:fill="auto"/>
                <w:lang w:val="en-US" w:eastAsia="zh-CN"/>
              </w:rPr>
            </w:pPr>
            <w:r>
              <w:rPr>
                <w:rFonts w:hint="eastAsia" w:ascii="Times New Roman" w:hAnsi="Times New Roman" w:eastAsia="仿宋_GB2312" w:cs="Times New Roman"/>
                <w:color w:val="auto"/>
                <w:sz w:val="21"/>
                <w:szCs w:val="21"/>
                <w:highlight w:val="none"/>
                <w:lang w:val="en-US" w:eastAsia="zh-CN"/>
              </w:rPr>
              <w:t>临时措施：</w:t>
            </w:r>
            <w:r>
              <w:rPr>
                <w:rFonts w:hint="eastAsia" w:ascii="Times New Roman" w:hAnsi="Times New Roman" w:eastAsia="仿宋_GB2312" w:cs="Times New Roman"/>
                <w:color w:val="auto"/>
                <w:sz w:val="21"/>
                <w:szCs w:val="21"/>
                <w:highlight w:val="none"/>
                <w:u w:val="single"/>
                <w:lang w:val="en-US" w:eastAsia="zh-CN"/>
              </w:rPr>
              <w:t>临时填土编织袋拦挡562.5m</w:t>
            </w:r>
            <w:r>
              <w:rPr>
                <w:rFonts w:hint="eastAsia" w:ascii="Times New Roman" w:hAnsi="Times New Roman" w:eastAsia="仿宋_GB2312" w:cs="Times New Roman"/>
                <w:color w:val="auto"/>
                <w:sz w:val="21"/>
                <w:szCs w:val="21"/>
                <w:highlight w:val="none"/>
                <w:u w:val="single"/>
                <w:vertAlign w:val="superscript"/>
                <w:lang w:val="en-US" w:eastAsia="zh-CN"/>
              </w:rPr>
              <w:t>3</w:t>
            </w:r>
            <w:r>
              <w:rPr>
                <w:rFonts w:hint="eastAsia" w:ascii="Times New Roman" w:hAnsi="Times New Roman" w:eastAsia="仿宋_GB2312" w:cs="Times New Roman"/>
                <w:color w:val="auto"/>
                <w:sz w:val="21"/>
                <w:szCs w:val="21"/>
                <w:highlight w:val="none"/>
                <w:u w:val="single"/>
                <w:lang w:val="en-US" w:eastAsia="zh-CN"/>
              </w:rPr>
              <w:t>、临时绿化1490m</w:t>
            </w:r>
            <w:r>
              <w:rPr>
                <w:rFonts w:hint="eastAsia" w:ascii="Times New Roman" w:hAnsi="Times New Roman" w:eastAsia="仿宋_GB2312" w:cs="Times New Roman"/>
                <w:color w:val="auto"/>
                <w:sz w:val="21"/>
                <w:szCs w:val="21"/>
                <w:highlight w:val="none"/>
                <w:u w:val="single"/>
                <w:vertAlign w:val="superscript"/>
                <w:lang w:val="en-US" w:eastAsia="zh-CN"/>
              </w:rPr>
              <w:t>2</w:t>
            </w:r>
            <w:r>
              <w:rPr>
                <w:rFonts w:hint="eastAsia" w:ascii="Times New Roman" w:hAnsi="Times New Roman" w:eastAsia="仿宋_GB2312" w:cs="Times New Roman"/>
                <w:color w:val="auto"/>
                <w:sz w:val="21"/>
                <w:szCs w:val="21"/>
                <w:highlight w:val="none"/>
                <w:lang w:val="en-US" w:eastAsia="zh-CN"/>
              </w:rPr>
              <w:t>，彩条布苫盖1490m</w:t>
            </w:r>
            <w:r>
              <w:rPr>
                <w:rFonts w:hint="eastAsia" w:ascii="Times New Roman" w:hAnsi="Times New Roman" w:eastAsia="仿宋_GB2312" w:cs="Times New Roman"/>
                <w:color w:val="auto"/>
                <w:sz w:val="21"/>
                <w:szCs w:val="21"/>
                <w:highlight w:val="none"/>
                <w:vertAlign w:val="superscript"/>
                <w:lang w:val="en-US" w:eastAsia="zh-CN"/>
              </w:rPr>
              <w:t>2</w:t>
            </w:r>
            <w:r>
              <w:rPr>
                <w:rFonts w:hint="eastAsia" w:ascii="Times New Roman" w:hAnsi="Times New Roman" w:eastAsia="仿宋_GB2312" w:cs="Times New Roman"/>
                <w:color w:val="auto"/>
                <w:sz w:val="21"/>
                <w:szCs w:val="21"/>
                <w:highlight w:val="none"/>
                <w:lang w:val="en-US" w:eastAsia="zh-CN"/>
              </w:rPr>
              <w:t>，临时填土编织袋拆除562.5m</w:t>
            </w:r>
            <w:r>
              <w:rPr>
                <w:rFonts w:hint="eastAsia" w:ascii="Times New Roman" w:hAnsi="Times New Roman" w:eastAsia="仿宋_GB2312" w:cs="Times New Roman"/>
                <w:color w:val="auto"/>
                <w:sz w:val="21"/>
                <w:szCs w:val="21"/>
                <w:highlight w:val="none"/>
                <w:vertAlign w:val="superscript"/>
                <w:lang w:val="en-US" w:eastAsia="zh-CN"/>
              </w:rPr>
              <w:t>3</w:t>
            </w:r>
            <w:r>
              <w:rPr>
                <w:rFonts w:hint="eastAsia" w:ascii="Times New Roman" w:hAnsi="Times New Roman" w:eastAsia="仿宋_GB2312" w:cs="Times New Roman"/>
                <w:color w:val="auto"/>
                <w:sz w:val="21"/>
                <w:szCs w:val="21"/>
                <w:highlight w:val="none"/>
                <w:lang w:val="en-US" w:eastAsia="zh-CN"/>
              </w:rPr>
              <w:t>。</w:t>
            </w:r>
          </w:p>
          <w:p>
            <w:pPr>
              <w:adjustRightInd w:val="0"/>
              <w:snapToGrid w:val="0"/>
              <w:spacing w:line="360" w:lineRule="auto"/>
              <w:ind w:firstLine="420" w:firstLineChars="200"/>
              <w:rPr>
                <w:rFonts w:hint="eastAsia" w:ascii="Times New Roman" w:hAnsi="Times New Roman" w:eastAsia="仿宋_GB2312" w:cs="Times New Roman"/>
                <w:color w:val="auto"/>
                <w:sz w:val="21"/>
                <w:szCs w:val="21"/>
                <w:highlight w:val="none"/>
                <w:shd w:val="clear" w:color="auto" w:fill="auto"/>
              </w:rPr>
            </w:pPr>
            <w:r>
              <w:rPr>
                <w:rFonts w:hint="eastAsia" w:ascii="Times New Roman" w:hAnsi="Times New Roman" w:eastAsia="仿宋_GB2312" w:cs="Times New Roman"/>
                <w:color w:val="auto"/>
                <w:sz w:val="21"/>
                <w:szCs w:val="21"/>
                <w:highlight w:val="none"/>
                <w:shd w:val="clear" w:color="auto" w:fill="auto"/>
              </w:rPr>
              <w:t>（4）道路工程区</w:t>
            </w:r>
          </w:p>
          <w:p>
            <w:pPr>
              <w:adjustRightInd w:val="0"/>
              <w:snapToGrid w:val="0"/>
              <w:spacing w:line="360" w:lineRule="auto"/>
              <w:ind w:firstLine="420" w:firstLineChars="200"/>
              <w:rPr>
                <w:rFonts w:ascii="Times New Roman" w:hAnsi="Times New Roman" w:eastAsia="仿宋_GB2312" w:cs="Times New Roman"/>
                <w:color w:val="auto"/>
                <w:sz w:val="21"/>
                <w:szCs w:val="21"/>
                <w:highlight w:val="none"/>
              </w:rPr>
            </w:pPr>
            <w:r>
              <w:rPr>
                <w:rFonts w:ascii="Times New Roman" w:hAnsi="Times New Roman" w:eastAsia="仿宋_GB2312" w:cs="Times New Roman"/>
                <w:color w:val="auto"/>
                <w:sz w:val="21"/>
                <w:szCs w:val="21"/>
                <w:highlight w:val="none"/>
              </w:rPr>
              <w:t>工程措施：</w:t>
            </w:r>
            <w:r>
              <w:rPr>
                <w:rFonts w:hint="eastAsia" w:ascii="Times New Roman" w:hAnsi="Times New Roman" w:eastAsia="仿宋_GB2312" w:cs="Times New Roman"/>
                <w:color w:val="auto"/>
                <w:sz w:val="21"/>
                <w:szCs w:val="21"/>
                <w:highlight w:val="none"/>
                <w:u w:val="single"/>
                <w:lang w:val="en-US" w:eastAsia="zh-CN"/>
              </w:rPr>
              <w:t>排水沟208m，</w:t>
            </w:r>
            <w:r>
              <w:rPr>
                <w:rFonts w:ascii="Times New Roman" w:hAnsi="Times New Roman" w:eastAsia="仿宋_GB2312" w:cs="Times New Roman"/>
                <w:color w:val="auto"/>
                <w:sz w:val="21"/>
                <w:szCs w:val="21"/>
                <w:highlight w:val="none"/>
                <w:u w:val="none"/>
              </w:rPr>
              <w:t>表土剥离0.</w:t>
            </w:r>
            <w:r>
              <w:rPr>
                <w:rFonts w:hint="eastAsia" w:ascii="Times New Roman" w:hAnsi="Times New Roman" w:eastAsia="仿宋_GB2312" w:cs="Times New Roman"/>
                <w:color w:val="auto"/>
                <w:sz w:val="21"/>
                <w:szCs w:val="21"/>
                <w:highlight w:val="none"/>
                <w:u w:val="none"/>
                <w:lang w:val="en-US" w:eastAsia="zh-CN"/>
              </w:rPr>
              <w:t>09</w:t>
            </w:r>
            <w:r>
              <w:rPr>
                <w:rFonts w:ascii="Times New Roman" w:hAnsi="Times New Roman" w:eastAsia="仿宋_GB2312" w:cs="Times New Roman"/>
                <w:color w:val="auto"/>
                <w:sz w:val="21"/>
                <w:szCs w:val="21"/>
                <w:highlight w:val="none"/>
                <w:u w:val="none"/>
              </w:rPr>
              <w:t>万m</w:t>
            </w:r>
            <w:r>
              <w:rPr>
                <w:rFonts w:ascii="Times New Roman" w:hAnsi="Times New Roman" w:eastAsia="仿宋_GB2312" w:cs="Times New Roman"/>
                <w:color w:val="auto"/>
                <w:sz w:val="21"/>
                <w:szCs w:val="21"/>
                <w:highlight w:val="none"/>
                <w:u w:val="none"/>
                <w:vertAlign w:val="superscript"/>
              </w:rPr>
              <w:t>3</w:t>
            </w:r>
            <w:r>
              <w:rPr>
                <w:rFonts w:ascii="Times New Roman" w:hAnsi="Times New Roman" w:eastAsia="仿宋_GB2312" w:cs="Times New Roman"/>
                <w:color w:val="auto"/>
                <w:sz w:val="21"/>
                <w:szCs w:val="21"/>
                <w:highlight w:val="none"/>
                <w:u w:val="none"/>
              </w:rPr>
              <w:t>，</w:t>
            </w:r>
            <w:r>
              <w:rPr>
                <w:rFonts w:ascii="Times New Roman" w:hAnsi="Times New Roman" w:eastAsia="仿宋_GB2312" w:cs="Times New Roman"/>
                <w:color w:val="auto"/>
                <w:sz w:val="21"/>
                <w:szCs w:val="21"/>
                <w:highlight w:val="none"/>
              </w:rPr>
              <w:t>表土回覆0.</w:t>
            </w:r>
            <w:r>
              <w:rPr>
                <w:rFonts w:hint="eastAsia" w:ascii="Times New Roman" w:hAnsi="Times New Roman" w:eastAsia="仿宋_GB2312" w:cs="Times New Roman"/>
                <w:color w:val="auto"/>
                <w:sz w:val="21"/>
                <w:szCs w:val="21"/>
                <w:highlight w:val="none"/>
                <w:lang w:val="en-US" w:eastAsia="zh-CN"/>
              </w:rPr>
              <w:t>10</w:t>
            </w:r>
            <w:r>
              <w:rPr>
                <w:rFonts w:ascii="Times New Roman" w:hAnsi="Times New Roman" w:eastAsia="仿宋_GB2312" w:cs="Times New Roman"/>
                <w:color w:val="auto"/>
                <w:sz w:val="21"/>
                <w:szCs w:val="21"/>
                <w:highlight w:val="none"/>
              </w:rPr>
              <w:t>万m</w:t>
            </w:r>
            <w:r>
              <w:rPr>
                <w:rFonts w:ascii="Times New Roman" w:hAnsi="Times New Roman" w:eastAsia="仿宋_GB2312" w:cs="Times New Roman"/>
                <w:color w:val="auto"/>
                <w:sz w:val="21"/>
                <w:szCs w:val="21"/>
                <w:highlight w:val="none"/>
                <w:vertAlign w:val="superscript"/>
              </w:rPr>
              <w:t>3</w:t>
            </w:r>
            <w:r>
              <w:rPr>
                <w:rFonts w:ascii="Times New Roman" w:hAnsi="Times New Roman" w:eastAsia="仿宋_GB2312" w:cs="Times New Roman"/>
                <w:color w:val="auto"/>
                <w:sz w:val="21"/>
                <w:szCs w:val="21"/>
                <w:highlight w:val="none"/>
              </w:rPr>
              <w:t>，土地整治</w:t>
            </w:r>
            <w:r>
              <w:rPr>
                <w:rFonts w:hint="eastAsia" w:ascii="Times New Roman" w:hAnsi="Times New Roman" w:eastAsia="仿宋_GB2312" w:cs="Times New Roman"/>
                <w:color w:val="auto"/>
                <w:sz w:val="21"/>
                <w:szCs w:val="21"/>
                <w:highlight w:val="none"/>
                <w:lang w:val="en-US" w:eastAsia="zh-CN"/>
              </w:rPr>
              <w:t>0.30h</w:t>
            </w:r>
            <w:r>
              <w:rPr>
                <w:rFonts w:ascii="Times New Roman" w:hAnsi="Times New Roman" w:eastAsia="仿宋_GB2312" w:cs="Times New Roman"/>
                <w:color w:val="auto"/>
                <w:sz w:val="21"/>
                <w:szCs w:val="21"/>
                <w:highlight w:val="none"/>
              </w:rPr>
              <w:t>m</w:t>
            </w:r>
            <w:r>
              <w:rPr>
                <w:rFonts w:ascii="Times New Roman" w:hAnsi="Times New Roman" w:eastAsia="仿宋_GB2312" w:cs="Times New Roman"/>
                <w:color w:val="auto"/>
                <w:sz w:val="21"/>
                <w:szCs w:val="21"/>
                <w:highlight w:val="none"/>
                <w:vertAlign w:val="superscript"/>
              </w:rPr>
              <w:t>2</w:t>
            </w:r>
            <w:r>
              <w:rPr>
                <w:rFonts w:ascii="Times New Roman" w:hAnsi="Times New Roman" w:eastAsia="仿宋_GB2312" w:cs="Times New Roman"/>
                <w:color w:val="auto"/>
                <w:sz w:val="21"/>
                <w:szCs w:val="21"/>
                <w:highlight w:val="none"/>
              </w:rPr>
              <w:t>；</w:t>
            </w:r>
          </w:p>
          <w:p>
            <w:pPr>
              <w:adjustRightInd w:val="0"/>
              <w:snapToGrid w:val="0"/>
              <w:spacing w:line="360" w:lineRule="auto"/>
              <w:ind w:firstLine="420" w:firstLineChars="200"/>
              <w:rPr>
                <w:rFonts w:hint="eastAsia" w:ascii="Times New Roman" w:hAnsi="Times New Roman" w:eastAsia="仿宋_GB2312" w:cs="Times New Roman"/>
                <w:color w:val="auto"/>
                <w:sz w:val="21"/>
                <w:szCs w:val="21"/>
              </w:rPr>
            </w:pPr>
            <w:r>
              <w:rPr>
                <w:rFonts w:ascii="Times New Roman" w:hAnsi="Times New Roman" w:eastAsia="仿宋_GB2312" w:cs="Times New Roman"/>
                <w:color w:val="auto"/>
                <w:sz w:val="21"/>
                <w:szCs w:val="21"/>
                <w:highlight w:val="none"/>
              </w:rPr>
              <w:t>临时措施：临时沉砂池</w:t>
            </w:r>
            <w:r>
              <w:rPr>
                <w:rFonts w:hint="eastAsia" w:ascii="Times New Roman" w:hAnsi="Times New Roman" w:eastAsia="仿宋_GB2312" w:cs="Times New Roman"/>
                <w:color w:val="auto"/>
                <w:sz w:val="21"/>
                <w:szCs w:val="21"/>
                <w:highlight w:val="none"/>
                <w:lang w:val="en-US" w:eastAsia="zh-CN"/>
              </w:rPr>
              <w:t>2</w:t>
            </w:r>
            <w:r>
              <w:rPr>
                <w:rFonts w:ascii="Times New Roman" w:hAnsi="Times New Roman" w:eastAsia="仿宋_GB2312" w:cs="Times New Roman"/>
                <w:color w:val="auto"/>
                <w:sz w:val="21"/>
                <w:szCs w:val="21"/>
                <w:highlight w:val="none"/>
              </w:rPr>
              <w:t>个，彩条布苫盖</w:t>
            </w:r>
            <w:r>
              <w:rPr>
                <w:rFonts w:hint="eastAsia" w:ascii="Times New Roman" w:hAnsi="Times New Roman" w:eastAsia="仿宋_GB2312" w:cs="Times New Roman"/>
                <w:color w:val="auto"/>
                <w:sz w:val="21"/>
                <w:szCs w:val="21"/>
                <w:highlight w:val="none"/>
                <w:lang w:val="en-US" w:eastAsia="zh-CN"/>
              </w:rPr>
              <w:t>4</w:t>
            </w:r>
            <w:r>
              <w:rPr>
                <w:rFonts w:ascii="Times New Roman" w:hAnsi="Times New Roman" w:eastAsia="仿宋_GB2312" w:cs="Times New Roman"/>
                <w:color w:val="auto"/>
                <w:sz w:val="21"/>
                <w:szCs w:val="21"/>
                <w:highlight w:val="none"/>
              </w:rPr>
              <w:t>00m</w:t>
            </w:r>
            <w:r>
              <w:rPr>
                <w:rFonts w:ascii="Times New Roman" w:hAnsi="Times New Roman" w:eastAsia="仿宋_GB2312" w:cs="Times New Roman"/>
                <w:color w:val="auto"/>
                <w:sz w:val="21"/>
                <w:szCs w:val="21"/>
                <w:highlight w:val="none"/>
                <w:vertAlign w:val="superscript"/>
              </w:rPr>
              <w:t>2</w:t>
            </w:r>
            <w:r>
              <w:rPr>
                <w:rFonts w:hint="eastAsia" w:ascii="Times New Roman" w:hAnsi="Times New Roman" w:eastAsia="仿宋_GB2312"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340" w:hRule="atLeast"/>
          <w:jc w:val="center"/>
        </w:trPr>
        <w:tc>
          <w:tcPr>
            <w:tcW w:w="1125" w:type="dxa"/>
            <w:vMerge w:val="restart"/>
            <w:vAlign w:val="center"/>
          </w:tcPr>
          <w:p>
            <w:pPr>
              <w:adjustRightInd w:val="0"/>
              <w:snapToGrid w:val="0"/>
              <w:jc w:val="center"/>
              <w:rPr>
                <w:rFonts w:eastAsia="仿宋_GB2312"/>
                <w:color w:val="auto"/>
                <w:szCs w:val="21"/>
                <w:highlight w:val="none"/>
              </w:rPr>
            </w:pPr>
            <w:r>
              <w:rPr>
                <w:rFonts w:eastAsia="仿宋_GB2312"/>
                <w:color w:val="auto"/>
                <w:szCs w:val="21"/>
                <w:highlight w:val="none"/>
              </w:rPr>
              <w:t>水土保持投资估算</w:t>
            </w:r>
          </w:p>
        </w:tc>
        <w:tc>
          <w:tcPr>
            <w:tcW w:w="1883" w:type="dxa"/>
            <w:gridSpan w:val="2"/>
            <w:vAlign w:val="center"/>
          </w:tcPr>
          <w:p>
            <w:pPr>
              <w:adjustRightInd w:val="0"/>
              <w:snapToGrid w:val="0"/>
              <w:jc w:val="center"/>
              <w:rPr>
                <w:rFonts w:eastAsia="仿宋_GB2312"/>
                <w:color w:val="auto"/>
                <w:szCs w:val="21"/>
                <w:highlight w:val="none"/>
              </w:rPr>
            </w:pPr>
            <w:r>
              <w:rPr>
                <w:rFonts w:eastAsia="仿宋_GB2312"/>
                <w:color w:val="auto"/>
                <w:szCs w:val="21"/>
                <w:highlight w:val="none"/>
              </w:rPr>
              <w:t>工程措施费（万元）</w:t>
            </w:r>
          </w:p>
        </w:tc>
        <w:tc>
          <w:tcPr>
            <w:tcW w:w="2551" w:type="dxa"/>
            <w:gridSpan w:val="2"/>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30.14</w:t>
            </w:r>
          </w:p>
        </w:tc>
        <w:tc>
          <w:tcPr>
            <w:tcW w:w="2126" w:type="dxa"/>
            <w:gridSpan w:val="2"/>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植物措施费</w:t>
            </w:r>
            <w:r>
              <w:rPr>
                <w:rFonts w:eastAsia="仿宋_GB2312"/>
                <w:color w:val="auto"/>
                <w:szCs w:val="21"/>
                <w:highlight w:val="none"/>
              </w:rPr>
              <w:t>（万元）</w:t>
            </w:r>
          </w:p>
        </w:tc>
        <w:tc>
          <w:tcPr>
            <w:tcW w:w="1560" w:type="dxa"/>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340"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Align w:val="center"/>
          </w:tcPr>
          <w:p>
            <w:pPr>
              <w:adjustRightInd w:val="0"/>
              <w:snapToGrid w:val="0"/>
              <w:jc w:val="center"/>
              <w:rPr>
                <w:rFonts w:eastAsia="仿宋_GB2312"/>
                <w:color w:val="auto"/>
                <w:szCs w:val="21"/>
                <w:highlight w:val="none"/>
              </w:rPr>
            </w:pPr>
            <w:r>
              <w:rPr>
                <w:rFonts w:ascii="Times New Roman" w:hAnsi="Times New Roman" w:eastAsia="仿宋_GB2312" w:cs="Times New Roman"/>
                <w:color w:val="auto"/>
                <w:szCs w:val="21"/>
                <w:highlight w:val="none"/>
              </w:rPr>
              <w:t>临时措施费</w:t>
            </w:r>
            <w:r>
              <w:rPr>
                <w:rFonts w:eastAsia="仿宋_GB2312"/>
                <w:color w:val="auto"/>
                <w:szCs w:val="21"/>
                <w:highlight w:val="none"/>
              </w:rPr>
              <w:t>（万元）</w:t>
            </w:r>
          </w:p>
        </w:tc>
        <w:tc>
          <w:tcPr>
            <w:tcW w:w="2551" w:type="dxa"/>
            <w:gridSpan w:val="2"/>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20.8</w:t>
            </w:r>
          </w:p>
        </w:tc>
        <w:tc>
          <w:tcPr>
            <w:tcW w:w="2126" w:type="dxa"/>
            <w:gridSpan w:val="2"/>
            <w:vAlign w:val="center"/>
          </w:tcPr>
          <w:p>
            <w:pPr>
              <w:adjustRightInd w:val="0"/>
              <w:snapToGrid w:val="0"/>
              <w:jc w:val="center"/>
              <w:rPr>
                <w:rFonts w:ascii="Times New Roman" w:hAnsi="Times New Roman" w:eastAsia="仿宋_GB2312" w:cs="Times New Roman"/>
                <w:color w:val="auto"/>
                <w:szCs w:val="21"/>
                <w:highlight w:val="none"/>
              </w:rPr>
            </w:pPr>
            <w:r>
              <w:rPr>
                <w:rFonts w:eastAsia="仿宋_GB2312"/>
                <w:color w:val="auto"/>
                <w:szCs w:val="21"/>
                <w:highlight w:val="none"/>
              </w:rPr>
              <w:t>水土保持补偿费</w:t>
            </w:r>
            <w:r>
              <w:rPr>
                <w:rFonts w:hint="eastAsia" w:eastAsia="仿宋_GB2312"/>
                <w:color w:val="auto"/>
                <w:szCs w:val="21"/>
                <w:highlight w:val="none"/>
              </w:rPr>
              <w:t>（元）</w:t>
            </w:r>
          </w:p>
        </w:tc>
        <w:tc>
          <w:tcPr>
            <w:tcW w:w="1560" w:type="dxa"/>
            <w:vAlign w:val="center"/>
          </w:tcPr>
          <w:p>
            <w:pPr>
              <w:adjustRightInd w:val="0"/>
              <w:snapToGrid w:val="0"/>
              <w:jc w:val="center"/>
              <w:rPr>
                <w:rFonts w:hint="default" w:ascii="Times New Roman" w:hAnsi="Times New Roman" w:eastAsia="仿宋_GB2312" w:cs="Times New Roman"/>
                <w:color w:val="auto"/>
                <w:szCs w:val="21"/>
                <w:highlight w:val="none"/>
                <w:lang w:val="en-US"/>
              </w:rPr>
            </w:pPr>
            <w:r>
              <w:rPr>
                <w:rFonts w:hint="eastAsia" w:ascii="Times New Roman" w:hAnsi="Times New Roman" w:eastAsia="仿宋_GB2312" w:cs="Times New Roman"/>
                <w:color w:val="auto"/>
                <w:szCs w:val="21"/>
                <w:highlight w:val="none"/>
                <w:lang w:val="en-US" w:eastAsia="zh-CN"/>
              </w:rPr>
              <w:t>22880</w:t>
            </w:r>
            <w:r>
              <w:rPr>
                <w:rFonts w:hint="default" w:ascii="Times New Roman" w:hAnsi="Times New Roman" w:eastAsia="仿宋_GB2312" w:cs="Times New Roman"/>
                <w:color w:val="auto"/>
                <w:szCs w:val="21"/>
                <w:highlight w:val="none"/>
                <w:lang w:val="en-US"/>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244"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Align w:val="center"/>
          </w:tcPr>
          <w:p>
            <w:pPr>
              <w:adjustRightInd w:val="0"/>
              <w:snapToGrid w:val="0"/>
              <w:jc w:val="center"/>
              <w:rPr>
                <w:rFonts w:eastAsia="仿宋_GB2312"/>
                <w:color w:val="auto"/>
                <w:szCs w:val="21"/>
                <w:highlight w:val="none"/>
              </w:rPr>
            </w:pPr>
            <w:r>
              <w:rPr>
                <w:rFonts w:ascii="Times New Roman" w:hAnsi="Times New Roman" w:eastAsia="仿宋_GB2312" w:cs="Times New Roman"/>
                <w:color w:val="auto"/>
                <w:szCs w:val="21"/>
                <w:highlight w:val="none"/>
              </w:rPr>
              <w:t>基本预备费</w:t>
            </w:r>
          </w:p>
        </w:tc>
        <w:tc>
          <w:tcPr>
            <w:tcW w:w="2551" w:type="dxa"/>
            <w:gridSpan w:val="2"/>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2.98</w:t>
            </w:r>
          </w:p>
        </w:tc>
        <w:tc>
          <w:tcPr>
            <w:tcW w:w="2126" w:type="dxa"/>
            <w:gridSpan w:val="2"/>
            <w:vAlign w:val="center"/>
          </w:tcPr>
          <w:p>
            <w:pPr>
              <w:adjustRightInd w:val="0"/>
              <w:snapToGrid w:val="0"/>
              <w:jc w:val="center"/>
              <w:rPr>
                <w:rFonts w:ascii="Times New Roman" w:hAnsi="Times New Roman" w:eastAsia="仿宋_GB2312" w:cs="Times New Roman"/>
                <w:color w:val="auto"/>
                <w:szCs w:val="21"/>
                <w:highlight w:val="none"/>
              </w:rPr>
            </w:pPr>
          </w:p>
        </w:tc>
        <w:tc>
          <w:tcPr>
            <w:tcW w:w="1560" w:type="dxa"/>
            <w:vAlign w:val="center"/>
          </w:tcPr>
          <w:p>
            <w:pPr>
              <w:adjustRightInd w:val="0"/>
              <w:snapToGrid w:val="0"/>
              <w:jc w:val="center"/>
              <w:rPr>
                <w:rFonts w:ascii="Times New Roman" w:hAnsi="Times New Roman" w:eastAsia="仿宋_GB2312" w:cs="Times New Roman"/>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277"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Merge w:val="restart"/>
            <w:vAlign w:val="center"/>
          </w:tcPr>
          <w:p>
            <w:pPr>
              <w:adjustRightInd w:val="0"/>
              <w:snapToGrid w:val="0"/>
              <w:jc w:val="center"/>
              <w:rPr>
                <w:rFonts w:eastAsia="仿宋_GB2312"/>
                <w:color w:val="auto"/>
                <w:szCs w:val="21"/>
                <w:highlight w:val="none"/>
              </w:rPr>
            </w:pPr>
            <w:r>
              <w:rPr>
                <w:rFonts w:eastAsia="仿宋_GB2312"/>
                <w:color w:val="auto"/>
                <w:szCs w:val="21"/>
                <w:highlight w:val="none"/>
              </w:rPr>
              <w:t>独立费用（万元）</w:t>
            </w:r>
          </w:p>
        </w:tc>
        <w:tc>
          <w:tcPr>
            <w:tcW w:w="2551" w:type="dxa"/>
            <w:gridSpan w:val="2"/>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建设管理费</w:t>
            </w:r>
          </w:p>
        </w:tc>
        <w:tc>
          <w:tcPr>
            <w:tcW w:w="368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201"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Merge w:val="continue"/>
            <w:vAlign w:val="center"/>
          </w:tcPr>
          <w:p>
            <w:pPr>
              <w:adjustRightInd w:val="0"/>
              <w:snapToGrid w:val="0"/>
              <w:jc w:val="center"/>
              <w:rPr>
                <w:rFonts w:eastAsia="仿宋_GB2312"/>
                <w:color w:val="auto"/>
                <w:szCs w:val="21"/>
                <w:highlight w:val="none"/>
              </w:rPr>
            </w:pPr>
          </w:p>
        </w:tc>
        <w:tc>
          <w:tcPr>
            <w:tcW w:w="2551" w:type="dxa"/>
            <w:gridSpan w:val="2"/>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科研勘测设计费</w:t>
            </w:r>
          </w:p>
        </w:tc>
        <w:tc>
          <w:tcPr>
            <w:tcW w:w="368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190"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Merge w:val="continue"/>
            <w:vAlign w:val="center"/>
          </w:tcPr>
          <w:p>
            <w:pPr>
              <w:adjustRightInd w:val="0"/>
              <w:snapToGrid w:val="0"/>
              <w:jc w:val="center"/>
              <w:rPr>
                <w:rFonts w:eastAsia="仿宋_GB2312"/>
                <w:color w:val="auto"/>
                <w:szCs w:val="21"/>
                <w:highlight w:val="none"/>
              </w:rPr>
            </w:pPr>
          </w:p>
        </w:tc>
        <w:tc>
          <w:tcPr>
            <w:tcW w:w="2551" w:type="dxa"/>
            <w:gridSpan w:val="2"/>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工程建设监理费</w:t>
            </w:r>
          </w:p>
        </w:tc>
        <w:tc>
          <w:tcPr>
            <w:tcW w:w="368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90"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Merge w:val="continue"/>
            <w:vAlign w:val="center"/>
          </w:tcPr>
          <w:p>
            <w:pPr>
              <w:adjustRightInd w:val="0"/>
              <w:snapToGrid w:val="0"/>
              <w:jc w:val="center"/>
              <w:rPr>
                <w:rFonts w:eastAsia="仿宋_GB2312"/>
                <w:color w:val="auto"/>
                <w:szCs w:val="21"/>
                <w:highlight w:val="none"/>
              </w:rPr>
            </w:pPr>
          </w:p>
        </w:tc>
        <w:tc>
          <w:tcPr>
            <w:tcW w:w="2551" w:type="dxa"/>
            <w:gridSpan w:val="2"/>
            <w:vAlign w:val="center"/>
          </w:tcPr>
          <w:p>
            <w:pPr>
              <w:adjustRightInd w:val="0"/>
              <w:snapToGrid w:val="0"/>
              <w:jc w:val="center"/>
              <w:rPr>
                <w:rFonts w:ascii="Times New Roman" w:hAnsi="Times New Roman" w:eastAsia="仿宋_GB2312" w:cs="Times New Roman"/>
                <w:color w:val="auto"/>
                <w:szCs w:val="21"/>
                <w:highlight w:val="none"/>
              </w:rPr>
            </w:pPr>
            <w:r>
              <w:rPr>
                <w:rFonts w:ascii="Times New Roman" w:hAnsi="Times New Roman" w:eastAsia="仿宋_GB2312" w:cs="Times New Roman"/>
                <w:color w:val="auto"/>
                <w:szCs w:val="21"/>
                <w:highlight w:val="none"/>
              </w:rPr>
              <w:t>水保设施验收报告编制费</w:t>
            </w:r>
          </w:p>
        </w:tc>
        <w:tc>
          <w:tcPr>
            <w:tcW w:w="368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szCs w:val="21"/>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135" w:hRule="atLeast"/>
          <w:jc w:val="center"/>
        </w:trPr>
        <w:tc>
          <w:tcPr>
            <w:tcW w:w="1125" w:type="dxa"/>
            <w:vMerge w:val="continue"/>
            <w:vAlign w:val="center"/>
          </w:tcPr>
          <w:p>
            <w:pPr>
              <w:adjustRightInd w:val="0"/>
              <w:snapToGrid w:val="0"/>
              <w:jc w:val="center"/>
              <w:rPr>
                <w:rFonts w:eastAsia="仿宋_GB2312"/>
                <w:color w:val="auto"/>
                <w:szCs w:val="21"/>
                <w:highlight w:val="none"/>
              </w:rPr>
            </w:pPr>
          </w:p>
        </w:tc>
        <w:tc>
          <w:tcPr>
            <w:tcW w:w="1883" w:type="dxa"/>
            <w:gridSpan w:val="2"/>
            <w:vAlign w:val="center"/>
          </w:tcPr>
          <w:p>
            <w:pPr>
              <w:adjustRightInd w:val="0"/>
              <w:snapToGrid w:val="0"/>
              <w:jc w:val="center"/>
              <w:rPr>
                <w:rFonts w:eastAsia="仿宋_GB2312"/>
                <w:color w:val="auto"/>
                <w:szCs w:val="21"/>
                <w:highlight w:val="none"/>
              </w:rPr>
            </w:pPr>
            <w:r>
              <w:rPr>
                <w:rFonts w:eastAsia="仿宋_GB2312"/>
                <w:color w:val="auto"/>
                <w:szCs w:val="21"/>
                <w:highlight w:val="none"/>
              </w:rPr>
              <w:t>总投资</w:t>
            </w:r>
          </w:p>
        </w:tc>
        <w:tc>
          <w:tcPr>
            <w:tcW w:w="6237" w:type="dxa"/>
            <w:gridSpan w:val="5"/>
            <w:vAlign w:val="center"/>
          </w:tcPr>
          <w:p>
            <w:pPr>
              <w:adjustRightInd w:val="0"/>
              <w:snapToGrid w:val="0"/>
              <w:jc w:val="center"/>
              <w:rPr>
                <w:rFonts w:hint="default" w:ascii="Times New Roman" w:hAnsi="Times New Roman" w:eastAsia="仿宋_GB2312" w:cs="Times New Roman"/>
                <w:color w:val="auto"/>
                <w:szCs w:val="21"/>
                <w:highlight w:val="none"/>
                <w:lang w:val="en-US" w:eastAsia="zh-CN"/>
              </w:rPr>
            </w:pPr>
            <w:r>
              <w:rPr>
                <w:rFonts w:hint="eastAsia" w:ascii="Times New Roman" w:hAnsi="Times New Roman" w:eastAsia="仿宋_GB2312" w:cs="Times New Roman"/>
                <w:color w:val="auto"/>
                <w:szCs w:val="21"/>
                <w:highlight w:val="none"/>
                <w:lang w:val="en-US" w:eastAsia="zh-CN"/>
              </w:rPr>
              <w:t>71.57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808" w:hRule="atLeast"/>
          <w:jc w:val="center"/>
        </w:trPr>
        <w:tc>
          <w:tcPr>
            <w:tcW w:w="1659" w:type="dxa"/>
            <w:gridSpan w:val="2"/>
            <w:vAlign w:val="center"/>
          </w:tcPr>
          <w:p>
            <w:pPr>
              <w:adjustRightInd w:val="0"/>
              <w:snapToGrid w:val="0"/>
              <w:jc w:val="center"/>
              <w:rPr>
                <w:rFonts w:eastAsia="仿宋_GB2312"/>
                <w:color w:val="auto"/>
                <w:szCs w:val="21"/>
              </w:rPr>
            </w:pPr>
            <w:r>
              <w:rPr>
                <w:rFonts w:eastAsia="仿宋_GB2312"/>
                <w:color w:val="auto"/>
                <w:szCs w:val="21"/>
              </w:rPr>
              <w:t>编制单位</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四川保川工程勘察设计有限公司</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建设单位</w:t>
            </w:r>
          </w:p>
        </w:tc>
        <w:tc>
          <w:tcPr>
            <w:tcW w:w="3026" w:type="dxa"/>
            <w:gridSpan w:val="2"/>
            <w:vAlign w:val="center"/>
          </w:tcPr>
          <w:p>
            <w:pPr>
              <w:adjustRightInd w:val="0"/>
              <w:snapToGrid w:val="0"/>
              <w:jc w:val="center"/>
              <w:rPr>
                <w:rFonts w:hint="eastAsia"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大庆油田有限责任公司勘探事业部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168" w:hRule="atLeast"/>
          <w:jc w:val="center"/>
        </w:trPr>
        <w:tc>
          <w:tcPr>
            <w:tcW w:w="1659" w:type="dxa"/>
            <w:gridSpan w:val="2"/>
            <w:vAlign w:val="center"/>
          </w:tcPr>
          <w:p>
            <w:pPr>
              <w:adjustRightInd w:val="0"/>
              <w:snapToGrid w:val="0"/>
              <w:jc w:val="center"/>
              <w:rPr>
                <w:rFonts w:eastAsia="仿宋_GB2312"/>
                <w:color w:val="auto"/>
                <w:szCs w:val="21"/>
              </w:rPr>
            </w:pPr>
            <w:r>
              <w:rPr>
                <w:rFonts w:eastAsia="仿宋_GB2312"/>
                <w:color w:val="auto"/>
                <w:szCs w:val="21"/>
              </w:rPr>
              <w:t>法人代表及电话</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谭先觉</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法定代表人</w:t>
            </w:r>
          </w:p>
        </w:tc>
        <w:tc>
          <w:tcPr>
            <w:tcW w:w="3026" w:type="dxa"/>
            <w:gridSpan w:val="2"/>
            <w:vAlign w:val="center"/>
          </w:tcPr>
          <w:p>
            <w:pPr>
              <w:adjustRightInd w:val="0"/>
              <w:snapToGrid w:val="0"/>
              <w:jc w:val="center"/>
              <w:rPr>
                <w:rFonts w:hint="default" w:ascii="Times New Roman" w:hAnsi="Times New Roman" w:eastAsia="仿宋_GB2312" w:cs="Times New Roman"/>
                <w:color w:val="auto"/>
                <w:kern w:val="0"/>
                <w:szCs w:val="21"/>
                <w:lang w:val="en-US" w:eastAsia="zh-CN"/>
              </w:rPr>
            </w:pPr>
            <w:r>
              <w:rPr>
                <w:rFonts w:hint="eastAsia" w:ascii="Times New Roman" w:hAnsi="Times New Roman" w:eastAsia="仿宋_GB2312" w:cs="Times New Roman"/>
                <w:color w:val="auto"/>
                <w:kern w:val="0"/>
                <w:szCs w:val="21"/>
                <w:lang w:val="en-US" w:eastAsia="zh-CN"/>
              </w:rPr>
              <w:t>孙国庆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481" w:hRule="atLeast"/>
          <w:jc w:val="center"/>
        </w:trPr>
        <w:tc>
          <w:tcPr>
            <w:tcW w:w="1659" w:type="dxa"/>
            <w:gridSpan w:val="2"/>
            <w:vAlign w:val="center"/>
          </w:tcPr>
          <w:p>
            <w:pPr>
              <w:adjustRightInd w:val="0"/>
              <w:snapToGrid w:val="0"/>
              <w:jc w:val="center"/>
              <w:rPr>
                <w:rFonts w:eastAsia="仿宋_GB2312"/>
                <w:color w:val="auto"/>
                <w:szCs w:val="21"/>
              </w:rPr>
            </w:pPr>
            <w:r>
              <w:rPr>
                <w:rFonts w:eastAsia="仿宋_GB2312"/>
                <w:color w:val="auto"/>
                <w:szCs w:val="21"/>
              </w:rPr>
              <w:t>地址</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成都市天府新区华阳街道华阳大道四段313号1栋3层3101号</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地址</w:t>
            </w:r>
          </w:p>
        </w:tc>
        <w:tc>
          <w:tcPr>
            <w:tcW w:w="3026" w:type="dxa"/>
            <w:gridSpan w:val="2"/>
            <w:vAlign w:val="center"/>
          </w:tcPr>
          <w:p>
            <w:pPr>
              <w:adjustRightInd w:val="0"/>
              <w:snapToGrid w:val="0"/>
              <w:jc w:val="center"/>
              <w:rPr>
                <w:rFonts w:hint="eastAsia"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黑龙江省大庆市让胡路西柳街2号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170" w:hRule="atLeast"/>
          <w:jc w:val="center"/>
        </w:trPr>
        <w:tc>
          <w:tcPr>
            <w:tcW w:w="1659" w:type="dxa"/>
            <w:gridSpan w:val="2"/>
            <w:vAlign w:val="center"/>
          </w:tcPr>
          <w:p>
            <w:pPr>
              <w:adjustRightInd w:val="0"/>
              <w:snapToGrid w:val="0"/>
              <w:jc w:val="center"/>
              <w:rPr>
                <w:rFonts w:eastAsia="仿宋_GB2312"/>
                <w:color w:val="auto"/>
                <w:szCs w:val="21"/>
              </w:rPr>
            </w:pPr>
            <w:r>
              <w:rPr>
                <w:rFonts w:eastAsia="仿宋_GB2312"/>
                <w:color w:val="auto"/>
                <w:szCs w:val="21"/>
              </w:rPr>
              <w:t>邮编</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610041</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邮编</w:t>
            </w:r>
          </w:p>
        </w:tc>
        <w:tc>
          <w:tcPr>
            <w:tcW w:w="3026" w:type="dxa"/>
            <w:gridSpan w:val="2"/>
            <w:vAlign w:val="center"/>
          </w:tcPr>
          <w:p>
            <w:pPr>
              <w:adjustRightInd w:val="0"/>
              <w:snapToGrid w:val="0"/>
              <w:jc w:val="center"/>
              <w:rPr>
                <w:rFonts w:hint="eastAsia"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402675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340" w:hRule="atLeast"/>
          <w:jc w:val="center"/>
        </w:trPr>
        <w:tc>
          <w:tcPr>
            <w:tcW w:w="1659" w:type="dxa"/>
            <w:gridSpan w:val="2"/>
            <w:vAlign w:val="center"/>
          </w:tcPr>
          <w:p>
            <w:pPr>
              <w:adjustRightInd w:val="0"/>
              <w:snapToGrid w:val="0"/>
              <w:jc w:val="center"/>
              <w:rPr>
                <w:rFonts w:eastAsia="仿宋_GB2312"/>
                <w:color w:val="auto"/>
                <w:szCs w:val="21"/>
              </w:rPr>
            </w:pPr>
            <w:r>
              <w:rPr>
                <w:rFonts w:eastAsia="仿宋_GB2312"/>
                <w:color w:val="auto"/>
                <w:szCs w:val="21"/>
              </w:rPr>
              <w:t>联系人及电话</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hint="eastAsia" w:ascii="Times New Roman" w:hAnsi="Times New Roman" w:eastAsia="仿宋_GB2312" w:cs="Times New Roman"/>
                <w:color w:val="auto"/>
                <w:kern w:val="0"/>
                <w:szCs w:val="21"/>
              </w:rPr>
              <w:t>唐宇/</w:t>
            </w:r>
            <w:r>
              <w:rPr>
                <w:rFonts w:ascii="Times New Roman" w:hAnsi="Times New Roman" w:eastAsia="仿宋_GB2312" w:cs="Times New Roman"/>
                <w:color w:val="auto"/>
                <w:kern w:val="0"/>
                <w:szCs w:val="21"/>
              </w:rPr>
              <w:t>18109036929</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联系人及电话</w:t>
            </w:r>
          </w:p>
        </w:tc>
        <w:tc>
          <w:tcPr>
            <w:tcW w:w="3026" w:type="dxa"/>
            <w:gridSpan w:val="2"/>
            <w:vAlign w:val="center"/>
          </w:tcPr>
          <w:p>
            <w:pPr>
              <w:adjustRightInd w:val="0"/>
              <w:snapToGrid w:val="0"/>
              <w:jc w:val="center"/>
              <w:rPr>
                <w:rFonts w:hint="default" w:ascii="Times New Roman" w:hAnsi="Times New Roman" w:eastAsia="仿宋_GB2312" w:cs="Times New Roman"/>
                <w:color w:val="auto"/>
                <w:kern w:val="0"/>
                <w:szCs w:val="21"/>
                <w:lang w:val="en-US" w:eastAsia="zh-CN"/>
              </w:rPr>
            </w:pPr>
            <w:r>
              <w:rPr>
                <w:rFonts w:hint="eastAsia" w:ascii="Times New Roman" w:hAnsi="Times New Roman" w:eastAsia="仿宋_GB2312" w:cs="Times New Roman"/>
                <w:color w:val="auto"/>
                <w:kern w:val="0"/>
                <w:szCs w:val="21"/>
                <w:lang w:val="en-US" w:eastAsia="zh-CN"/>
              </w:rPr>
              <w:t>黄明洋</w:t>
            </w:r>
            <w:r>
              <w:rPr>
                <w:rFonts w:hint="eastAsia" w:ascii="Times New Roman" w:hAnsi="Times New Roman" w:eastAsia="仿宋_GB2312" w:cs="Times New Roman"/>
                <w:color w:val="auto"/>
                <w:kern w:val="0"/>
                <w:szCs w:val="21"/>
              </w:rPr>
              <w:t>/</w:t>
            </w:r>
            <w:r>
              <w:rPr>
                <w:rFonts w:hint="eastAsia" w:ascii="Times New Roman" w:hAnsi="Times New Roman" w:eastAsia="仿宋_GB2312" w:cs="Times New Roman"/>
                <w:color w:val="auto"/>
                <w:kern w:val="0"/>
                <w:szCs w:val="21"/>
                <w:lang w:val="en-US" w:eastAsia="zh-CN"/>
              </w:rPr>
              <w:t>15184498087</w:t>
            </w:r>
            <w:bookmarkStart w:id="290" w:name="_GoBack"/>
            <w:bookmarkEnd w:id="29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340" w:hRule="atLeast"/>
          <w:jc w:val="center"/>
        </w:trPr>
        <w:tc>
          <w:tcPr>
            <w:tcW w:w="1659" w:type="dxa"/>
            <w:gridSpan w:val="2"/>
            <w:vAlign w:val="center"/>
          </w:tcPr>
          <w:p>
            <w:pPr>
              <w:adjustRightInd w:val="0"/>
              <w:snapToGrid w:val="0"/>
              <w:jc w:val="center"/>
              <w:rPr>
                <w:rFonts w:eastAsia="仿宋_GB2312"/>
                <w:color w:val="auto"/>
                <w:szCs w:val="21"/>
              </w:rPr>
            </w:pPr>
            <w:r>
              <w:rPr>
                <w:rFonts w:hint="eastAsia" w:eastAsia="仿宋_GB2312"/>
                <w:color w:val="auto"/>
                <w:szCs w:val="21"/>
              </w:rPr>
              <w:t>传真</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028</w:t>
            </w:r>
            <w:r>
              <w:rPr>
                <w:rFonts w:hint="eastAsia" w:ascii="Times New Roman" w:hAnsi="Times New Roman" w:eastAsia="仿宋_GB2312" w:cs="Times New Roman"/>
                <w:color w:val="auto"/>
                <w:kern w:val="0"/>
                <w:szCs w:val="21"/>
              </w:rPr>
              <w:t>-</w:t>
            </w:r>
            <w:r>
              <w:rPr>
                <w:rFonts w:ascii="Times New Roman" w:hAnsi="Times New Roman" w:eastAsia="仿宋_GB2312" w:cs="Times New Roman"/>
                <w:color w:val="auto"/>
                <w:kern w:val="0"/>
                <w:szCs w:val="21"/>
              </w:rPr>
              <w:t>85699696</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传真</w:t>
            </w:r>
          </w:p>
        </w:tc>
        <w:tc>
          <w:tcPr>
            <w:tcW w:w="3026" w:type="dxa"/>
            <w:gridSpan w:val="2"/>
            <w:vAlign w:val="center"/>
          </w:tcPr>
          <w:p>
            <w:pPr>
              <w:adjustRightInd w:val="0"/>
              <w:snapToGrid w:val="0"/>
              <w:jc w:val="center"/>
              <w:rPr>
                <w:rFonts w:hint="default" w:ascii="Times New Roman" w:hAnsi="Times New Roman" w:eastAsia="仿宋_GB2312" w:cs="Times New Roman"/>
                <w:color w:val="auto"/>
                <w:kern w:val="0"/>
                <w:szCs w:val="21"/>
                <w:lang w:val="en-US" w:eastAsia="zh-CN"/>
              </w:rPr>
            </w:pPr>
            <w:r>
              <w:rPr>
                <w:rFonts w:hint="eastAsia" w:ascii="Times New Roman" w:hAnsi="Times New Roman" w:eastAsia="仿宋_GB2312" w:cs="Times New Roman"/>
                <w:color w:val="auto"/>
                <w:kern w:val="0"/>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cantSplit/>
          <w:trHeight w:val="227" w:hRule="atLeast"/>
          <w:jc w:val="center"/>
        </w:trPr>
        <w:tc>
          <w:tcPr>
            <w:tcW w:w="1659" w:type="dxa"/>
            <w:gridSpan w:val="2"/>
            <w:vAlign w:val="center"/>
          </w:tcPr>
          <w:p>
            <w:pPr>
              <w:adjustRightInd w:val="0"/>
              <w:snapToGrid w:val="0"/>
              <w:jc w:val="center"/>
              <w:rPr>
                <w:rFonts w:eastAsia="仿宋_GB2312"/>
                <w:color w:val="auto"/>
                <w:szCs w:val="21"/>
              </w:rPr>
            </w:pPr>
            <w:r>
              <w:rPr>
                <w:rFonts w:eastAsia="仿宋_GB2312"/>
                <w:color w:val="auto"/>
                <w:szCs w:val="21"/>
              </w:rPr>
              <w:t>电子信箱</w:t>
            </w:r>
          </w:p>
        </w:tc>
        <w:tc>
          <w:tcPr>
            <w:tcW w:w="3074"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2574253776@qq.com</w:t>
            </w:r>
          </w:p>
        </w:tc>
        <w:tc>
          <w:tcPr>
            <w:tcW w:w="1486" w:type="dxa"/>
            <w:gridSpan w:val="2"/>
            <w:vAlign w:val="center"/>
          </w:tcPr>
          <w:p>
            <w:pPr>
              <w:adjustRightInd w:val="0"/>
              <w:snapToGrid w:val="0"/>
              <w:jc w:val="center"/>
              <w:rPr>
                <w:rFonts w:ascii="Times New Roman" w:hAnsi="Times New Roman" w:eastAsia="仿宋_GB2312" w:cs="Times New Roman"/>
                <w:color w:val="auto"/>
                <w:kern w:val="0"/>
                <w:szCs w:val="21"/>
              </w:rPr>
            </w:pPr>
            <w:r>
              <w:rPr>
                <w:rFonts w:ascii="Times New Roman" w:hAnsi="Times New Roman" w:eastAsia="仿宋_GB2312" w:cs="Times New Roman"/>
                <w:color w:val="auto"/>
                <w:kern w:val="0"/>
                <w:szCs w:val="21"/>
              </w:rPr>
              <w:t>电子信箱</w:t>
            </w:r>
          </w:p>
        </w:tc>
        <w:tc>
          <w:tcPr>
            <w:tcW w:w="3026" w:type="dxa"/>
            <w:gridSpan w:val="2"/>
            <w:vAlign w:val="center"/>
          </w:tcPr>
          <w:p>
            <w:pPr>
              <w:adjustRightInd w:val="0"/>
              <w:snapToGrid w:val="0"/>
              <w:jc w:val="center"/>
              <w:rPr>
                <w:rFonts w:hint="eastAsia" w:ascii="Times New Roman" w:hAnsi="Times New Roman" w:eastAsia="仿宋_GB2312" w:cs="Times New Roman"/>
                <w:color w:val="auto"/>
                <w:kern w:val="0"/>
                <w:szCs w:val="21"/>
                <w:lang w:val="en-US" w:eastAsia="zh-CN"/>
              </w:rPr>
            </w:pPr>
            <w:r>
              <w:rPr>
                <w:rFonts w:hint="eastAsia" w:ascii="Times New Roman" w:hAnsi="Times New Roman" w:eastAsia="仿宋_GB2312" w:cs="Times New Roman"/>
                <w:color w:val="auto"/>
                <w:kern w:val="0"/>
                <w:szCs w:val="21"/>
                <w:lang w:val="en-US" w:eastAsia="zh-CN"/>
              </w:rPr>
              <w:t>/</w:t>
            </w:r>
          </w:p>
        </w:tc>
      </w:tr>
    </w:tbl>
    <w:p>
      <w:pPr>
        <w:spacing w:line="360" w:lineRule="auto"/>
        <w:ind w:left="-2" w:leftChars="-1" w:firstLine="1"/>
        <w:jc w:val="center"/>
        <w:rPr>
          <w:rFonts w:ascii="Times New Roman" w:hAnsi="Times New Roman" w:eastAsia="黑体" w:cs="Times New Roman"/>
          <w:bCs/>
          <w:color w:val="auto"/>
          <w:sz w:val="32"/>
          <w:szCs w:val="32"/>
        </w:rPr>
      </w:pPr>
    </w:p>
    <w:p>
      <w:pPr>
        <w:spacing w:line="360" w:lineRule="auto"/>
        <w:ind w:left="-2" w:leftChars="-1" w:firstLine="1"/>
        <w:jc w:val="center"/>
        <w:rPr>
          <w:rFonts w:ascii="Times New Roman" w:hAnsi="Times New Roman" w:eastAsia="黑体" w:cs="Times New Roman"/>
          <w:bCs/>
          <w:color w:val="auto"/>
          <w:sz w:val="32"/>
          <w:szCs w:val="32"/>
        </w:rPr>
      </w:pPr>
    </w:p>
    <w:p>
      <w:pPr>
        <w:pStyle w:val="2"/>
      </w:pPr>
    </w:p>
    <w:p>
      <w:pPr>
        <w:spacing w:line="360" w:lineRule="auto"/>
        <w:ind w:left="-2" w:leftChars="-1" w:firstLine="1"/>
        <w:jc w:val="center"/>
        <w:rPr>
          <w:rFonts w:ascii="Times New Roman" w:hAnsi="Times New Roman" w:eastAsia="黑体" w:cs="Times New Roman"/>
          <w:bCs/>
          <w:color w:val="auto"/>
          <w:sz w:val="32"/>
          <w:szCs w:val="32"/>
        </w:rPr>
      </w:pPr>
      <w:r>
        <w:rPr>
          <w:rFonts w:ascii="Times New Roman" w:hAnsi="Times New Roman" w:eastAsia="黑体" w:cs="Times New Roman"/>
          <w:bCs/>
          <w:color w:val="auto"/>
          <w:sz w:val="32"/>
          <w:szCs w:val="32"/>
        </w:rPr>
        <w:t>目   录</w:t>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eastAsia="黑体" w:cs="Times New Roman"/>
          <w:bCs w:val="0"/>
          <w:color w:val="auto"/>
          <w:sz w:val="24"/>
          <w:szCs w:val="24"/>
        </w:rPr>
        <w:fldChar w:fldCharType="begin"/>
      </w:r>
      <w:r>
        <w:rPr>
          <w:rFonts w:ascii="Times New Roman" w:hAnsi="Times New Roman" w:eastAsia="黑体" w:cs="Times New Roman"/>
          <w:bCs w:val="0"/>
          <w:color w:val="auto"/>
          <w:sz w:val="24"/>
          <w:szCs w:val="24"/>
        </w:rPr>
        <w:instrText xml:space="preserve"> TOC \o "1-2" \h \z \u </w:instrText>
      </w:r>
      <w:r>
        <w:rPr>
          <w:rFonts w:ascii="Times New Roman" w:hAnsi="Times New Roman" w:eastAsia="黑体" w:cs="Times New Roman"/>
          <w:bCs w:val="0"/>
          <w:color w:val="auto"/>
          <w:sz w:val="24"/>
          <w:szCs w:val="24"/>
        </w:rPr>
        <w:fldChar w:fldCharType="separate"/>
      </w:r>
      <w:r>
        <w:rPr>
          <w:rFonts w:ascii="Times New Roman" w:hAnsi="Times New Roman"/>
          <w:color w:val="auto"/>
        </w:rPr>
        <w:fldChar w:fldCharType="begin"/>
      </w:r>
      <w:r>
        <w:rPr>
          <w:color w:val="auto"/>
        </w:rPr>
        <w:instrText xml:space="preserve"> HYPERLINK \l "_Toc74588717"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1综合说明</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_Toc74588717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1</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"_Toc74588718"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1.1项目简况</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_Toc74588718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1</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"_Toc74588719"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1.2编制依据</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_Toc74588719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2</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"_Toc74588720"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1.3设计水平年</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_Toc74588720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"_Toc74588721"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1.4水土流失防治责任范围</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_Toc74588721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"_Toc74588722"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1.5水土流失防治目标</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_Toc74588722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"_Toc74588723"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1.6项目水土保持评价结论</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_Toc74588723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5</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"_Toc74588724"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1.7水土流失预测结果</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_Toc74588724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"_Toc74588725"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1.8水土保持措施布设成果</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_Toc74588725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"_Toc74588726"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1.9水土保持投资及效益分析成果</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_Toc74588726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8</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"_Toc74588727"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1.10结论</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_Toc74588727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8</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"_Toc74588728"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2项目概况</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_Toc74588728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10</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"_Toc74588729"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2.1 项目组成及工程布置</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_Toc74588729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10</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"_Toc74588730"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2.2 施工组织</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_Toc74588730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15</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"_Toc74588731"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2.3工程占地</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_Toc74588731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17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"_Toc74588732"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2.4</w:t>
      </w:r>
      <w:r>
        <w:rPr>
          <w:rStyle w:val="43"/>
          <w:rFonts w:ascii="Times New Roman" w:hAnsi="Times New Roman" w:eastAsia="仿宋" w:cs="Times New Roman"/>
          <w:i w:val="0"/>
          <w:color w:val="auto"/>
          <w:sz w:val="24"/>
          <w:szCs w:val="24"/>
          <w:lang w:val="zh-CN"/>
        </w:rPr>
        <w:t>土石方平衡</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_Toc74588732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17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"_Toc74588733"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2.5拆迁（移民）安置与专项设施改（迁）建</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_Toc74588733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20</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"_Toc74588734"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2.6施工进度</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_Toc74588734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21</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"_Toc74588735"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2.7自然概况</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_Toc74588735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21</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"_Toc74588736"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3项目水土保持评价</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_Toc74588736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24</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"_Toc74588737"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3.1主体工程选址（线）水土保持评价</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_Toc74588737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24</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"_Toc74588738"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3.2建设方案与布局水土保持评价</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_Toc74588738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26</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"_Toc74588739"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3.3主体工程设计中水土保持措施界定</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_Toc74588739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34</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"_Toc74588740"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4水土流失分析与预测</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_Toc74588740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36</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"_Toc74588741"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4.1水土流失现状</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_Toc74588741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36</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"_Toc74588742"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4.2水土流失影响因素分析</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_Toc74588742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37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"_Toc74588743"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4.3土壤流失量预测</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_Toc74588743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38</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"_Toc74588744"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4.4水土流失危害分析</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_Toc74588744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43</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"_Toc74588745"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lang w:val="zh-CN"/>
        </w:rPr>
        <w:t>4.5指导性意见</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_Toc74588745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44</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"_Toc74588746"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5水土保持措施</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_Toc74588746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45</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"_Toc74588747"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5.1防治区划分</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_Toc74588747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45</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"_Toc74588748"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5.2措施总体布局</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_Toc74588748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45</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"_Toc74588749"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5.3分区措施布设</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_Toc74588749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47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"_Toc74588750"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5.4施工要求</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_Toc74588750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53</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"_Toc74588751"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6水土保持监测</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_Toc74588751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56</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"_Toc74588752"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7水土保持投资估算及效益分析</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_Toc74588752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57</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"_Toc74588753"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7.1投资估算</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_Toc74588753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57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"_Toc74588754"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7.2效益分析</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_Toc74588754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63</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0"/>
        <w:tabs>
          <w:tab w:val="right" w:leader="dot" w:pos="8607"/>
        </w:tabs>
        <w:snapToGrid w:val="0"/>
        <w:spacing w:before="0" w:after="0" w:line="360" w:lineRule="auto"/>
        <w:rPr>
          <w:rFonts w:ascii="Times New Roman" w:hAnsi="Times New Roman" w:eastAsia="仿宋" w:cs="Times New Roman"/>
          <w:b w:val="0"/>
          <w:bCs w:val="0"/>
          <w:color w:val="auto"/>
          <w:sz w:val="24"/>
          <w:szCs w:val="24"/>
        </w:rPr>
      </w:pPr>
      <w:r>
        <w:rPr>
          <w:rFonts w:ascii="Times New Roman" w:hAnsi="Times New Roman"/>
          <w:color w:val="auto"/>
        </w:rPr>
        <w:fldChar w:fldCharType="begin"/>
      </w:r>
      <w:r>
        <w:rPr>
          <w:color w:val="auto"/>
        </w:rPr>
        <w:instrText xml:space="preserve"> HYPERLINK \l "_Toc74588755" </w:instrText>
      </w:r>
      <w:r>
        <w:rPr>
          <w:rFonts w:ascii="Times New Roman" w:hAnsi="Times New Roman"/>
          <w:color w:val="auto"/>
        </w:rPr>
        <w:fldChar w:fldCharType="separate"/>
      </w:r>
      <w:r>
        <w:rPr>
          <w:rStyle w:val="43"/>
          <w:rFonts w:ascii="Times New Roman" w:hAnsi="Times New Roman" w:eastAsia="仿宋" w:cs="Times New Roman"/>
          <w:b w:val="0"/>
          <w:color w:val="auto"/>
          <w:kern w:val="44"/>
          <w:sz w:val="24"/>
          <w:szCs w:val="24"/>
          <w:lang w:val="zh-CN"/>
        </w:rPr>
        <w:t>8水土保持管理</w:t>
      </w:r>
      <w:r>
        <w:rPr>
          <w:rFonts w:ascii="Times New Roman" w:hAnsi="Times New Roman" w:eastAsia="仿宋" w:cs="Times New Roman"/>
          <w:b w:val="0"/>
          <w:color w:val="auto"/>
          <w:sz w:val="24"/>
          <w:szCs w:val="24"/>
        </w:rPr>
        <w:tab/>
      </w:r>
      <w:r>
        <w:rPr>
          <w:rFonts w:ascii="Times New Roman" w:hAnsi="Times New Roman" w:eastAsia="仿宋" w:cs="Times New Roman"/>
          <w:b w:val="0"/>
          <w:color w:val="auto"/>
          <w:sz w:val="24"/>
          <w:szCs w:val="24"/>
        </w:rPr>
        <w:fldChar w:fldCharType="begin"/>
      </w:r>
      <w:r>
        <w:rPr>
          <w:rFonts w:ascii="Times New Roman" w:hAnsi="Times New Roman" w:eastAsia="仿宋" w:cs="Times New Roman"/>
          <w:b w:val="0"/>
          <w:color w:val="auto"/>
          <w:sz w:val="24"/>
          <w:szCs w:val="24"/>
        </w:rPr>
        <w:instrText xml:space="preserve"> PAGEREF _Toc74588755 \h </w:instrText>
      </w:r>
      <w:r>
        <w:rPr>
          <w:rFonts w:ascii="Times New Roman" w:hAnsi="Times New Roman" w:eastAsia="仿宋" w:cs="Times New Roman"/>
          <w:b w:val="0"/>
          <w:color w:val="auto"/>
          <w:sz w:val="24"/>
          <w:szCs w:val="24"/>
        </w:rPr>
        <w:fldChar w:fldCharType="separate"/>
      </w:r>
      <w:r>
        <w:rPr>
          <w:rFonts w:ascii="Times New Roman" w:hAnsi="Times New Roman" w:eastAsia="仿宋" w:cs="Times New Roman"/>
          <w:b w:val="0"/>
          <w:color w:val="auto"/>
          <w:sz w:val="24"/>
          <w:szCs w:val="24"/>
        </w:rPr>
        <w:t>66</w:t>
      </w:r>
      <w:r>
        <w:rPr>
          <w:rFonts w:ascii="Times New Roman" w:hAnsi="Times New Roman" w:eastAsia="仿宋" w:cs="Times New Roman"/>
          <w:b w:val="0"/>
          <w:color w:val="auto"/>
          <w:sz w:val="24"/>
          <w:szCs w:val="24"/>
        </w:rPr>
        <w:fldChar w:fldCharType="end"/>
      </w:r>
      <w:r>
        <w:rPr>
          <w:rFonts w:ascii="Times New Roman" w:hAnsi="Times New Roman" w:eastAsia="仿宋" w:cs="Times New Roman"/>
          <w:b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"_Toc74588756"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8.1组织管理</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_Toc74588756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66</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"_Toc74588757"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8.2后续设计</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_Toc74588757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66</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"_Toc74588758"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8.3水土保持监测</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_Toc74588758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66</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"_Toc74588759"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8.4水土保持监理</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_Toc74588759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eastAsia="仿宋" w:cs="Times New Roman"/>
          <w:i w:val="0"/>
          <w:iCs w:val="0"/>
          <w:color w:val="auto"/>
          <w:sz w:val="24"/>
          <w:szCs w:val="24"/>
        </w:rPr>
      </w:pPr>
      <w:r>
        <w:rPr>
          <w:rFonts w:ascii="Times New Roman" w:hAnsi="Times New Roman"/>
          <w:color w:val="auto"/>
        </w:rPr>
        <w:fldChar w:fldCharType="begin"/>
      </w:r>
      <w:r>
        <w:rPr>
          <w:color w:val="auto"/>
        </w:rPr>
        <w:instrText xml:space="preserve"> HYPERLINK \l "_Toc74588760"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8.5水土保持施工</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_Toc74588760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pStyle w:val="33"/>
        <w:tabs>
          <w:tab w:val="right" w:leader="dot" w:pos="8607"/>
        </w:tabs>
        <w:snapToGrid w:val="0"/>
        <w:spacing w:before="0" w:line="360" w:lineRule="auto"/>
        <w:rPr>
          <w:rFonts w:ascii="Times New Roman" w:hAnsi="Times New Roman" w:cs="Times New Roman" w:eastAsiaTheme="minorEastAsia"/>
          <w:i w:val="0"/>
          <w:iCs w:val="0"/>
          <w:color w:val="auto"/>
          <w:sz w:val="24"/>
          <w:szCs w:val="24"/>
        </w:rPr>
      </w:pPr>
      <w:r>
        <w:rPr>
          <w:rFonts w:ascii="Times New Roman" w:hAnsi="Times New Roman"/>
          <w:color w:val="auto"/>
        </w:rPr>
        <w:fldChar w:fldCharType="begin"/>
      </w:r>
      <w:r>
        <w:rPr>
          <w:color w:val="auto"/>
        </w:rPr>
        <w:instrText xml:space="preserve"> HYPERLINK \l "_Toc74588761" </w:instrText>
      </w:r>
      <w:r>
        <w:rPr>
          <w:rFonts w:ascii="Times New Roman" w:hAnsi="Times New Roman"/>
          <w:color w:val="auto"/>
        </w:rPr>
        <w:fldChar w:fldCharType="separate"/>
      </w:r>
      <w:r>
        <w:rPr>
          <w:rStyle w:val="43"/>
          <w:rFonts w:ascii="Times New Roman" w:hAnsi="Times New Roman" w:eastAsia="仿宋" w:cs="Times New Roman"/>
          <w:i w:val="0"/>
          <w:color w:val="auto"/>
          <w:sz w:val="24"/>
          <w:szCs w:val="24"/>
        </w:rPr>
        <w:t>8.6水土保持设施验收</w:t>
      </w:r>
      <w:r>
        <w:rPr>
          <w:rFonts w:ascii="Times New Roman" w:hAnsi="Times New Roman" w:eastAsia="仿宋" w:cs="Times New Roman"/>
          <w:i w:val="0"/>
          <w:color w:val="auto"/>
          <w:sz w:val="24"/>
          <w:szCs w:val="24"/>
        </w:rPr>
        <w:tab/>
      </w:r>
      <w:r>
        <w:rPr>
          <w:rFonts w:ascii="Times New Roman" w:hAnsi="Times New Roman" w:eastAsia="仿宋" w:cs="Times New Roman"/>
          <w:i w:val="0"/>
          <w:color w:val="auto"/>
          <w:sz w:val="24"/>
          <w:szCs w:val="24"/>
        </w:rPr>
        <w:fldChar w:fldCharType="begin"/>
      </w:r>
      <w:r>
        <w:rPr>
          <w:rFonts w:ascii="Times New Roman" w:hAnsi="Times New Roman" w:eastAsia="仿宋" w:cs="Times New Roman"/>
          <w:i w:val="0"/>
          <w:color w:val="auto"/>
          <w:sz w:val="24"/>
          <w:szCs w:val="24"/>
        </w:rPr>
        <w:instrText xml:space="preserve"> PAGEREF _Toc74588761 \h </w:instrText>
      </w:r>
      <w:r>
        <w:rPr>
          <w:rFonts w:ascii="Times New Roman" w:hAnsi="Times New Roman" w:eastAsia="仿宋" w:cs="Times New Roman"/>
          <w:i w:val="0"/>
          <w:color w:val="auto"/>
          <w:sz w:val="24"/>
          <w:szCs w:val="24"/>
        </w:rPr>
        <w:fldChar w:fldCharType="separate"/>
      </w:r>
      <w:r>
        <w:rPr>
          <w:rFonts w:ascii="Times New Roman" w:hAnsi="Times New Roman" w:eastAsia="仿宋" w:cs="Times New Roman"/>
          <w:i w:val="0"/>
          <w:color w:val="auto"/>
          <w:sz w:val="24"/>
          <w:szCs w:val="24"/>
        </w:rPr>
        <w:t>67</w:t>
      </w:r>
      <w:r>
        <w:rPr>
          <w:rFonts w:ascii="Times New Roman" w:hAnsi="Times New Roman" w:eastAsia="仿宋" w:cs="Times New Roman"/>
          <w:i w:val="0"/>
          <w:color w:val="auto"/>
          <w:sz w:val="24"/>
          <w:szCs w:val="24"/>
        </w:rPr>
        <w:fldChar w:fldCharType="end"/>
      </w:r>
      <w:r>
        <w:rPr>
          <w:rFonts w:ascii="Times New Roman" w:hAnsi="Times New Roman" w:eastAsia="仿宋" w:cs="Times New Roman"/>
          <w:i w:val="0"/>
          <w:color w:val="auto"/>
          <w:sz w:val="24"/>
          <w:szCs w:val="24"/>
        </w:rPr>
        <w:fldChar w:fldCharType="end"/>
      </w:r>
    </w:p>
    <w:p>
      <w:pPr>
        <w:snapToGrid w:val="0"/>
        <w:spacing w:line="360" w:lineRule="auto"/>
        <w:ind w:left="-2" w:leftChars="-1" w:firstLine="1"/>
        <w:jc w:val="center"/>
        <w:rPr>
          <w:rFonts w:ascii="Times New Roman" w:hAnsi="Times New Roman" w:eastAsia="黑体" w:cs="Times New Roman"/>
          <w:bCs/>
          <w:color w:val="auto"/>
          <w:sz w:val="24"/>
          <w:szCs w:val="24"/>
        </w:rPr>
      </w:pPr>
      <w:r>
        <w:rPr>
          <w:rFonts w:ascii="Times New Roman" w:hAnsi="Times New Roman" w:eastAsia="黑体" w:cs="Times New Roman"/>
          <w:bCs/>
          <w:color w:val="auto"/>
          <w:sz w:val="24"/>
          <w:szCs w:val="24"/>
        </w:rPr>
        <w:fldChar w:fldCharType="end"/>
      </w: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snapToGrid w:val="0"/>
        <w:spacing w:line="360" w:lineRule="auto"/>
        <w:ind w:left="-2" w:leftChars="-1" w:firstLine="1"/>
        <w:jc w:val="both"/>
        <w:rPr>
          <w:rFonts w:ascii="Times New Roman" w:hAnsi="Times New Roman" w:eastAsia="黑体" w:cs="Times New Roman"/>
          <w:bCs/>
          <w:color w:val="auto"/>
          <w:sz w:val="24"/>
          <w:szCs w:val="24"/>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pStyle w:val="2"/>
        <w:rPr>
          <w:rFonts w:ascii="Times New Roman" w:hAnsi="Times New Roman"/>
          <w:color w:val="auto"/>
        </w:rPr>
      </w:pPr>
    </w:p>
    <w:p>
      <w:pPr>
        <w:snapToGrid w:val="0"/>
        <w:spacing w:line="360" w:lineRule="auto"/>
        <w:ind w:left="-2" w:leftChars="-1" w:firstLine="1"/>
        <w:jc w:val="center"/>
        <w:rPr>
          <w:rFonts w:ascii="Times New Roman" w:hAnsi="Times New Roman" w:eastAsia="黑体" w:cs="Times New Roman"/>
          <w:bCs/>
          <w:color w:val="auto"/>
          <w:sz w:val="24"/>
          <w:szCs w:val="24"/>
        </w:rPr>
      </w:pPr>
    </w:p>
    <w:p>
      <w:pPr>
        <w:pStyle w:val="8"/>
        <w:ind w:firstLine="0" w:firstLineChars="0"/>
        <w:rPr>
          <w:rFonts w:ascii="Times New Roman" w:hAnsi="Times New Roman"/>
          <w:b/>
          <w:color w:val="auto"/>
        </w:rPr>
      </w:pPr>
    </w:p>
    <w:p>
      <w:pPr>
        <w:pStyle w:val="8"/>
        <w:ind w:firstLine="0" w:firstLineChars="0"/>
        <w:rPr>
          <w:rFonts w:ascii="Times New Roman" w:hAnsi="Times New Roman"/>
          <w:b/>
          <w:color w:val="auto"/>
        </w:rPr>
      </w:pPr>
      <w:r>
        <w:rPr>
          <w:rFonts w:ascii="Times New Roman" w:hAnsi="Times New Roman"/>
          <w:b/>
          <w:color w:val="auto"/>
        </w:rPr>
        <w:t>附表</w:t>
      </w:r>
    </w:p>
    <w:p>
      <w:pPr>
        <w:pStyle w:val="8"/>
        <w:ind w:firstLine="480"/>
        <w:rPr>
          <w:rFonts w:ascii="Times New Roman" w:hAnsi="Times New Roman"/>
          <w:color w:val="auto"/>
        </w:rPr>
      </w:pPr>
      <w:r>
        <w:rPr>
          <w:rFonts w:ascii="Times New Roman" w:hAnsi="Times New Roman"/>
          <w:color w:val="auto"/>
        </w:rPr>
        <w:t>1、工程单价分析表</w:t>
      </w:r>
    </w:p>
    <w:p>
      <w:pPr>
        <w:pStyle w:val="8"/>
        <w:ind w:firstLine="482"/>
        <w:rPr>
          <w:rFonts w:ascii="Times New Roman" w:hAnsi="Times New Roman"/>
          <w:b/>
          <w:color w:val="auto"/>
        </w:rPr>
      </w:pPr>
    </w:p>
    <w:p>
      <w:pPr>
        <w:pStyle w:val="8"/>
        <w:ind w:firstLine="0" w:firstLineChars="0"/>
        <w:rPr>
          <w:rFonts w:ascii="Times New Roman" w:hAnsi="Times New Roman"/>
          <w:b/>
          <w:color w:val="auto"/>
        </w:rPr>
      </w:pPr>
      <w:r>
        <w:rPr>
          <w:rFonts w:ascii="Times New Roman" w:hAnsi="Times New Roman"/>
          <w:b/>
          <w:color w:val="auto"/>
        </w:rPr>
        <w:t>附件：</w:t>
      </w:r>
    </w:p>
    <w:p>
      <w:pPr>
        <w:pStyle w:val="8"/>
        <w:ind w:firstLine="480"/>
        <w:rPr>
          <w:rFonts w:ascii="Times New Roman" w:hAnsi="Times New Roman"/>
          <w:color w:val="auto"/>
        </w:rPr>
      </w:pPr>
      <w:r>
        <w:rPr>
          <w:rFonts w:ascii="Times New Roman" w:hAnsi="Times New Roman"/>
          <w:color w:val="auto"/>
        </w:rPr>
        <w:t>1、委托书</w:t>
      </w:r>
    </w:p>
    <w:p>
      <w:pPr>
        <w:pStyle w:val="8"/>
        <w:ind w:firstLine="480"/>
        <w:rPr>
          <w:rFonts w:ascii="Times New Roman" w:hAnsi="Times New Roman"/>
          <w:color w:val="auto"/>
        </w:rPr>
      </w:pPr>
      <w:r>
        <w:rPr>
          <w:rFonts w:hint="eastAsia"/>
          <w:color w:val="auto"/>
          <w:lang w:val="en-US" w:eastAsia="zh-CN"/>
        </w:rPr>
        <w:t>2</w:t>
      </w:r>
      <w:r>
        <w:rPr>
          <w:rFonts w:ascii="Times New Roman" w:hAnsi="Times New Roman"/>
          <w:color w:val="auto"/>
        </w:rPr>
        <w:t>、井位批复</w:t>
      </w:r>
    </w:p>
    <w:p>
      <w:pPr>
        <w:pStyle w:val="8"/>
        <w:ind w:firstLine="480"/>
        <w:rPr>
          <w:rFonts w:ascii="Times New Roman" w:hAnsi="Times New Roman"/>
          <w:color w:val="auto"/>
        </w:rPr>
      </w:pPr>
      <w:r>
        <w:rPr>
          <w:rFonts w:hint="eastAsia"/>
          <w:color w:val="auto"/>
          <w:lang w:val="en-US" w:eastAsia="zh-CN"/>
        </w:rPr>
        <w:t>3</w:t>
      </w:r>
      <w:r>
        <w:rPr>
          <w:rFonts w:hint="eastAsia" w:ascii="Times New Roman" w:hAnsi="Times New Roman"/>
          <w:color w:val="auto"/>
        </w:rPr>
        <w:t>、建设单位</w:t>
      </w:r>
      <w:r>
        <w:rPr>
          <w:rFonts w:ascii="Times New Roman" w:hAnsi="Times New Roman"/>
          <w:color w:val="auto"/>
        </w:rPr>
        <w:t>营业执照及</w:t>
      </w:r>
      <w:r>
        <w:rPr>
          <w:rFonts w:hint="eastAsia" w:ascii="Times New Roman" w:hAnsi="Times New Roman"/>
          <w:color w:val="auto"/>
        </w:rPr>
        <w:t>法人</w:t>
      </w:r>
      <w:r>
        <w:rPr>
          <w:rFonts w:ascii="Times New Roman" w:hAnsi="Times New Roman"/>
          <w:color w:val="auto"/>
        </w:rPr>
        <w:t>身份证明</w:t>
      </w:r>
    </w:p>
    <w:p>
      <w:pPr>
        <w:pStyle w:val="8"/>
        <w:ind w:firstLine="480"/>
        <w:rPr>
          <w:rFonts w:hint="default" w:ascii="Times New Roman" w:hAnsi="Times New Roman" w:eastAsia="仿宋_GB2312"/>
          <w:color w:val="auto"/>
          <w:lang w:val="en-US" w:eastAsia="zh-CN"/>
        </w:rPr>
      </w:pPr>
      <w:r>
        <w:rPr>
          <w:rFonts w:hint="eastAsia"/>
          <w:color w:val="auto"/>
          <w:lang w:val="en-US" w:eastAsia="zh-CN"/>
        </w:rPr>
        <w:t>4、现场照片</w:t>
      </w:r>
    </w:p>
    <w:p>
      <w:pPr>
        <w:pStyle w:val="8"/>
        <w:ind w:firstLine="0" w:firstLineChars="0"/>
        <w:rPr>
          <w:rFonts w:ascii="Times New Roman" w:hAnsi="Times New Roman"/>
          <w:b/>
          <w:color w:val="auto"/>
        </w:rPr>
      </w:pPr>
      <w:r>
        <w:rPr>
          <w:rFonts w:ascii="Times New Roman" w:hAnsi="Times New Roman"/>
          <w:b/>
          <w:color w:val="auto"/>
        </w:rPr>
        <w:t>附图：</w:t>
      </w:r>
    </w:p>
    <w:p>
      <w:pPr>
        <w:pStyle w:val="8"/>
        <w:ind w:firstLine="424" w:firstLineChars="177"/>
        <w:rPr>
          <w:rFonts w:ascii="Times New Roman" w:hAnsi="Times New Roman"/>
          <w:color w:val="auto"/>
        </w:rPr>
      </w:pPr>
      <w:r>
        <w:rPr>
          <w:rFonts w:ascii="Times New Roman" w:hAnsi="Times New Roman"/>
          <w:color w:val="auto"/>
        </w:rPr>
        <w:t>1、项目地理位置图</w:t>
      </w:r>
    </w:p>
    <w:p>
      <w:pPr>
        <w:pStyle w:val="8"/>
        <w:ind w:firstLine="424" w:firstLineChars="177"/>
        <w:rPr>
          <w:rFonts w:ascii="Times New Roman" w:hAnsi="Times New Roman"/>
          <w:color w:val="auto"/>
        </w:rPr>
      </w:pPr>
      <w:r>
        <w:rPr>
          <w:rFonts w:ascii="Times New Roman" w:hAnsi="Times New Roman"/>
          <w:color w:val="auto"/>
        </w:rPr>
        <w:t>2、项目区水系图</w:t>
      </w:r>
    </w:p>
    <w:p>
      <w:pPr>
        <w:pStyle w:val="8"/>
        <w:ind w:firstLine="424" w:firstLineChars="177"/>
        <w:rPr>
          <w:rFonts w:ascii="Times New Roman" w:hAnsi="Times New Roman"/>
          <w:color w:val="auto"/>
        </w:rPr>
      </w:pPr>
      <w:r>
        <w:rPr>
          <w:rFonts w:ascii="Times New Roman" w:hAnsi="Times New Roman"/>
          <w:color w:val="auto"/>
        </w:rPr>
        <w:t>3、总平面布置图</w:t>
      </w:r>
    </w:p>
    <w:p>
      <w:pPr>
        <w:pStyle w:val="8"/>
        <w:ind w:firstLine="424" w:firstLineChars="177"/>
        <w:rPr>
          <w:rFonts w:ascii="Times New Roman" w:hAnsi="Times New Roman"/>
          <w:color w:val="auto"/>
        </w:rPr>
      </w:pPr>
      <w:r>
        <w:rPr>
          <w:rFonts w:ascii="Times New Roman" w:hAnsi="Times New Roman"/>
          <w:color w:val="auto"/>
        </w:rPr>
        <w:t>4、</w:t>
      </w:r>
      <w:r>
        <w:rPr>
          <w:rFonts w:hint="eastAsia"/>
          <w:color w:val="auto"/>
          <w:lang w:val="en-US" w:eastAsia="zh-CN"/>
        </w:rPr>
        <w:t>土地利用现状图</w:t>
      </w:r>
    </w:p>
    <w:p>
      <w:pPr>
        <w:pStyle w:val="8"/>
        <w:ind w:firstLine="424" w:firstLineChars="177"/>
        <w:rPr>
          <w:rFonts w:ascii="Times New Roman" w:hAnsi="Times New Roman"/>
          <w:color w:val="auto"/>
        </w:rPr>
      </w:pPr>
      <w:r>
        <w:rPr>
          <w:rFonts w:hint="eastAsia"/>
          <w:color w:val="auto"/>
          <w:lang w:val="en-US" w:eastAsia="zh-CN"/>
        </w:rPr>
        <w:t>5</w:t>
      </w:r>
      <w:r>
        <w:rPr>
          <w:rFonts w:ascii="Times New Roman" w:hAnsi="Times New Roman"/>
          <w:color w:val="auto"/>
        </w:rPr>
        <w:t>、分区防治责任范围图</w:t>
      </w:r>
    </w:p>
    <w:p>
      <w:pPr>
        <w:pStyle w:val="8"/>
        <w:ind w:firstLine="424" w:firstLineChars="177"/>
        <w:rPr>
          <w:rFonts w:ascii="Times New Roman" w:hAnsi="Times New Roman"/>
          <w:color w:val="auto"/>
        </w:rPr>
      </w:pPr>
      <w:r>
        <w:rPr>
          <w:rFonts w:hint="eastAsia"/>
          <w:color w:val="auto"/>
          <w:lang w:val="en-US" w:eastAsia="zh-CN"/>
        </w:rPr>
        <w:t>6</w:t>
      </w:r>
      <w:r>
        <w:rPr>
          <w:rFonts w:ascii="Times New Roman" w:hAnsi="Times New Roman"/>
          <w:color w:val="auto"/>
        </w:rPr>
        <w:t>、工程</w:t>
      </w:r>
      <w:r>
        <w:rPr>
          <w:rFonts w:hint="eastAsia"/>
          <w:color w:val="auto"/>
          <w:lang w:val="en-US" w:eastAsia="zh-CN"/>
        </w:rPr>
        <w:t>分区</w:t>
      </w:r>
      <w:r>
        <w:rPr>
          <w:rFonts w:ascii="Times New Roman" w:hAnsi="Times New Roman"/>
          <w:color w:val="auto"/>
        </w:rPr>
        <w:t>措施总体布局图</w:t>
      </w:r>
    </w:p>
    <w:p>
      <w:pPr>
        <w:pStyle w:val="8"/>
        <w:ind w:firstLine="424" w:firstLineChars="177"/>
        <w:rPr>
          <w:rFonts w:ascii="Times New Roman" w:hAnsi="Times New Roman"/>
          <w:color w:val="auto"/>
        </w:rPr>
      </w:pPr>
      <w:r>
        <w:rPr>
          <w:rFonts w:hint="eastAsia"/>
          <w:color w:val="auto"/>
          <w:lang w:val="en-US" w:eastAsia="zh-CN"/>
        </w:rPr>
        <w:t>7</w:t>
      </w:r>
      <w:r>
        <w:rPr>
          <w:rFonts w:ascii="Times New Roman" w:hAnsi="Times New Roman"/>
          <w:color w:val="auto"/>
        </w:rPr>
        <w:t>、</w:t>
      </w:r>
      <w:r>
        <w:rPr>
          <w:rFonts w:hint="eastAsia"/>
          <w:color w:val="auto"/>
          <w:lang w:val="en-US" w:eastAsia="zh-CN"/>
        </w:rPr>
        <w:t>排水沟</w:t>
      </w:r>
      <w:r>
        <w:rPr>
          <w:rFonts w:ascii="Times New Roman" w:hAnsi="Times New Roman"/>
          <w:color w:val="auto"/>
        </w:rPr>
        <w:t>设计图</w:t>
      </w:r>
    </w:p>
    <w:p>
      <w:pPr>
        <w:pStyle w:val="8"/>
        <w:ind w:firstLine="424" w:firstLineChars="177"/>
        <w:rPr>
          <w:rFonts w:hint="eastAsia"/>
          <w:color w:val="auto"/>
          <w:lang w:val="en-US" w:eastAsia="zh-CN"/>
        </w:rPr>
      </w:pPr>
      <w:r>
        <w:rPr>
          <w:rFonts w:hint="eastAsia"/>
          <w:color w:val="auto"/>
          <w:lang w:val="en-US" w:eastAsia="zh-CN"/>
        </w:rPr>
        <w:t>8、临时沉砂池、排水沟设计图</w:t>
      </w:r>
    </w:p>
    <w:p>
      <w:pPr>
        <w:pStyle w:val="8"/>
        <w:ind w:firstLine="424" w:firstLineChars="177"/>
        <w:rPr>
          <w:rFonts w:hint="eastAsia"/>
          <w:color w:val="auto"/>
          <w:lang w:val="en-US" w:eastAsia="zh-CN"/>
        </w:rPr>
      </w:pPr>
      <w:r>
        <w:rPr>
          <w:rFonts w:hint="eastAsia"/>
          <w:color w:val="auto"/>
          <w:lang w:val="en-US" w:eastAsia="zh-CN"/>
        </w:rPr>
        <w:t>9、土地整治及复耕设计图</w:t>
      </w:r>
    </w:p>
    <w:p>
      <w:pPr>
        <w:pStyle w:val="8"/>
        <w:ind w:firstLine="424" w:firstLineChars="177"/>
        <w:rPr>
          <w:rFonts w:hint="default"/>
          <w:color w:val="auto"/>
          <w:lang w:val="en-US" w:eastAsia="zh-CN"/>
        </w:rPr>
      </w:pPr>
      <w:r>
        <w:rPr>
          <w:rFonts w:hint="eastAsia"/>
          <w:color w:val="auto"/>
          <w:lang w:val="en-US" w:eastAsia="zh-CN"/>
        </w:rPr>
        <w:t>10、挡土墙及护坡设计图</w:t>
      </w:r>
    </w:p>
    <w:p>
      <w:pPr>
        <w:pStyle w:val="8"/>
        <w:ind w:firstLine="424" w:firstLineChars="177"/>
        <w:rPr>
          <w:rFonts w:ascii="Times New Roman" w:hAnsi="Times New Roman"/>
          <w:color w:val="auto"/>
        </w:rPr>
      </w:pPr>
      <w:r>
        <w:rPr>
          <w:rFonts w:hint="eastAsia" w:ascii="Times New Roman" w:hAnsi="Times New Roman"/>
          <w:color w:val="auto"/>
        </w:rPr>
        <w:t>1</w:t>
      </w:r>
      <w:r>
        <w:rPr>
          <w:rFonts w:hint="eastAsia"/>
          <w:color w:val="auto"/>
          <w:lang w:val="en-US" w:eastAsia="zh-CN"/>
        </w:rPr>
        <w:t>1</w:t>
      </w:r>
      <w:r>
        <w:rPr>
          <w:rFonts w:hint="eastAsia" w:ascii="Times New Roman" w:hAnsi="Times New Roman"/>
          <w:color w:val="auto"/>
        </w:rPr>
        <w:t>、</w:t>
      </w:r>
      <w:r>
        <w:rPr>
          <w:rFonts w:hint="eastAsia"/>
          <w:color w:val="auto"/>
          <w:lang w:val="en-US" w:eastAsia="zh-CN"/>
        </w:rPr>
        <w:t>勘察定界</w:t>
      </w:r>
      <w:r>
        <w:rPr>
          <w:rFonts w:ascii="Times New Roman" w:hAnsi="Times New Roman"/>
          <w:color w:val="auto"/>
        </w:rPr>
        <w:t>图</w:t>
      </w:r>
    </w:p>
    <w:p>
      <w:pPr>
        <w:pStyle w:val="8"/>
        <w:ind w:firstLine="424" w:firstLineChars="177"/>
        <w:rPr>
          <w:rFonts w:ascii="Times New Roman" w:hAnsi="Times New Roman"/>
          <w:color w:val="auto"/>
        </w:rPr>
      </w:pPr>
    </w:p>
    <w:p>
      <w:pPr>
        <w:spacing w:line="360" w:lineRule="auto"/>
        <w:ind w:left="-2" w:leftChars="-1" w:firstLine="1"/>
        <w:jc w:val="center"/>
        <w:rPr>
          <w:rFonts w:ascii="Times New Roman" w:hAnsi="Times New Roman" w:eastAsia="仿宋_GB2312" w:cs="Times New Roman"/>
          <w:b/>
          <w:color w:val="auto"/>
          <w:sz w:val="32"/>
          <w:szCs w:val="32"/>
        </w:rPr>
        <w:sectPr>
          <w:footerReference r:id="rId4" w:type="default"/>
          <w:pgSz w:w="11906" w:h="16838"/>
          <w:pgMar w:top="1418" w:right="1588" w:bottom="1418" w:left="1701" w:header="851" w:footer="992" w:gutter="0"/>
          <w:pgBorders>
            <w:top w:val="none" w:sz="0" w:space="0"/>
            <w:left w:val="none" w:sz="0" w:space="0"/>
            <w:bottom w:val="none" w:sz="0" w:space="0"/>
            <w:right w:val="none" w:sz="0" w:space="0"/>
          </w:pgBorders>
          <w:pgNumType w:fmt="upperRoman" w:start="1"/>
          <w:cols w:space="425" w:num="1"/>
          <w:docGrid w:linePitch="312" w:charSpace="0"/>
        </w:sectPr>
      </w:pPr>
    </w:p>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r>
        <w:rPr>
          <w:rFonts w:ascii="Times New Roman" w:hAnsi="Times New Roman" w:eastAsia="仿宋_GB2312" w:cs="Times New Roman"/>
          <w:b/>
          <w:bCs/>
          <w:color w:val="auto"/>
          <w:kern w:val="44"/>
          <w:sz w:val="44"/>
          <w:szCs w:val="44"/>
          <w:lang w:val="zh-CN"/>
        </w:rPr>
        <w:fldChar w:fldCharType="begin">
          <w:fldData xml:space="preserve">XwBjAHAAXwBXAGkAWAA3AEMAZgBjAHIATgBkAGEAaQBEAHUAZQBtAEgAcgBZAGMARABzAHkAQQA0
AHcAOAAwAHkAQwBxAFMAVgBpADEASQBQAHIALwBVAEwAQgBzAHIARwBGAC8AVABGAEQAbgBSADkA
UQA9AD0A
</w:fldData>
        </w:fldChar>
      </w:r>
      <w:r>
        <w:rPr>
          <w:rFonts w:ascii="Times New Roman" w:hAnsi="Times New Roman" w:eastAsia="仿宋_GB2312" w:cs="Times New Roman"/>
          <w:b/>
          <w:bCs/>
          <w:color w:val="auto"/>
          <w:kern w:val="44"/>
          <w:sz w:val="44"/>
          <w:szCs w:val="44"/>
          <w:lang w:val="zh-CN"/>
        </w:rPr>
        <w:instrText xml:space="preserve">ADDIN _cp_ \* MERGEFORMAT</w:instrText>
      </w:r>
      <w:r>
        <w:rPr>
          <w:rFonts w:ascii="Times New Roman" w:hAnsi="Times New Roman" w:eastAsia="仿宋_GB2312" w:cs="Times New Roman"/>
          <w:b/>
          <w:bCs/>
          <w:color w:val="auto"/>
          <w:kern w:val="44"/>
          <w:sz w:val="44"/>
          <w:szCs w:val="44"/>
          <w:lang w:val="zh-CN"/>
        </w:rPr>
        <w:fldChar w:fldCharType="separate"/>
      </w:r>
      <w:bookmarkStart w:id="0" w:name="_Toc74588717"/>
      <w:bookmarkStart w:id="1" w:name="_Toc74588666"/>
      <w:r>
        <w:rPr>
          <w:rFonts w:ascii="Times New Roman" w:hAnsi="Times New Roman" w:eastAsia="仿宋_GB2312" w:cs="Times New Roman"/>
          <w:b/>
          <w:bCs/>
          <w:color w:val="auto"/>
          <w:kern w:val="44"/>
          <w:sz w:val="44"/>
          <w:szCs w:val="44"/>
          <w:lang w:val="zh-CN"/>
        </w:rPr>
        <w:t>1</w:t>
      </w:r>
      <w:r>
        <w:rPr>
          <w:rFonts w:ascii="Times New Roman" w:hAnsi="Times New Roman" w:eastAsia="仿宋_GB2312" w:cs="Times New Roman"/>
          <w:b/>
          <w:bCs/>
          <w:color w:val="auto"/>
          <w:kern w:val="44"/>
          <w:sz w:val="44"/>
          <w:szCs w:val="44"/>
          <w:lang w:val="zh-CN"/>
        </w:rPr>
        <w:fldChar w:fldCharType="end"/>
      </w:r>
      <w:r>
        <w:rPr>
          <w:rFonts w:ascii="Times New Roman" w:hAnsi="Times New Roman" w:eastAsia="仿宋_GB2312" w:cs="Times New Roman"/>
          <w:b/>
          <w:bCs/>
          <w:color w:val="auto"/>
          <w:kern w:val="44"/>
          <w:sz w:val="44"/>
          <w:szCs w:val="44"/>
          <w:lang w:val="zh-CN"/>
        </w:rPr>
        <w:t>综合说明</w:t>
      </w:r>
      <w:bookmarkEnd w:id="0"/>
      <w:bookmarkEnd w:id="1"/>
    </w:p>
    <w:p>
      <w:pPr>
        <w:pStyle w:val="56"/>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XwBjAHAAXwBSAHYAQQBvAFYAWABBADUAYQBCAEsARwBXAFUARABrAEMAZgBPAGcAYgBGAFIARQBh
AEgAaABwAHcAWABDAHUAYwB6AFoAcwBHAEsAVQAvADMASABBAHYAegBNADMATABNAEoAWQBJAFMA
UQA9AD0A
</w:fldData>
        </w:fldChar>
      </w:r>
      <w:r>
        <w:rPr>
          <w:color w:val="auto"/>
        </w:rPr>
        <w:instrText xml:space="preserve">ADDIN _cp_ \* MERGEFORMAT</w:instrText>
      </w:r>
      <w:r>
        <w:rPr>
          <w:rFonts w:ascii="Times New Roman" w:hAnsi="Times New Roman"/>
          <w:color w:val="auto"/>
        </w:rPr>
        <w:fldChar w:fldCharType="separate"/>
      </w:r>
      <w:bookmarkStart w:id="2" w:name="_Toc14737388"/>
      <w:bookmarkStart w:id="3" w:name="_Toc74588718"/>
      <w:bookmarkStart w:id="4" w:name="_Toc13426549"/>
      <w:bookmarkStart w:id="5" w:name="_Toc74588667"/>
      <w:r>
        <w:rPr>
          <w:rFonts w:ascii="Times New Roman" w:hAnsi="Times New Roman"/>
          <w:color w:val="auto"/>
        </w:rPr>
        <w:t>1.1</w:t>
      </w:r>
      <w:r>
        <w:rPr>
          <w:rFonts w:ascii="Times New Roman" w:hAnsi="Times New Roman"/>
          <w:color w:val="auto"/>
        </w:rPr>
        <w:fldChar w:fldCharType="end"/>
      </w:r>
      <w:r>
        <w:rPr>
          <w:rFonts w:ascii="Times New Roman" w:hAnsi="Times New Roman"/>
          <w:color w:val="auto"/>
        </w:rPr>
        <w:t>项目简况</w:t>
      </w:r>
      <w:bookmarkEnd w:id="2"/>
      <w:bookmarkEnd w:id="3"/>
      <w:bookmarkEnd w:id="4"/>
      <w:bookmarkEnd w:id="5"/>
    </w:p>
    <w:p>
      <w:pPr>
        <w:pStyle w:val="58"/>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XwBjAHAAXwBMAEcAdgBtADgARgBGADkAMABCAGoAMwBRAGMAZABmAGcAWgBwAHAAbABkAG0AcQBZ
AGwAQgAvAEgAcAA2AEgAOQBXAFQATgB2AFEAVABzAHoAYwAwAFoAeQBaAGgANABMAEQAeAArAFAA
ZwA9AD0A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1.1.1</w:t>
      </w:r>
      <w:r>
        <w:rPr>
          <w:rFonts w:ascii="Times New Roman" w:hAnsi="Times New Roman"/>
          <w:color w:val="auto"/>
        </w:rPr>
        <w:fldChar w:fldCharType="end"/>
      </w:r>
      <w:r>
        <w:rPr>
          <w:rFonts w:ascii="Times New Roman" w:hAnsi="Times New Roman"/>
          <w:color w:val="auto"/>
        </w:rPr>
        <w:t>项目基本情况</w:t>
      </w:r>
    </w:p>
    <w:p>
      <w:pPr>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szCs w:val="24"/>
          <w:highlight w:val="none"/>
        </w:rPr>
        <w:t>项目建设必要性：</w:t>
      </w:r>
      <w:r>
        <w:rPr>
          <w:rFonts w:ascii="Times New Roman" w:hAnsi="Times New Roman" w:eastAsia="仿宋_GB2312" w:cs="Times New Roman"/>
          <w:color w:val="auto"/>
          <w:spacing w:val="5"/>
          <w:sz w:val="24"/>
          <w:szCs w:val="24"/>
          <w:highlight w:val="none"/>
        </w:rPr>
        <w:t>为了推进页岩气等非常规油气资源开发利用，获取高产工业气流，增加国家能源储备，带动西南地区经济发展，</w:t>
      </w:r>
      <w:r>
        <w:rPr>
          <w:rFonts w:hint="eastAsia" w:ascii="Times New Roman" w:hAnsi="Times New Roman" w:eastAsia="仿宋_GB2312" w:cs="Times New Roman"/>
          <w:color w:val="auto"/>
          <w:spacing w:val="5"/>
          <w:sz w:val="24"/>
          <w:szCs w:val="24"/>
          <w:highlight w:val="none"/>
          <w:lang w:val="en-US" w:eastAsia="zh-CN"/>
        </w:rPr>
        <w:t>大庆油田有限责任公司勘探事业部</w:t>
      </w:r>
      <w:r>
        <w:rPr>
          <w:rFonts w:ascii="Times New Roman" w:hAnsi="Times New Roman" w:eastAsia="仿宋_GB2312" w:cs="Times New Roman"/>
          <w:color w:val="auto"/>
          <w:spacing w:val="5"/>
          <w:sz w:val="24"/>
          <w:szCs w:val="24"/>
          <w:highlight w:val="none"/>
        </w:rPr>
        <w:t>在</w:t>
      </w:r>
      <w:r>
        <w:rPr>
          <w:rFonts w:ascii="Times New Roman" w:hAnsi="Times New Roman" w:eastAsia="仿宋" w:cs="Times New Roman"/>
          <w:color w:val="auto"/>
          <w:sz w:val="24"/>
          <w:highlight w:val="none"/>
        </w:rPr>
        <w:t>四川省</w:t>
      </w:r>
      <w:r>
        <w:rPr>
          <w:rFonts w:hint="eastAsia" w:ascii="Times New Roman" w:hAnsi="Times New Roman" w:eastAsia="仿宋" w:cs="Times New Roman"/>
          <w:color w:val="auto"/>
          <w:sz w:val="24"/>
          <w:highlight w:val="none"/>
        </w:rPr>
        <w:t>南充市仪陇县日兴镇油坊村5社</w:t>
      </w:r>
      <w:r>
        <w:rPr>
          <w:rFonts w:ascii="Times New Roman" w:hAnsi="Times New Roman" w:eastAsia="仿宋_GB2312" w:cs="Times New Roman"/>
          <w:color w:val="auto"/>
          <w:spacing w:val="5"/>
          <w:sz w:val="24"/>
          <w:szCs w:val="24"/>
          <w:highlight w:val="none"/>
        </w:rPr>
        <w:t>部署</w:t>
      </w:r>
      <w:r>
        <w:rPr>
          <w:rFonts w:hint="eastAsia" w:ascii="Times New Roman" w:hAnsi="Times New Roman" w:eastAsia="仿宋_GB2312" w:cs="Times New Roman"/>
          <w:color w:val="auto"/>
          <w:spacing w:val="5"/>
          <w:sz w:val="24"/>
          <w:szCs w:val="24"/>
          <w:highlight w:val="none"/>
          <w:lang w:val="en-US" w:eastAsia="zh-CN"/>
        </w:rPr>
        <w:t>德页1井</w:t>
      </w:r>
      <w:r>
        <w:rPr>
          <w:rFonts w:ascii="Times New Roman" w:hAnsi="Times New Roman" w:eastAsia="仿宋_GB2312" w:cs="Times New Roman"/>
          <w:color w:val="auto"/>
          <w:spacing w:val="5"/>
          <w:sz w:val="24"/>
          <w:szCs w:val="24"/>
          <w:highlight w:val="none"/>
        </w:rPr>
        <w:t>钻前工程，</w:t>
      </w:r>
      <w:r>
        <w:rPr>
          <w:rFonts w:hint="eastAsia" w:ascii="Times New Roman" w:hAnsi="Times New Roman" w:eastAsia="仿宋_GB2312" w:cs="Times New Roman"/>
          <w:color w:val="auto"/>
          <w:spacing w:val="5"/>
          <w:sz w:val="24"/>
          <w:szCs w:val="24"/>
          <w:highlight w:val="none"/>
          <w:lang w:val="en-US" w:eastAsia="zh-CN"/>
        </w:rPr>
        <w:t>用于钻探该地区地下页岩气，本</w:t>
      </w:r>
      <w:r>
        <w:rPr>
          <w:rFonts w:ascii="Times New Roman" w:hAnsi="Times New Roman" w:eastAsia="仿宋_GB2312" w:cs="Times New Roman"/>
          <w:color w:val="auto"/>
          <w:spacing w:val="5"/>
          <w:sz w:val="24"/>
          <w:szCs w:val="24"/>
          <w:highlight w:val="none"/>
        </w:rPr>
        <w:t>项目的实施是有</w:t>
      </w:r>
      <w:r>
        <w:rPr>
          <w:rFonts w:hint="eastAsia" w:ascii="Times New Roman" w:hAnsi="Times New Roman" w:eastAsia="仿宋_GB2312" w:cs="Times New Roman"/>
          <w:color w:val="auto"/>
          <w:spacing w:val="5"/>
          <w:sz w:val="24"/>
          <w:szCs w:val="24"/>
          <w:highlight w:val="none"/>
          <w:lang w:val="en-US" w:eastAsia="zh-CN"/>
        </w:rPr>
        <w:t>利且</w:t>
      </w:r>
      <w:r>
        <w:rPr>
          <w:rFonts w:ascii="Times New Roman" w:hAnsi="Times New Roman" w:eastAsia="仿宋_GB2312" w:cs="Times New Roman"/>
          <w:color w:val="auto"/>
          <w:spacing w:val="5"/>
          <w:sz w:val="24"/>
          <w:szCs w:val="24"/>
          <w:highlight w:val="none"/>
        </w:rPr>
        <w:t>必要的。</w:t>
      </w:r>
    </w:p>
    <w:p>
      <w:pPr>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szCs w:val="24"/>
          <w:highlight w:val="none"/>
        </w:rPr>
        <w:t>项目名称：</w:t>
      </w:r>
      <w:r>
        <w:rPr>
          <w:rFonts w:hint="eastAsia" w:ascii="Times New Roman" w:hAnsi="Times New Roman" w:eastAsia="仿宋_GB2312" w:cs="Times New Roman"/>
          <w:color w:val="auto"/>
          <w:spacing w:val="5"/>
          <w:sz w:val="24"/>
          <w:szCs w:val="24"/>
          <w:highlight w:val="none"/>
          <w:lang w:val="en-US" w:eastAsia="zh-CN"/>
        </w:rPr>
        <w:t>德页1井</w:t>
      </w:r>
      <w:r>
        <w:rPr>
          <w:rFonts w:ascii="Times New Roman" w:hAnsi="Times New Roman" w:eastAsia="仿宋_GB2312" w:cs="Times New Roman"/>
          <w:color w:val="auto"/>
          <w:spacing w:val="5"/>
          <w:sz w:val="24"/>
          <w:szCs w:val="24"/>
          <w:highlight w:val="none"/>
        </w:rPr>
        <w:t>钻前工程</w:t>
      </w:r>
      <w:r>
        <w:rPr>
          <w:rFonts w:ascii="Times New Roman" w:hAnsi="Times New Roman" w:eastAsia="仿宋_GB2312" w:cs="Times New Roman"/>
          <w:color w:val="auto"/>
          <w:sz w:val="24"/>
          <w:szCs w:val="24"/>
          <w:highlight w:val="none"/>
        </w:rPr>
        <w:t>（以下简称“本项目”或“本工程”）</w:t>
      </w:r>
    </w:p>
    <w:p>
      <w:pPr>
        <w:autoSpaceDE w:val="0"/>
        <w:autoSpaceDN w:val="0"/>
        <w:adjustRightInd w:val="0"/>
        <w:spacing w:line="360" w:lineRule="auto"/>
        <w:ind w:firstLine="472" w:firstLineChars="196"/>
        <w:rPr>
          <w:rFonts w:ascii="Times New Roman" w:hAnsi="Times New Roman" w:eastAsia="仿宋_GB2312" w:cs="Times New Roman"/>
          <w:color w:val="auto"/>
          <w:spacing w:val="5"/>
          <w:sz w:val="24"/>
          <w:szCs w:val="24"/>
          <w:highlight w:val="none"/>
        </w:rPr>
      </w:pPr>
      <w:r>
        <w:rPr>
          <w:rFonts w:ascii="Times New Roman" w:hAnsi="Times New Roman" w:eastAsia="仿宋_GB2312" w:cs="Times New Roman"/>
          <w:b/>
          <w:color w:val="auto"/>
          <w:sz w:val="24"/>
          <w:szCs w:val="24"/>
          <w:highlight w:val="none"/>
        </w:rPr>
        <w:t>项目位置：</w:t>
      </w:r>
      <w:r>
        <w:rPr>
          <w:rFonts w:hint="eastAsia" w:ascii="Times New Roman" w:hAnsi="Times New Roman" w:eastAsia="仿宋_GB2312" w:cs="Times New Roman"/>
          <w:color w:val="auto"/>
          <w:sz w:val="24"/>
          <w:szCs w:val="24"/>
          <w:highlight w:val="none"/>
          <w:lang w:val="en-US" w:eastAsia="zh-CN"/>
        </w:rPr>
        <w:t>拟建德页1井钻前工程位于</w:t>
      </w:r>
      <w:r>
        <w:rPr>
          <w:rFonts w:ascii="Times New Roman" w:hAnsi="Times New Roman" w:eastAsia="仿宋_GB2312" w:cs="Times New Roman"/>
          <w:color w:val="auto"/>
          <w:spacing w:val="5"/>
          <w:sz w:val="24"/>
          <w:szCs w:val="24"/>
          <w:highlight w:val="none"/>
        </w:rPr>
        <w:t>四川省</w:t>
      </w:r>
      <w:r>
        <w:rPr>
          <w:rFonts w:ascii="Times New Roman" w:hAnsi="Times New Roman" w:eastAsia="仿宋" w:cs="Times New Roman"/>
          <w:sz w:val="24"/>
          <w:highlight w:val="none"/>
        </w:rPr>
        <w:t>四川省</w:t>
      </w:r>
      <w:r>
        <w:rPr>
          <w:rFonts w:hint="eastAsia" w:ascii="Times New Roman" w:hAnsi="Times New Roman" w:eastAsia="仿宋" w:cs="Times New Roman"/>
          <w:sz w:val="24"/>
          <w:highlight w:val="none"/>
        </w:rPr>
        <w:t>南充市仪陇县日兴镇油坊村5社</w:t>
      </w:r>
      <w:r>
        <w:rPr>
          <w:rFonts w:hint="eastAsia" w:ascii="Times New Roman" w:hAnsi="Times New Roman" w:eastAsia="仿宋_GB2312" w:cs="Times New Roman"/>
          <w:color w:val="auto"/>
          <w:sz w:val="24"/>
          <w:szCs w:val="24"/>
          <w:highlight w:val="none"/>
          <w:lang w:val="en-US" w:eastAsia="zh-CN"/>
        </w:rPr>
        <w:t>。</w:t>
      </w:r>
      <w:r>
        <w:rPr>
          <w:rFonts w:hint="eastAsia" w:ascii="Times New Roman" w:hAnsi="Times New Roman" w:eastAsia="仿宋_GB2312" w:cs="Times New Roman"/>
          <w:color w:val="auto"/>
          <w:spacing w:val="5"/>
          <w:sz w:val="24"/>
          <w:szCs w:val="24"/>
          <w:highlight w:val="none"/>
          <w:lang w:val="en-US" w:eastAsia="zh-CN"/>
        </w:rPr>
        <w:t>井场平台中心位置</w:t>
      </w:r>
      <w:r>
        <w:rPr>
          <w:rFonts w:ascii="Times New Roman" w:hAnsi="Times New Roman" w:eastAsia="仿宋_GB2312" w:cs="Times New Roman"/>
          <w:color w:val="auto"/>
          <w:spacing w:val="5"/>
          <w:sz w:val="24"/>
          <w:szCs w:val="24"/>
          <w:highlight w:val="none"/>
        </w:rPr>
        <w:t>经纬度</w:t>
      </w:r>
      <w:r>
        <w:rPr>
          <w:rFonts w:hint="eastAsia" w:ascii="Times New Roman" w:hAnsi="Times New Roman" w:eastAsia="仿宋_GB2312" w:cs="Times New Roman"/>
          <w:color w:val="auto"/>
          <w:spacing w:val="5"/>
          <w:sz w:val="24"/>
          <w:szCs w:val="24"/>
          <w:highlight w:val="none"/>
          <w:lang w:val="en-US" w:eastAsia="zh-CN"/>
        </w:rPr>
        <w:t>坐标为：106°29'23.03"E，31°31'23.51"N</w:t>
      </w:r>
      <w:r>
        <w:rPr>
          <w:rFonts w:ascii="Times New Roman" w:hAnsi="Times New Roman" w:eastAsia="仿宋_GB2312" w:cs="Times New Roman"/>
          <w:color w:val="auto"/>
          <w:spacing w:val="5"/>
          <w:sz w:val="24"/>
          <w:szCs w:val="24"/>
          <w:highlight w:val="none"/>
        </w:rPr>
        <w:t>。</w:t>
      </w:r>
    </w:p>
    <w:p>
      <w:pPr>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szCs w:val="24"/>
          <w:highlight w:val="none"/>
        </w:rPr>
        <w:t>建设性质：</w:t>
      </w:r>
      <w:r>
        <w:rPr>
          <w:rFonts w:ascii="Times New Roman" w:hAnsi="Times New Roman" w:eastAsia="仿宋_GB2312" w:cs="Times New Roman"/>
          <w:color w:val="auto"/>
          <w:sz w:val="24"/>
          <w:szCs w:val="24"/>
          <w:highlight w:val="none"/>
        </w:rPr>
        <w:t>新建、建设类项目。</w:t>
      </w:r>
    </w:p>
    <w:p>
      <w:pPr>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szCs w:val="24"/>
          <w:highlight w:val="none"/>
        </w:rPr>
        <w:t>建设单位</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大庆油田有限责任公司勘探事业部</w:t>
      </w:r>
      <w:r>
        <w:rPr>
          <w:rFonts w:ascii="Times New Roman" w:hAnsi="Times New Roman" w:eastAsia="仿宋_GB2312" w:cs="Times New Roman"/>
          <w:color w:val="auto"/>
          <w:sz w:val="24"/>
          <w:szCs w:val="24"/>
          <w:highlight w:val="none"/>
        </w:rPr>
        <w:t>。</w:t>
      </w:r>
    </w:p>
    <w:p>
      <w:pPr>
        <w:spacing w:line="360" w:lineRule="auto"/>
        <w:ind w:firstLine="482" w:firstLineChars="200"/>
        <w:rPr>
          <w:rFonts w:hint="eastAsia" w:ascii="Times New Roman" w:hAnsi="Times New Roman" w:eastAsia="仿宋" w:cs="Times New Roman"/>
          <w:sz w:val="24"/>
          <w:highlight w:val="none"/>
        </w:rPr>
      </w:pPr>
      <w:r>
        <w:rPr>
          <w:rFonts w:ascii="Times New Roman" w:hAnsi="Times New Roman" w:eastAsia="仿宋_GB2312" w:cs="Times New Roman"/>
          <w:b/>
          <w:color w:val="auto"/>
          <w:sz w:val="24"/>
          <w:szCs w:val="24"/>
          <w:highlight w:val="none"/>
        </w:rPr>
        <w:t>项目规模与组成：</w:t>
      </w:r>
      <w:r>
        <w:rPr>
          <w:rFonts w:hint="eastAsia" w:ascii="Times New Roman" w:hAnsi="Times New Roman" w:eastAsia="仿宋_GB2312" w:cs="Times New Roman"/>
          <w:color w:val="auto"/>
          <w:sz w:val="24"/>
          <w:szCs w:val="24"/>
          <w:highlight w:val="none"/>
          <w:lang w:val="en-US" w:eastAsia="zh-CN"/>
        </w:rPr>
        <w:t>德页1井钻前工程位于</w:t>
      </w:r>
      <w:r>
        <w:rPr>
          <w:rFonts w:ascii="Times New Roman" w:hAnsi="Times New Roman" w:eastAsia="仿宋" w:cs="Times New Roman"/>
          <w:sz w:val="24"/>
          <w:highlight w:val="none"/>
        </w:rPr>
        <w:t>四川省</w:t>
      </w:r>
      <w:r>
        <w:rPr>
          <w:rFonts w:hint="eastAsia" w:ascii="Times New Roman" w:hAnsi="Times New Roman" w:eastAsia="仿宋" w:cs="Times New Roman"/>
          <w:sz w:val="24"/>
          <w:highlight w:val="none"/>
        </w:rPr>
        <w:t>南充市仪陇县日兴镇油坊村5社</w:t>
      </w:r>
      <w:r>
        <w:rPr>
          <w:rFonts w:hint="eastAsia" w:ascii="Times New Roman" w:hAnsi="Times New Roman" w:eastAsia="仿宋_GB2312" w:cs="Times New Roman"/>
          <w:color w:val="auto"/>
          <w:sz w:val="24"/>
          <w:szCs w:val="24"/>
          <w:highlight w:val="none"/>
          <w:lang w:val="en-US" w:eastAsia="zh-CN"/>
        </w:rPr>
        <w:t>。德页1井</w:t>
      </w:r>
      <w:r>
        <w:rPr>
          <w:rFonts w:hint="eastAsia" w:ascii="Times New Roman" w:hAnsi="Times New Roman" w:eastAsia="仿宋" w:cs="Times New Roman"/>
          <w:sz w:val="24"/>
          <w:highlight w:val="none"/>
        </w:rPr>
        <w:t>预计井深 5140m，拟采用ZJ50D型钻机进行钻井作业，井场平面尺寸为100m（长）×55m（宽）。应急池500m</w:t>
      </w:r>
      <w:r>
        <w:rPr>
          <w:rFonts w:hint="eastAsia" w:ascii="Times New Roman" w:hAnsi="Times New Roman" w:eastAsia="仿宋" w:cs="Times New Roman"/>
          <w:sz w:val="24"/>
          <w:highlight w:val="none"/>
          <w:vertAlign w:val="superscript"/>
        </w:rPr>
        <w:t>3</w:t>
      </w:r>
      <w:r>
        <w:rPr>
          <w:rFonts w:hint="eastAsia" w:ascii="Times New Roman" w:hAnsi="Times New Roman" w:eastAsia="仿宋" w:cs="Times New Roman"/>
          <w:sz w:val="24"/>
          <w:highlight w:val="none"/>
        </w:rPr>
        <w:t>，泥浆储备罐6个，清洁生产操作平台450m</w:t>
      </w:r>
      <w:r>
        <w:rPr>
          <w:rFonts w:hint="eastAsia" w:ascii="Times New Roman" w:hAnsi="Times New Roman" w:eastAsia="仿宋" w:cs="Times New Roman"/>
          <w:sz w:val="24"/>
          <w:highlight w:val="none"/>
          <w:vertAlign w:val="superscript"/>
        </w:rPr>
        <w:t>2</w:t>
      </w:r>
      <w:r>
        <w:rPr>
          <w:rFonts w:hint="eastAsia" w:ascii="Times New Roman" w:hAnsi="Times New Roman" w:eastAsia="仿宋" w:cs="Times New Roman"/>
          <w:sz w:val="24"/>
          <w:highlight w:val="none"/>
        </w:rPr>
        <w:t>（其中 150m</w:t>
      </w:r>
      <w:r>
        <w:rPr>
          <w:rFonts w:hint="eastAsia" w:ascii="Times New Roman" w:hAnsi="Times New Roman" w:eastAsia="仿宋" w:cs="Times New Roman"/>
          <w:sz w:val="24"/>
          <w:highlight w:val="none"/>
          <w:vertAlign w:val="superscript"/>
        </w:rPr>
        <w:t>2</w:t>
      </w:r>
      <w:r>
        <w:rPr>
          <w:rFonts w:hint="eastAsia" w:ascii="Times New Roman" w:hAnsi="Times New Roman" w:eastAsia="仿宋" w:cs="Times New Roman"/>
          <w:sz w:val="24"/>
          <w:highlight w:val="none"/>
        </w:rPr>
        <w:t>作为岩屑堆放区），井队生活区一套，厕所2座，A类燃烧池1座，新建进场道路0.191km，新建生活区道路0.065km。</w:t>
      </w:r>
    </w:p>
    <w:p>
      <w:pPr>
        <w:spacing w:line="360" w:lineRule="auto"/>
        <w:ind w:firstLine="482" w:firstLineChars="200"/>
        <w:rPr>
          <w:rFonts w:ascii="Times New Roman" w:hAnsi="Times New Roman" w:eastAsia="仿宋_GB2312" w:cs="Times New Roman"/>
          <w:sz w:val="24"/>
          <w:szCs w:val="24"/>
          <w:highlight w:val="none"/>
        </w:rPr>
      </w:pPr>
      <w:r>
        <w:rPr>
          <w:rFonts w:ascii="Times New Roman" w:hAnsi="Times New Roman" w:eastAsia="仿宋_GB2312" w:cs="Times New Roman"/>
          <w:b/>
          <w:color w:val="auto"/>
          <w:sz w:val="24"/>
          <w:szCs w:val="24"/>
          <w:highlight w:val="none"/>
        </w:rPr>
        <w:t>工程占地：</w:t>
      </w:r>
      <w:r>
        <w:rPr>
          <w:rFonts w:ascii="Times New Roman" w:hAnsi="Times New Roman" w:eastAsia="仿宋_GB2312" w:cs="Times New Roman"/>
          <w:sz w:val="24"/>
          <w:szCs w:val="24"/>
          <w:highlight w:val="none"/>
        </w:rPr>
        <w:t>本项目总占地面积</w:t>
      </w:r>
      <w:r>
        <w:rPr>
          <w:rFonts w:hint="eastAsia" w:ascii="Times New Roman" w:hAnsi="Times New Roman" w:eastAsia="仿宋_GB2312" w:cs="Times New Roman"/>
          <w:sz w:val="24"/>
          <w:szCs w:val="24"/>
          <w:highlight w:val="none"/>
          <w:lang w:val="en-US" w:eastAsia="zh-CN"/>
        </w:rPr>
        <w:t>1.76</w:t>
      </w:r>
      <w:r>
        <w:rPr>
          <w:rFonts w:ascii="Times New Roman" w:hAnsi="Times New Roman" w:eastAsia="仿宋_GB2312" w:cs="Times New Roman"/>
          <w:sz w:val="24"/>
          <w:szCs w:val="24"/>
          <w:highlight w:val="none"/>
        </w:rPr>
        <w:t>hm²，全部为临时占地，占地类型主要为</w:t>
      </w:r>
      <w:r>
        <w:rPr>
          <w:rFonts w:hint="eastAsia" w:ascii="Times New Roman" w:hAnsi="Times New Roman" w:eastAsia="仿宋_GB2312" w:cs="Times New Roman"/>
          <w:sz w:val="24"/>
          <w:szCs w:val="24"/>
          <w:highlight w:val="none"/>
          <w:lang w:val="en-US" w:eastAsia="zh-CN"/>
        </w:rPr>
        <w:t>耕地、林地、交通运输用地</w:t>
      </w:r>
      <w:r>
        <w:rPr>
          <w:rFonts w:ascii="Times New Roman" w:hAnsi="Times New Roman" w:eastAsia="仿宋_GB2312" w:cs="Times New Roman"/>
          <w:sz w:val="24"/>
          <w:szCs w:val="24"/>
          <w:highlight w:val="none"/>
        </w:rPr>
        <w:t>。</w:t>
      </w:r>
    </w:p>
    <w:p>
      <w:pPr>
        <w:spacing w:line="360" w:lineRule="auto"/>
        <w:ind w:firstLine="482" w:firstLineChars="200"/>
        <w:rPr>
          <w:rFonts w:ascii="Times New Roman" w:hAnsi="Times New Roman" w:eastAsia="仿宋_GB2312" w:cs="Times New Roman"/>
          <w:sz w:val="24"/>
          <w:highlight w:val="none"/>
        </w:rPr>
      </w:pPr>
      <w:r>
        <w:rPr>
          <w:rFonts w:ascii="Times New Roman" w:hAnsi="Times New Roman" w:eastAsia="仿宋_GB2312" w:cs="Times New Roman"/>
          <w:b/>
          <w:sz w:val="24"/>
          <w:szCs w:val="24"/>
          <w:highlight w:val="none"/>
        </w:rPr>
        <w:t>工程投资：</w:t>
      </w:r>
      <w:r>
        <w:rPr>
          <w:rFonts w:hint="eastAsia" w:ascii="Times New Roman" w:hAnsi="Times New Roman" w:eastAsia="仿宋_GB2312" w:cs="Times New Roman"/>
          <w:sz w:val="24"/>
          <w:highlight w:val="none"/>
        </w:rPr>
        <w:t>本项目总投资</w:t>
      </w:r>
      <w:r>
        <w:rPr>
          <w:rFonts w:hint="eastAsia" w:ascii="Times New Roman" w:hAnsi="Times New Roman" w:eastAsia="仿宋_GB2312" w:cs="Times New Roman"/>
          <w:sz w:val="24"/>
          <w:highlight w:val="none"/>
          <w:lang w:val="en-US" w:eastAsia="zh-CN"/>
        </w:rPr>
        <w:t>1450</w:t>
      </w:r>
      <w:r>
        <w:rPr>
          <w:rFonts w:hint="eastAsia" w:ascii="Times New Roman" w:hAnsi="Times New Roman" w:eastAsia="仿宋_GB2312" w:cs="Times New Roman"/>
          <w:sz w:val="24"/>
          <w:highlight w:val="none"/>
        </w:rPr>
        <w:t>万元，其中土建投资</w:t>
      </w:r>
      <w:r>
        <w:rPr>
          <w:rFonts w:hint="eastAsia" w:ascii="Times New Roman" w:hAnsi="Times New Roman" w:eastAsia="仿宋_GB2312" w:cs="Times New Roman"/>
          <w:sz w:val="24"/>
          <w:highlight w:val="none"/>
          <w:lang w:val="en-US" w:eastAsia="zh-CN"/>
        </w:rPr>
        <w:t>890</w:t>
      </w:r>
      <w:r>
        <w:rPr>
          <w:rFonts w:hint="eastAsia" w:ascii="Times New Roman" w:hAnsi="Times New Roman" w:eastAsia="仿宋_GB2312" w:cs="Times New Roman"/>
          <w:sz w:val="24"/>
          <w:highlight w:val="none"/>
        </w:rPr>
        <w:t>万元，资金来源为业主自筹</w:t>
      </w:r>
      <w:r>
        <w:rPr>
          <w:rFonts w:ascii="Times New Roman" w:hAnsi="Times New Roman" w:eastAsia="仿宋_GB2312" w:cs="Times New Roman"/>
          <w:sz w:val="24"/>
          <w:highlight w:val="none"/>
        </w:rPr>
        <w:t>。</w:t>
      </w:r>
    </w:p>
    <w:p>
      <w:pPr>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highlight w:val="none"/>
        </w:rPr>
        <w:t>工程土石方：</w:t>
      </w:r>
      <w:r>
        <w:rPr>
          <w:rFonts w:ascii="Times New Roman" w:hAnsi="Times New Roman" w:eastAsia="仿宋_GB2312" w:cs="Times New Roman"/>
          <w:color w:val="auto"/>
          <w:sz w:val="24"/>
          <w:szCs w:val="24"/>
          <w:highlight w:val="none"/>
        </w:rPr>
        <w:t>本工程挖方总量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（自然方，下同，含表土剥离</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），总填方量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（含表土利用</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vertAlign w:val="baseline"/>
          <w:lang w:val="en-US" w:eastAsia="zh-CN"/>
        </w:rPr>
        <w:t>，</w:t>
      </w:r>
      <w:r>
        <w:rPr>
          <w:rFonts w:ascii="Times New Roman" w:hAnsi="Times New Roman" w:eastAsia="仿宋_GB2312" w:cs="Times New Roman"/>
          <w:color w:val="auto"/>
          <w:sz w:val="24"/>
          <w:szCs w:val="24"/>
          <w:highlight w:val="none"/>
        </w:rPr>
        <w:t>工程建设无弃方产生。</w:t>
      </w:r>
    </w:p>
    <w:p>
      <w:pPr>
        <w:pStyle w:val="58"/>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XwBjAHAAXwBXAG8AMAAyACsAVgBqAGUARQBYAGkAQwBvADkAcwBVAFMASABMAHIAQwB0ACsAMwBE
ACsAbgBQAGkANQBjAGIARgBBAEoAdwA5AEMANwA1AEQANgBCAGcAKwAyAEEAdAB2AFkAMgBhAHEA
UQA9AD0A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1.1.2</w:t>
      </w:r>
      <w:r>
        <w:rPr>
          <w:rFonts w:ascii="Times New Roman" w:hAnsi="Times New Roman"/>
          <w:color w:val="auto"/>
        </w:rPr>
        <w:fldChar w:fldCharType="end"/>
      </w:r>
      <w:r>
        <w:rPr>
          <w:rFonts w:ascii="Times New Roman" w:hAnsi="Times New Roman"/>
          <w:color w:val="auto"/>
        </w:rPr>
        <w:t>项目前期工作进展情况</w:t>
      </w:r>
    </w:p>
    <w:p>
      <w:pPr>
        <w:pStyle w:val="8"/>
        <w:ind w:firstLine="480"/>
        <w:rPr>
          <w:rFonts w:ascii="Times New Roman" w:hAnsi="Times New Roman"/>
          <w:color w:val="auto"/>
          <w:highlight w:val="none"/>
        </w:rPr>
      </w:pPr>
      <w:r>
        <w:rPr>
          <w:rFonts w:ascii="Times New Roman" w:hAnsi="Times New Roman"/>
          <w:color w:val="auto"/>
          <w:highlight w:val="none"/>
        </w:rPr>
        <w:t>202</w:t>
      </w:r>
      <w:r>
        <w:rPr>
          <w:rFonts w:hint="eastAsia"/>
          <w:color w:val="auto"/>
          <w:highlight w:val="none"/>
          <w:lang w:val="en-US" w:eastAsia="zh-CN"/>
        </w:rPr>
        <w:t>1</w:t>
      </w:r>
      <w:r>
        <w:rPr>
          <w:rFonts w:ascii="Times New Roman" w:hAnsi="Times New Roman"/>
          <w:color w:val="auto"/>
          <w:highlight w:val="none"/>
        </w:rPr>
        <w:t>年</w:t>
      </w:r>
      <w:r>
        <w:rPr>
          <w:rFonts w:hint="eastAsia"/>
          <w:color w:val="auto"/>
          <w:highlight w:val="none"/>
          <w:lang w:val="en-US" w:eastAsia="zh-CN"/>
        </w:rPr>
        <w:t>12</w:t>
      </w:r>
      <w:r>
        <w:rPr>
          <w:rFonts w:ascii="Times New Roman" w:hAnsi="Times New Roman"/>
          <w:color w:val="auto"/>
          <w:highlight w:val="none"/>
        </w:rPr>
        <w:t>月，</w:t>
      </w:r>
      <w:r>
        <w:rPr>
          <w:rFonts w:hint="eastAsia"/>
          <w:highlight w:val="none"/>
        </w:rPr>
        <w:t>大庆油田有限责任公司以“庆油发</w:t>
      </w:r>
      <w:r>
        <w:rPr>
          <w:highlight w:val="none"/>
        </w:rPr>
        <w:t>[202</w:t>
      </w:r>
      <w:r>
        <w:rPr>
          <w:rFonts w:hint="eastAsia"/>
          <w:highlight w:val="none"/>
          <w:lang w:val="en-US" w:eastAsia="zh-CN"/>
        </w:rPr>
        <w:t>1</w:t>
      </w:r>
      <w:r>
        <w:rPr>
          <w:highlight w:val="none"/>
        </w:rPr>
        <w:t>]</w:t>
      </w:r>
      <w:r>
        <w:rPr>
          <w:rFonts w:hint="eastAsia"/>
          <w:highlight w:val="none"/>
          <w:lang w:val="en-US" w:eastAsia="zh-CN"/>
        </w:rPr>
        <w:t>195</w:t>
      </w:r>
      <w:r>
        <w:rPr>
          <w:highlight w:val="none"/>
        </w:rPr>
        <w:t>号</w:t>
      </w:r>
      <w:r>
        <w:rPr>
          <w:rFonts w:hint="eastAsia"/>
          <w:highlight w:val="none"/>
        </w:rPr>
        <w:t>”文同意</w:t>
      </w:r>
      <w:r>
        <w:rPr>
          <w:rFonts w:hint="eastAsia"/>
          <w:highlight w:val="none"/>
          <w:lang w:val="en-US" w:eastAsia="zh-CN"/>
        </w:rPr>
        <w:t>德页1</w:t>
      </w:r>
      <w:r>
        <w:rPr>
          <w:rFonts w:hint="eastAsia"/>
          <w:highlight w:val="none"/>
          <w:lang w:eastAsia="zh-CN"/>
        </w:rPr>
        <w:t>井</w:t>
      </w:r>
      <w:r>
        <w:rPr>
          <w:highlight w:val="none"/>
        </w:rPr>
        <w:t>井位</w:t>
      </w:r>
      <w:r>
        <w:rPr>
          <w:rFonts w:hint="eastAsia"/>
          <w:highlight w:val="none"/>
        </w:rPr>
        <w:t>，要求抓紧办理钻前工程相关前期工作。</w:t>
      </w:r>
    </w:p>
    <w:p>
      <w:pPr>
        <w:pStyle w:val="8"/>
        <w:ind w:firstLine="480"/>
        <w:rPr>
          <w:highlight w:val="none"/>
        </w:rPr>
      </w:pPr>
      <w:r>
        <w:rPr>
          <w:highlight w:val="none"/>
        </w:rPr>
        <w:t>202</w:t>
      </w:r>
      <w:r>
        <w:rPr>
          <w:rFonts w:hint="eastAsia"/>
          <w:highlight w:val="none"/>
          <w:lang w:val="en-US" w:eastAsia="zh-CN"/>
        </w:rPr>
        <w:t>2</w:t>
      </w:r>
      <w:r>
        <w:rPr>
          <w:highlight w:val="none"/>
        </w:rPr>
        <w:t>年</w:t>
      </w:r>
      <w:r>
        <w:rPr>
          <w:rFonts w:hint="eastAsia"/>
          <w:highlight w:val="none"/>
          <w:lang w:val="en-US" w:eastAsia="zh-CN"/>
        </w:rPr>
        <w:t>3</w:t>
      </w:r>
      <w:r>
        <w:rPr>
          <w:highlight w:val="none"/>
        </w:rPr>
        <w:t>月</w:t>
      </w:r>
      <w:r>
        <w:rPr>
          <w:rFonts w:hint="eastAsia"/>
          <w:highlight w:val="none"/>
        </w:rPr>
        <w:t>，大庆油田有限责任公司勘探事业部（以下简称“建设单位”）</w:t>
      </w:r>
      <w:r>
        <w:rPr>
          <w:highlight w:val="none"/>
        </w:rPr>
        <w:t>委托</w:t>
      </w:r>
      <w:r>
        <w:rPr>
          <w:rFonts w:hint="eastAsia"/>
          <w:highlight w:val="none"/>
        </w:rPr>
        <w:t>四川科宏石油天然气工程有限公司负责本项目的勘察设计工作。四川科宏石油天然气工程有限公司于</w:t>
      </w:r>
      <w:r>
        <w:rPr>
          <w:rFonts w:hint="eastAsia"/>
          <w:highlight w:val="none"/>
          <w:lang w:val="en-US" w:eastAsia="zh-CN"/>
        </w:rPr>
        <w:t>4</w:t>
      </w:r>
      <w:r>
        <w:rPr>
          <w:rFonts w:hint="eastAsia"/>
          <w:highlight w:val="none"/>
        </w:rPr>
        <w:t>月完成《</w:t>
      </w:r>
      <w:r>
        <w:rPr>
          <w:rFonts w:hint="eastAsia"/>
          <w:highlight w:val="none"/>
          <w:lang w:val="en-US" w:eastAsia="zh-CN"/>
        </w:rPr>
        <w:t>德页1</w:t>
      </w:r>
      <w:r>
        <w:rPr>
          <w:rFonts w:hint="eastAsia"/>
          <w:highlight w:val="none"/>
          <w:lang w:eastAsia="zh-CN"/>
        </w:rPr>
        <w:t>井</w:t>
      </w:r>
      <w:r>
        <w:rPr>
          <w:highlight w:val="none"/>
        </w:rPr>
        <w:t>钻前工程</w:t>
      </w:r>
      <w:r>
        <w:rPr>
          <w:rFonts w:hint="eastAsia"/>
          <w:highlight w:val="none"/>
        </w:rPr>
        <w:t>施工图》。</w:t>
      </w:r>
    </w:p>
    <w:p>
      <w:pPr>
        <w:pStyle w:val="8"/>
        <w:ind w:firstLine="480"/>
        <w:rPr>
          <w:highlight w:val="none"/>
        </w:rPr>
      </w:pPr>
      <w:r>
        <w:rPr>
          <w:highlight w:val="none"/>
        </w:rPr>
        <w:t>20</w:t>
      </w:r>
      <w:r>
        <w:rPr>
          <w:rFonts w:hint="eastAsia"/>
          <w:highlight w:val="none"/>
        </w:rPr>
        <w:t>2</w:t>
      </w:r>
      <w:r>
        <w:rPr>
          <w:rFonts w:hint="eastAsia"/>
          <w:highlight w:val="none"/>
          <w:lang w:val="en-US" w:eastAsia="zh-CN"/>
        </w:rPr>
        <w:t>2</w:t>
      </w:r>
      <w:r>
        <w:rPr>
          <w:highlight w:val="none"/>
        </w:rPr>
        <w:t>年</w:t>
      </w:r>
      <w:r>
        <w:rPr>
          <w:rFonts w:hint="eastAsia"/>
          <w:highlight w:val="none"/>
          <w:lang w:val="en-US" w:eastAsia="zh-CN"/>
        </w:rPr>
        <w:t>7</w:t>
      </w:r>
      <w:r>
        <w:rPr>
          <w:highlight w:val="none"/>
        </w:rPr>
        <w:t>月，四川保川工程勘察设计有限公司（以下简称</w:t>
      </w:r>
      <w:r>
        <w:rPr>
          <w:rFonts w:hint="eastAsia"/>
          <w:highlight w:val="none"/>
        </w:rPr>
        <w:t>“</w:t>
      </w:r>
      <w:r>
        <w:rPr>
          <w:highlight w:val="none"/>
        </w:rPr>
        <w:t>我公司</w:t>
      </w:r>
      <w:r>
        <w:rPr>
          <w:rFonts w:hint="eastAsia"/>
          <w:highlight w:val="none"/>
        </w:rPr>
        <w:t>”</w:t>
      </w:r>
      <w:r>
        <w:rPr>
          <w:highlight w:val="none"/>
        </w:rPr>
        <w:t>）接受</w:t>
      </w:r>
      <w:r>
        <w:rPr>
          <w:rFonts w:hint="eastAsia"/>
          <w:highlight w:val="none"/>
        </w:rPr>
        <w:t>大庆油田有限责任公司勘探事业部</w:t>
      </w:r>
      <w:r>
        <w:rPr>
          <w:highlight w:val="none"/>
        </w:rPr>
        <w:t>委托，开展</w:t>
      </w:r>
      <w:r>
        <w:rPr>
          <w:rFonts w:hint="eastAsia"/>
          <w:highlight w:val="none"/>
        </w:rPr>
        <w:t>本项目</w:t>
      </w:r>
      <w:r>
        <w:rPr>
          <w:highlight w:val="none"/>
        </w:rPr>
        <w:t>水土保持方案</w:t>
      </w:r>
      <w:r>
        <w:rPr>
          <w:rFonts w:hint="eastAsia"/>
          <w:highlight w:val="none"/>
        </w:rPr>
        <w:t>编制工作</w:t>
      </w:r>
      <w:r>
        <w:rPr>
          <w:highlight w:val="none"/>
        </w:rPr>
        <w:t>。</w:t>
      </w:r>
    </w:p>
    <w:p>
      <w:pPr>
        <w:pStyle w:val="8"/>
        <w:ind w:firstLine="480"/>
        <w:rPr>
          <w:rFonts w:ascii="Times New Roman" w:hAnsi="Times New Roman"/>
          <w:color w:val="auto"/>
          <w:highlight w:val="none"/>
        </w:rPr>
      </w:pPr>
      <w:r>
        <w:rPr>
          <w:highlight w:val="none"/>
        </w:rPr>
        <w:t>我公司接受委托后，立即组织相关人员进行了现场踏勘，收集了相关资料，在此基础上于20</w:t>
      </w:r>
      <w:r>
        <w:rPr>
          <w:rFonts w:hint="eastAsia"/>
          <w:highlight w:val="none"/>
        </w:rPr>
        <w:t>2</w:t>
      </w:r>
      <w:r>
        <w:rPr>
          <w:rFonts w:hint="eastAsia"/>
          <w:highlight w:val="none"/>
          <w:lang w:val="en-US" w:eastAsia="zh-CN"/>
        </w:rPr>
        <w:t>2</w:t>
      </w:r>
      <w:r>
        <w:rPr>
          <w:highlight w:val="none"/>
        </w:rPr>
        <w:t>年</w:t>
      </w:r>
      <w:r>
        <w:rPr>
          <w:rFonts w:hint="eastAsia"/>
          <w:highlight w:val="none"/>
          <w:lang w:val="en-US" w:eastAsia="zh-CN"/>
        </w:rPr>
        <w:t>8</w:t>
      </w:r>
      <w:r>
        <w:rPr>
          <w:highlight w:val="none"/>
        </w:rPr>
        <w:t>月编制完成</w:t>
      </w:r>
      <w:r>
        <w:rPr>
          <w:rFonts w:hint="eastAsia"/>
          <w:highlight w:val="none"/>
        </w:rPr>
        <w:t>了</w:t>
      </w:r>
      <w:r>
        <w:rPr>
          <w:highlight w:val="none"/>
        </w:rPr>
        <w:t>《</w:t>
      </w:r>
      <w:r>
        <w:rPr>
          <w:rFonts w:hint="eastAsia"/>
          <w:highlight w:val="none"/>
          <w:lang w:val="en-US" w:eastAsia="zh-CN"/>
        </w:rPr>
        <w:t>德页1</w:t>
      </w:r>
      <w:r>
        <w:rPr>
          <w:rFonts w:hint="eastAsia"/>
          <w:highlight w:val="none"/>
          <w:lang w:eastAsia="zh-CN"/>
        </w:rPr>
        <w:t>井</w:t>
      </w:r>
      <w:r>
        <w:rPr>
          <w:highlight w:val="none"/>
        </w:rPr>
        <w:t>钻前工程水土保持方案报告</w:t>
      </w:r>
      <w:r>
        <w:rPr>
          <w:rFonts w:hint="eastAsia"/>
          <w:highlight w:val="none"/>
        </w:rPr>
        <w:t>表</w:t>
      </w:r>
      <w:r>
        <w:rPr>
          <w:highlight w:val="none"/>
        </w:rPr>
        <w:t>》。</w:t>
      </w:r>
    </w:p>
    <w:p>
      <w:pPr>
        <w:pStyle w:val="58"/>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XwBjAHAAXwBkADcANgArAEkAUQBMAFkAagBmAHEAagAxADcAVwBVAGoAdQBtAEYARQBpAFMAawBC
AHIASwA2AHIANQAzAEQAYwA5AGoAbAAyAFoAUAAvAGkAYgBEAGEAdQBOAGgAeQBiAHQAeABsAHgA
ZwA9AD0A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1.1.3</w:t>
      </w:r>
      <w:r>
        <w:rPr>
          <w:rFonts w:ascii="Times New Roman" w:hAnsi="Times New Roman"/>
          <w:color w:val="auto"/>
        </w:rPr>
        <w:fldChar w:fldCharType="end"/>
      </w:r>
      <w:r>
        <w:rPr>
          <w:rFonts w:ascii="Times New Roman" w:hAnsi="Times New Roman"/>
          <w:color w:val="auto"/>
        </w:rPr>
        <w:t>自然概况</w:t>
      </w:r>
    </w:p>
    <w:p>
      <w:pPr>
        <w:pStyle w:val="8"/>
        <w:ind w:firstLine="480"/>
        <w:rPr>
          <w:rFonts w:hint="eastAsia"/>
          <w:color w:val="auto"/>
          <w:highlight w:val="none"/>
          <w:lang w:val="en-US" w:eastAsia="zh-CN"/>
        </w:rPr>
      </w:pPr>
      <w:r>
        <w:rPr>
          <w:rFonts w:hint="eastAsia"/>
          <w:color w:val="auto"/>
          <w:highlight w:val="none"/>
          <w:lang w:val="en-US" w:eastAsia="zh-CN"/>
        </w:rPr>
        <w:t>德页1井位于四川省</w:t>
      </w:r>
      <w:r>
        <w:rPr>
          <w:rFonts w:hint="eastAsia" w:ascii="Times New Roman" w:hAnsi="Times New Roman" w:eastAsia="仿宋" w:cs="Times New Roman"/>
          <w:sz w:val="24"/>
          <w:highlight w:val="none"/>
        </w:rPr>
        <w:t>南充市仪陇县日兴镇</w:t>
      </w:r>
      <w:r>
        <w:rPr>
          <w:rFonts w:hint="eastAsia"/>
          <w:color w:val="auto"/>
          <w:highlight w:val="none"/>
          <w:lang w:val="en-US" w:eastAsia="zh-CN"/>
        </w:rPr>
        <w:t>境内，为深丘-低山地形，有县、乡级公路与井场路相连，交通运输较方便。</w:t>
      </w:r>
    </w:p>
    <w:p>
      <w:pPr>
        <w:pStyle w:val="8"/>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该区域主要为四个地貌单元：即山麓斜坡地貌、山间冲沟地貌、山顶台地地貌、高丘地貌四类地貌单元。</w:t>
      </w:r>
    </w:p>
    <w:p>
      <w:pPr>
        <w:pStyle w:val="8"/>
        <w:ind w:firstLine="480"/>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仪陇县属中亚热带湿润季风气候，气候温和，具有冬暖、夏长、霜期短，四季分明，热量充足，雨量充沛，雨热同季的气候特点作物四级均能生长。年均气温 15.8℃，年降水量1075.5毫米，降水充沛但分布不均。全年日照时数1435.5小时。年平均风速2.0米/秒，最多风向为NNE风。主要气象灾害有干旱、高温、暴雨洪涝、寒潮、低温阴雨、大风、雷暴、冰雹等。</w:t>
      </w:r>
    </w:p>
    <w:p>
      <w:pPr>
        <w:pStyle w:val="8"/>
        <w:ind w:firstLine="480"/>
        <w:rPr>
          <w:rFonts w:ascii="Times New Roman" w:hAnsi="Times New Roman" w:eastAsia="仿宋_GB2312" w:cs="Times New Roman"/>
          <w:color w:val="auto"/>
          <w:sz w:val="24"/>
          <w:highlight w:val="none"/>
        </w:rPr>
      </w:pPr>
      <w:r>
        <w:rPr>
          <w:rFonts w:hint="eastAsia" w:ascii="Times New Roman" w:hAnsi="Times New Roman" w:cs="Times New Roman"/>
          <w:color w:val="auto"/>
          <w:highlight w:val="none"/>
          <w:lang w:val="en-US" w:eastAsia="zh-CN"/>
        </w:rPr>
        <w:t>根据《土壤侵蚀分类分级标》（SL190-2007），项目区属水力侵蚀区（I，一级类型区）中的西南土石山区（I5，二级类型区），土壤容许流失量为500t/km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.a，土壤侵蚀类型以轻度水力侵蚀为主，原地貌土壤侵蚀模数为1680t/km</w:t>
      </w:r>
      <w:r>
        <w:rPr>
          <w:rFonts w:hint="eastAsia" w:ascii="Times New Roman" w:hAnsi="Times New Roman" w:cs="Times New Roman"/>
          <w:color w:val="auto"/>
          <w:highlight w:val="none"/>
          <w:vertAlign w:val="superscript"/>
          <w:lang w:val="en-US" w:eastAsia="zh-CN"/>
        </w:rPr>
        <w:t>2</w:t>
      </w:r>
      <w:r>
        <w:rPr>
          <w:rFonts w:hint="eastAsia" w:ascii="Times New Roman" w:hAnsi="Times New Roman" w:cs="Times New Roman"/>
          <w:color w:val="auto"/>
          <w:highlight w:val="none"/>
          <w:lang w:val="en-US" w:eastAsia="zh-CN"/>
        </w:rPr>
        <w:t>·a。项目区在全国水土保持区划中属于西南紫色土区。项目所在的四川省南充市仪陇县不涉及其他水土保持敏感区。</w:t>
      </w:r>
    </w:p>
    <w:p>
      <w:pPr>
        <w:pStyle w:val="56"/>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XwBjAHAAXwBCADcAVgB1AEEAawBxAEsATwBHAGEAQwBtAHYASgBiAFkAWABVAFcALwBPAHYASQBP
AEkAKwB6AGwAbQBHADIAMQB2AE4AUABVACsAQwBRAGEAUABxAFUAUABVAHQAMABKAC8AWAAyADMA
ZwA9AD0A
</w:fldData>
        </w:fldChar>
      </w:r>
      <w:r>
        <w:rPr>
          <w:color w:val="auto"/>
        </w:rPr>
        <w:instrText xml:space="preserve">ADDIN _cp_ \* MERGEFORMAT</w:instrText>
      </w:r>
      <w:r>
        <w:rPr>
          <w:rFonts w:ascii="Times New Roman" w:hAnsi="Times New Roman"/>
          <w:color w:val="auto"/>
        </w:rPr>
        <w:fldChar w:fldCharType="separate"/>
      </w:r>
      <w:bookmarkStart w:id="6" w:name="_Toc74588668"/>
      <w:bookmarkStart w:id="7" w:name="_Toc74588719"/>
      <w:bookmarkStart w:id="8" w:name="_Toc13426550"/>
      <w:bookmarkStart w:id="9" w:name="_Toc14737389"/>
      <w:r>
        <w:rPr>
          <w:rFonts w:ascii="Times New Roman" w:hAnsi="Times New Roman"/>
          <w:color w:val="auto"/>
        </w:rPr>
        <w:t>1.2</w:t>
      </w:r>
      <w:r>
        <w:rPr>
          <w:rFonts w:ascii="Times New Roman" w:hAnsi="Times New Roman"/>
          <w:color w:val="auto"/>
        </w:rPr>
        <w:fldChar w:fldCharType="end"/>
      </w:r>
      <w:r>
        <w:rPr>
          <w:rFonts w:ascii="Times New Roman" w:hAnsi="Times New Roman"/>
          <w:color w:val="auto"/>
        </w:rPr>
        <w:t>编制依据</w:t>
      </w:r>
      <w:bookmarkEnd w:id="6"/>
      <w:bookmarkEnd w:id="7"/>
      <w:bookmarkEnd w:id="8"/>
      <w:bookmarkEnd w:id="9"/>
    </w:p>
    <w:p>
      <w:pPr>
        <w:pStyle w:val="58"/>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XwBjAHAAXwBQAGIAVwAwAHQARgBLAHAAQQBnAGoARABxAGgAdQBkAGkAegBYAHMANQAwAFkAOABM
AEEAOABNAEQASABTAHkAdQBTADQAaQBOAGwAegAxAG0AMgBFAGIATABiAHIAMQBhAFAARQBjADgA
QQA9AD0A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1.2.1</w:t>
      </w:r>
      <w:r>
        <w:rPr>
          <w:rFonts w:ascii="Times New Roman" w:hAnsi="Times New Roman"/>
          <w:color w:val="auto"/>
        </w:rPr>
        <w:fldChar w:fldCharType="end"/>
      </w:r>
      <w:r>
        <w:rPr>
          <w:rFonts w:ascii="Times New Roman" w:hAnsi="Times New Roman"/>
          <w:color w:val="auto"/>
        </w:rPr>
        <w:t>法律法规</w:t>
      </w:r>
    </w:p>
    <w:p>
      <w:pPr>
        <w:pStyle w:val="8"/>
        <w:ind w:firstLine="480"/>
        <w:jc w:val="both"/>
        <w:rPr>
          <w:rFonts w:ascii="Times New Roman" w:hAnsi="Times New Roman"/>
          <w:color w:val="auto"/>
          <w:highlight w:val="none"/>
        </w:rPr>
      </w:pPr>
      <w:r>
        <w:rPr>
          <w:rFonts w:ascii="Times New Roman" w:hAnsi="Times New Roman"/>
          <w:color w:val="auto"/>
          <w:highlight w:val="none"/>
        </w:rPr>
        <w:t>（1）《中华人民共和国水土保持法》（1991年6月29日颁布，2010年12月25日修订，自2011年3月1日施行）；</w:t>
      </w:r>
    </w:p>
    <w:p>
      <w:pPr>
        <w:pStyle w:val="8"/>
        <w:ind w:firstLine="480"/>
        <w:jc w:val="both"/>
        <w:rPr>
          <w:rFonts w:ascii="Times New Roman" w:hAnsi="Times New Roman"/>
          <w:color w:val="auto"/>
          <w:kern w:val="0"/>
          <w:szCs w:val="24"/>
          <w:highlight w:val="none"/>
        </w:rPr>
      </w:pPr>
      <w:r>
        <w:rPr>
          <w:rFonts w:ascii="Times New Roman" w:hAnsi="Times New Roman"/>
          <w:color w:val="auto"/>
          <w:highlight w:val="none"/>
        </w:rPr>
        <w:t>（2）《四川省〈中华人民共和国水土保持法〉实施办法（2012年修正）》（2012年9月21日四川省第十一届人民代表大会常务委员会修订）</w:t>
      </w:r>
      <w:r>
        <w:rPr>
          <w:rFonts w:ascii="Times New Roman" w:hAnsi="Times New Roman"/>
          <w:color w:val="auto"/>
          <w:kern w:val="0"/>
          <w:szCs w:val="24"/>
          <w:highlight w:val="none"/>
        </w:rPr>
        <w:t>。</w:t>
      </w:r>
    </w:p>
    <w:p>
      <w:pPr>
        <w:pStyle w:val="8"/>
        <w:ind w:firstLine="480"/>
        <w:jc w:val="both"/>
        <w:rPr>
          <w:rFonts w:ascii="Times New Roman" w:hAnsi="Times New Roman"/>
          <w:color w:val="auto"/>
        </w:rPr>
      </w:pPr>
      <w:r>
        <w:rPr>
          <w:rFonts w:ascii="Times New Roman" w:hAnsi="Times New Roman"/>
          <w:color w:val="auto"/>
          <w:kern w:val="0"/>
          <w:szCs w:val="24"/>
        </w:rPr>
        <w:t>（3）</w:t>
      </w:r>
      <w:r>
        <w:rPr>
          <w:rFonts w:ascii="Times New Roman" w:hAnsi="Times New Roman"/>
          <w:color w:val="auto"/>
        </w:rPr>
        <w:t>《中华人民共和国环境保护法》（全国人民代表大会常务委员会，1989年12月26日施行，2014年4月24日修订）；</w:t>
      </w:r>
    </w:p>
    <w:p>
      <w:pPr>
        <w:pStyle w:val="8"/>
        <w:ind w:firstLine="480"/>
        <w:jc w:val="both"/>
        <w:rPr>
          <w:rFonts w:ascii="Times New Roman" w:hAnsi="Times New Roman"/>
          <w:color w:val="auto"/>
        </w:rPr>
      </w:pPr>
      <w:r>
        <w:rPr>
          <w:rFonts w:ascii="Times New Roman" w:hAnsi="Times New Roman"/>
          <w:color w:val="auto"/>
        </w:rPr>
        <w:t>（4）《国务院关于全国水土保持规划（2015~2030的批复）》国函（2015）160号，2015年10月4日）</w:t>
      </w:r>
    </w:p>
    <w:p>
      <w:pPr>
        <w:pStyle w:val="8"/>
        <w:ind w:firstLine="480"/>
        <w:jc w:val="both"/>
        <w:rPr>
          <w:rFonts w:ascii="Times New Roman" w:hAnsi="Times New Roman"/>
          <w:color w:val="auto"/>
        </w:rPr>
      </w:pPr>
      <w:r>
        <w:rPr>
          <w:rFonts w:ascii="Times New Roman" w:hAnsi="Times New Roman"/>
          <w:color w:val="auto"/>
        </w:rPr>
        <w:t>（5）《中华人民共和国水文条例》(2007年4月25日国务院令第496号公布。2013年7月18日第一次修订，2016年1月13日第二次修订，2017年3月1日第三次修订</w:t>
      </w:r>
      <w:r>
        <w:rPr>
          <w:rFonts w:hint="eastAsia"/>
          <w:color w:val="auto"/>
          <w:lang w:eastAsia="zh-CN"/>
        </w:rPr>
        <w:t>）</w:t>
      </w:r>
      <w:r>
        <w:rPr>
          <w:rFonts w:hint="eastAsia" w:ascii="Times New Roman" w:hAnsi="Times New Roman" w:eastAsia="微软雅黑" w:cs="微软雅黑"/>
          <w:color w:val="auto"/>
        </w:rPr>
        <w:t>﹔</w:t>
      </w:r>
    </w:p>
    <w:p>
      <w:pPr>
        <w:pStyle w:val="8"/>
        <w:ind w:firstLine="480"/>
        <w:jc w:val="both"/>
        <w:rPr>
          <w:rFonts w:ascii="Times New Roman" w:hAnsi="Times New Roman"/>
          <w:color w:val="auto"/>
        </w:rPr>
      </w:pPr>
      <w:r>
        <w:rPr>
          <w:rFonts w:ascii="Times New Roman" w:hAnsi="Times New Roman"/>
          <w:color w:val="auto"/>
        </w:rPr>
        <w:t>（6）《中华人民共和国土地管理法》(1986年6月25日颁布，1987年7月1日起实施，1988年8月29日第一次修订，2004年8月28日第二次修订〉</w:t>
      </w:r>
      <w:r>
        <w:rPr>
          <w:rFonts w:hint="eastAsia" w:ascii="Times New Roman" w:hAnsi="Times New Roman" w:eastAsia="微软雅黑" w:cs="微软雅黑"/>
          <w:color w:val="auto"/>
        </w:rPr>
        <w:t>﹔</w:t>
      </w:r>
    </w:p>
    <w:p>
      <w:pPr>
        <w:pStyle w:val="58"/>
        <w:spacing w:before="120" w:beforeLines="50" w:after="120" w:afterLines="50"/>
        <w:rPr>
          <w:rFonts w:ascii="Times New Roman" w:hAnsi="Times New Roman"/>
          <w:color w:val="auto"/>
          <w:highlight w:val="none"/>
        </w:rPr>
      </w:pPr>
      <w:r>
        <w:rPr>
          <w:rFonts w:ascii="Times New Roman" w:hAnsi="Times New Roman"/>
          <w:color w:val="auto"/>
          <w:highlight w:val="none"/>
        </w:rPr>
        <w:fldChar w:fldCharType="begin">
          <w:fldData xml:space="preserve">XwBjAHAAXwBQAGIAVwAwAHQARgBLAHAAQQBnAGoARABxAGgAdQBkAGkAegBYAHMANQAwAFkAOABM
AEEAOABNAEQASABTAHkAdQBTADQAaQBOAGwAegAxAG0AMgBFAGIATABiAHIAMQBhAFAARQBjADgA
QQA9AD0A
</w:fldData>
        </w:fldChar>
      </w:r>
      <w:r>
        <w:rPr>
          <w:color w:val="auto"/>
          <w:highlight w:val="none"/>
        </w:rPr>
        <w:instrText xml:space="preserve">ADDIN _cp_ \* MERGEFORMAT</w:instrText>
      </w:r>
      <w:r>
        <w:rPr>
          <w:rFonts w:ascii="Times New Roman" w:hAnsi="Times New Roman"/>
          <w:color w:val="auto"/>
          <w:highlight w:val="none"/>
        </w:rPr>
        <w:fldChar w:fldCharType="separate"/>
      </w:r>
      <w:r>
        <w:rPr>
          <w:rFonts w:ascii="Times New Roman" w:hAnsi="Times New Roman"/>
          <w:color w:val="auto"/>
          <w:highlight w:val="none"/>
        </w:rPr>
        <w:t>1.2.2</w:t>
      </w:r>
      <w:r>
        <w:rPr>
          <w:rFonts w:ascii="Times New Roman" w:hAnsi="Times New Roman"/>
          <w:color w:val="auto"/>
          <w:highlight w:val="none"/>
        </w:rPr>
        <w:fldChar w:fldCharType="end"/>
      </w:r>
      <w:r>
        <w:rPr>
          <w:rFonts w:ascii="Times New Roman" w:hAnsi="Times New Roman"/>
          <w:color w:val="auto"/>
          <w:highlight w:val="none"/>
        </w:rPr>
        <w:t>技术标准与规范</w:t>
      </w:r>
    </w:p>
    <w:p>
      <w:pPr>
        <w:pStyle w:val="8"/>
        <w:ind w:firstLine="480"/>
        <w:rPr>
          <w:rFonts w:ascii="Times New Roman" w:hAnsi="Times New Roman"/>
          <w:color w:val="auto"/>
          <w:highlight w:val="none"/>
        </w:rPr>
      </w:pPr>
      <w:r>
        <w:rPr>
          <w:rFonts w:ascii="Times New Roman" w:hAnsi="Times New Roman"/>
          <w:color w:val="auto"/>
          <w:highlight w:val="none"/>
        </w:rPr>
        <w:t>（1）《生产建设项目水土保持技术标准》（GB 50433-2018）；</w:t>
      </w:r>
    </w:p>
    <w:p>
      <w:pPr>
        <w:pStyle w:val="8"/>
        <w:ind w:firstLine="480"/>
        <w:rPr>
          <w:rFonts w:ascii="Times New Roman" w:hAnsi="Times New Roman"/>
          <w:color w:val="auto"/>
          <w:highlight w:val="none"/>
        </w:rPr>
      </w:pPr>
      <w:r>
        <w:rPr>
          <w:rFonts w:ascii="Times New Roman" w:hAnsi="Times New Roman"/>
          <w:color w:val="auto"/>
          <w:highlight w:val="none"/>
        </w:rPr>
        <w:t>（2）《生产建设项目水土流失防治标准》（GB/T 50434-2018）；</w:t>
      </w:r>
    </w:p>
    <w:p>
      <w:pPr>
        <w:pStyle w:val="8"/>
        <w:ind w:firstLine="480"/>
        <w:rPr>
          <w:rFonts w:ascii="Times New Roman" w:hAnsi="Times New Roman"/>
          <w:color w:val="auto"/>
          <w:highlight w:val="none"/>
        </w:rPr>
      </w:pPr>
      <w:r>
        <w:rPr>
          <w:rFonts w:ascii="Times New Roman" w:hAnsi="Times New Roman"/>
          <w:color w:val="auto"/>
          <w:highlight w:val="none"/>
        </w:rPr>
        <w:t>（3）《水土保持工程设计规范》（GB 51018-2014）；</w:t>
      </w:r>
    </w:p>
    <w:p>
      <w:pPr>
        <w:pStyle w:val="8"/>
        <w:ind w:firstLine="480"/>
        <w:rPr>
          <w:rFonts w:ascii="Times New Roman" w:hAnsi="Times New Roman"/>
          <w:color w:val="auto"/>
          <w:highlight w:val="none"/>
        </w:rPr>
      </w:pPr>
      <w:r>
        <w:rPr>
          <w:rFonts w:ascii="Times New Roman" w:hAnsi="Times New Roman"/>
          <w:color w:val="auto"/>
          <w:highlight w:val="none"/>
        </w:rPr>
        <w:t>（4）《防洪标准》（GB 50201-2014）；</w:t>
      </w:r>
    </w:p>
    <w:p>
      <w:pPr>
        <w:pStyle w:val="8"/>
        <w:ind w:firstLine="480"/>
        <w:rPr>
          <w:rFonts w:ascii="Times New Roman" w:hAnsi="Times New Roman"/>
          <w:color w:val="auto"/>
          <w:highlight w:val="none"/>
        </w:rPr>
      </w:pPr>
      <w:r>
        <w:rPr>
          <w:rFonts w:ascii="Times New Roman" w:hAnsi="Times New Roman"/>
          <w:color w:val="auto"/>
          <w:highlight w:val="none"/>
        </w:rPr>
        <w:t>（5）《土地利用现状分类标准》（GB/T 21010-2017）；</w:t>
      </w:r>
    </w:p>
    <w:p>
      <w:pPr>
        <w:pStyle w:val="8"/>
        <w:ind w:firstLine="480"/>
        <w:rPr>
          <w:rFonts w:ascii="Times New Roman" w:hAnsi="Times New Roman"/>
          <w:color w:val="auto"/>
          <w:highlight w:val="none"/>
        </w:rPr>
      </w:pPr>
      <w:r>
        <w:rPr>
          <w:rFonts w:ascii="Times New Roman" w:hAnsi="Times New Roman"/>
          <w:color w:val="auto"/>
          <w:highlight w:val="none"/>
        </w:rPr>
        <w:t>（6）《生产建设项目水土保持设施自主验收规程（试行）》（办水保〔2018〕133号）；</w:t>
      </w:r>
    </w:p>
    <w:p>
      <w:pPr>
        <w:pStyle w:val="8"/>
        <w:ind w:firstLine="480"/>
        <w:rPr>
          <w:rFonts w:ascii="Times New Roman" w:hAnsi="Times New Roman"/>
          <w:color w:val="auto"/>
          <w:highlight w:val="none"/>
        </w:rPr>
      </w:pPr>
      <w:r>
        <w:rPr>
          <w:rFonts w:ascii="Times New Roman" w:hAnsi="Times New Roman"/>
          <w:color w:val="auto"/>
          <w:highlight w:val="none"/>
        </w:rPr>
        <w:t>（8）《土壤侵蚀分类分级标准》（SL190-2007）；</w:t>
      </w:r>
    </w:p>
    <w:p>
      <w:pPr>
        <w:pStyle w:val="8"/>
        <w:ind w:firstLine="480"/>
        <w:rPr>
          <w:rFonts w:ascii="Times New Roman" w:hAnsi="Times New Roman"/>
          <w:color w:val="auto"/>
          <w:highlight w:val="none"/>
        </w:rPr>
      </w:pPr>
      <w:r>
        <w:rPr>
          <w:rFonts w:ascii="Times New Roman" w:hAnsi="Times New Roman"/>
          <w:color w:val="auto"/>
          <w:highlight w:val="none"/>
        </w:rPr>
        <w:t>（9）《水土保持工程概（估）算编制规定》（水总〔2003〕67号）；</w:t>
      </w:r>
    </w:p>
    <w:p>
      <w:pPr>
        <w:pStyle w:val="8"/>
        <w:ind w:firstLine="480"/>
        <w:rPr>
          <w:rFonts w:ascii="Times New Roman" w:hAnsi="Times New Roman"/>
          <w:color w:val="auto"/>
          <w:highlight w:val="none"/>
        </w:rPr>
      </w:pPr>
      <w:r>
        <w:rPr>
          <w:rFonts w:ascii="Times New Roman" w:hAnsi="Times New Roman"/>
          <w:color w:val="auto"/>
          <w:highlight w:val="none"/>
        </w:rPr>
        <w:t>（10）《水土保持工程调查与勘测标准》（GB/T51297-2018）；</w:t>
      </w:r>
    </w:p>
    <w:p>
      <w:pPr>
        <w:pStyle w:val="8"/>
        <w:ind w:firstLine="480"/>
        <w:rPr>
          <w:rFonts w:ascii="Times New Roman" w:hAnsi="Times New Roman"/>
          <w:color w:val="auto"/>
          <w:highlight w:val="none"/>
        </w:rPr>
      </w:pPr>
      <w:r>
        <w:rPr>
          <w:rFonts w:ascii="Times New Roman" w:hAnsi="Times New Roman"/>
          <w:color w:val="auto"/>
          <w:highlight w:val="none"/>
        </w:rPr>
        <w:t>（11）《生产建设项目水土保持监测与评价方法》（GB/T 51240-2018）；</w:t>
      </w:r>
    </w:p>
    <w:p>
      <w:pPr>
        <w:pStyle w:val="8"/>
        <w:ind w:firstLine="480"/>
        <w:rPr>
          <w:rFonts w:ascii="Times New Roman" w:hAnsi="Times New Roman"/>
          <w:color w:val="auto"/>
          <w:highlight w:val="none"/>
        </w:rPr>
      </w:pPr>
      <w:r>
        <w:rPr>
          <w:rFonts w:ascii="Times New Roman" w:hAnsi="Times New Roman"/>
          <w:color w:val="auto"/>
          <w:highlight w:val="none"/>
        </w:rPr>
        <w:t>（12）《生产建设项目土壤流失量测算导则》（SL773-2018）；</w:t>
      </w:r>
    </w:p>
    <w:p>
      <w:pPr>
        <w:pStyle w:val="8"/>
        <w:ind w:firstLine="480"/>
        <w:rPr>
          <w:rFonts w:ascii="Times New Roman" w:hAnsi="Times New Roman"/>
          <w:color w:val="auto"/>
          <w:highlight w:val="none"/>
        </w:rPr>
      </w:pPr>
      <w:r>
        <w:rPr>
          <w:rFonts w:ascii="Times New Roman" w:hAnsi="Times New Roman"/>
          <w:color w:val="auto"/>
          <w:highlight w:val="none"/>
        </w:rPr>
        <w:t>（13）《钻前工程及井场布置技术要求》SY/T5466-2013；</w:t>
      </w:r>
    </w:p>
    <w:p>
      <w:pPr>
        <w:pStyle w:val="8"/>
        <w:ind w:firstLine="480"/>
        <w:rPr>
          <w:rFonts w:ascii="Times New Roman" w:hAnsi="Times New Roman"/>
          <w:color w:val="auto"/>
          <w:highlight w:val="none"/>
        </w:rPr>
      </w:pPr>
      <w:r>
        <w:rPr>
          <w:rFonts w:ascii="Times New Roman" w:hAnsi="Times New Roman"/>
          <w:color w:val="auto"/>
          <w:highlight w:val="none"/>
        </w:rPr>
        <w:t>（14）《石油天然气钻井井控技术规范》GB/T31033-2014；</w:t>
      </w:r>
    </w:p>
    <w:p>
      <w:pPr>
        <w:pStyle w:val="8"/>
        <w:ind w:firstLine="480"/>
        <w:rPr>
          <w:rFonts w:ascii="Times New Roman" w:hAnsi="Times New Roman"/>
          <w:color w:val="auto"/>
          <w:highlight w:val="none"/>
        </w:rPr>
      </w:pPr>
      <w:r>
        <w:rPr>
          <w:rFonts w:ascii="Times New Roman" w:hAnsi="Times New Roman"/>
          <w:color w:val="auto"/>
          <w:highlight w:val="none"/>
        </w:rPr>
        <w:t>（15）《钻井废弃物无害化处理技术规范》Q/SYXN0276-2015。</w:t>
      </w:r>
    </w:p>
    <w:p>
      <w:pPr>
        <w:spacing w:before="120" w:beforeLines="50" w:after="120" w:afterLines="50" w:line="360" w:lineRule="auto"/>
        <w:outlineLvl w:val="2"/>
        <w:rPr>
          <w:rFonts w:ascii="Times New Roman" w:hAnsi="Times New Roman" w:eastAsia="仿宋_GB2312" w:cs="Times New Roman"/>
          <w:b/>
          <w:color w:val="auto"/>
          <w:sz w:val="24"/>
          <w:szCs w:val="21"/>
          <w:highlight w:val="none"/>
          <w:lang w:val="zh-CN"/>
        </w:rPr>
      </w:pPr>
      <w:r>
        <w:rPr>
          <w:rFonts w:ascii="Times New Roman" w:hAnsi="Times New Roman" w:eastAsia="仿宋_GB2312" w:cs="Times New Roman"/>
          <w:b/>
          <w:color w:val="auto"/>
          <w:sz w:val="24"/>
          <w:szCs w:val="21"/>
          <w:highlight w:val="none"/>
          <w:lang w:val="zh-CN"/>
        </w:rPr>
        <w:fldChar w:fldCharType="begin">
          <w:fldData xml:space="preserve">XwBjAHAAXwBoAGUAcgA2AFMAeAA5AEgAWABvAEEAcQBXAFAAcAAwAHYASQBMAHUAMQBPAEYAaQBn
AGoASwBMADEANQB2ADEAYgBsAFIAWQBXADUAYQAzAFQATAA3AFUATQBoAHkARwBtACsAcABvAEYA
UQA9AD0A
</w:fldData>
        </w:fldChar>
      </w:r>
      <w:r>
        <w:rPr>
          <w:rFonts w:ascii="Times New Roman" w:hAnsi="Times New Roman" w:eastAsia="仿宋_GB2312" w:cs="Times New Roman"/>
          <w:b/>
          <w:color w:val="auto"/>
          <w:sz w:val="24"/>
          <w:szCs w:val="21"/>
          <w:highlight w:val="none"/>
          <w:lang w:val="zh-CN"/>
        </w:rPr>
        <w:instrText xml:space="preserve">ADDIN _cp_ \* MERGEFORMAT</w:instrText>
      </w:r>
      <w:r>
        <w:rPr>
          <w:rFonts w:ascii="Times New Roman" w:hAnsi="Times New Roman" w:eastAsia="仿宋_GB2312" w:cs="Times New Roman"/>
          <w:b/>
          <w:color w:val="auto"/>
          <w:sz w:val="24"/>
          <w:szCs w:val="21"/>
          <w:highlight w:val="none"/>
          <w:lang w:val="zh-CN"/>
        </w:rPr>
        <w:fldChar w:fldCharType="separate"/>
      </w:r>
      <w:r>
        <w:rPr>
          <w:rFonts w:ascii="Times New Roman" w:hAnsi="Times New Roman" w:eastAsia="仿宋_GB2312" w:cs="Times New Roman"/>
          <w:b/>
          <w:color w:val="auto"/>
          <w:sz w:val="24"/>
          <w:szCs w:val="21"/>
          <w:highlight w:val="none"/>
          <w:lang w:val="zh-CN"/>
        </w:rPr>
        <w:t>1.2.3</w:t>
      </w:r>
      <w:r>
        <w:rPr>
          <w:rFonts w:ascii="Times New Roman" w:hAnsi="Times New Roman" w:eastAsia="仿宋_GB2312" w:cs="Times New Roman"/>
          <w:b/>
          <w:color w:val="auto"/>
          <w:sz w:val="24"/>
          <w:szCs w:val="21"/>
          <w:highlight w:val="none"/>
          <w:lang w:val="zh-CN"/>
        </w:rPr>
        <w:fldChar w:fldCharType="end"/>
      </w:r>
      <w:r>
        <w:rPr>
          <w:rFonts w:ascii="Times New Roman" w:hAnsi="Times New Roman" w:eastAsia="仿宋_GB2312" w:cs="Times New Roman"/>
          <w:b/>
          <w:color w:val="auto"/>
          <w:sz w:val="24"/>
          <w:szCs w:val="21"/>
          <w:highlight w:val="none"/>
          <w:lang w:val="zh-CN"/>
        </w:rPr>
        <w:t>技术资料</w:t>
      </w:r>
    </w:p>
    <w:p>
      <w:pPr>
        <w:pStyle w:val="8"/>
        <w:ind w:firstLine="480"/>
        <w:rPr>
          <w:highlight w:val="none"/>
        </w:rPr>
      </w:pPr>
      <w:r>
        <w:rPr>
          <w:highlight w:val="none"/>
        </w:rPr>
        <w:t>（1）《</w:t>
      </w:r>
      <w:r>
        <w:rPr>
          <w:rFonts w:hint="eastAsia" w:ascii="Times New Roman" w:hAnsi="Times New Roman" w:cs="Times New Roman"/>
          <w:kern w:val="0"/>
          <w:sz w:val="24"/>
          <w:szCs w:val="24"/>
          <w:highlight w:val="none"/>
          <w:lang w:val="en-US" w:eastAsia="zh-CN"/>
        </w:rPr>
        <w:t>德页1井钻前</w:t>
      </w:r>
      <w:r>
        <w:rPr>
          <w:rFonts w:hint="eastAsia" w:ascii="Times New Roman" w:hAnsi="Times New Roman" w:cs="Times New Roman"/>
          <w:spacing w:val="5"/>
          <w:sz w:val="24"/>
          <w:szCs w:val="24"/>
          <w:highlight w:val="none"/>
          <w:lang w:val="en-US" w:eastAsia="zh-CN"/>
        </w:rPr>
        <w:t>工程</w:t>
      </w:r>
      <w:r>
        <w:rPr>
          <w:rFonts w:hint="eastAsia"/>
          <w:highlight w:val="none"/>
        </w:rPr>
        <w:t>施工图</w:t>
      </w:r>
      <w:r>
        <w:rPr>
          <w:highlight w:val="none"/>
        </w:rPr>
        <w:t>》</w:t>
      </w:r>
      <w:r>
        <w:rPr>
          <w:rFonts w:hint="eastAsia"/>
          <w:highlight w:val="none"/>
        </w:rPr>
        <w:t>（四川科宏石油天然气工程有限公司，20</w:t>
      </w:r>
      <w:r>
        <w:rPr>
          <w:highlight w:val="none"/>
        </w:rPr>
        <w:t>2</w:t>
      </w:r>
      <w:r>
        <w:rPr>
          <w:rFonts w:hint="eastAsia"/>
          <w:highlight w:val="none"/>
          <w:lang w:val="en-US" w:eastAsia="zh-CN"/>
        </w:rPr>
        <w:t>2</w:t>
      </w:r>
      <w:r>
        <w:rPr>
          <w:rFonts w:hint="eastAsia"/>
          <w:highlight w:val="none"/>
        </w:rPr>
        <w:t>.</w:t>
      </w:r>
      <w:r>
        <w:rPr>
          <w:rFonts w:hint="eastAsia"/>
          <w:highlight w:val="none"/>
          <w:lang w:val="en-US" w:eastAsia="zh-CN"/>
        </w:rPr>
        <w:t>4</w:t>
      </w:r>
      <w:r>
        <w:rPr>
          <w:rFonts w:hint="eastAsia"/>
          <w:highlight w:val="none"/>
        </w:rPr>
        <w:t>）</w:t>
      </w:r>
      <w:r>
        <w:rPr>
          <w:highlight w:val="none"/>
        </w:rPr>
        <w:t>；</w:t>
      </w:r>
    </w:p>
    <w:p>
      <w:pPr>
        <w:pStyle w:val="8"/>
        <w:ind w:firstLine="480"/>
        <w:rPr>
          <w:highlight w:val="none"/>
        </w:rPr>
      </w:pPr>
      <w:r>
        <w:rPr>
          <w:highlight w:val="none"/>
        </w:rPr>
        <w:t>（</w:t>
      </w:r>
      <w:r>
        <w:rPr>
          <w:rFonts w:hint="eastAsia"/>
          <w:highlight w:val="none"/>
          <w:lang w:val="en-US" w:eastAsia="zh-CN"/>
        </w:rPr>
        <w:t>2</w:t>
      </w:r>
      <w:r>
        <w:rPr>
          <w:highlight w:val="none"/>
        </w:rPr>
        <w:t>）建设单位提供的其他资料。</w:t>
      </w:r>
    </w:p>
    <w:p>
      <w:pPr>
        <w:pStyle w:val="56"/>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XwBjAHAAXwBLAEcAUwBOADEAMgBpAFYAUABuAHYAVwBSAFIAdABIAEMAVgB1AE4ASwB2AGEAMABl
AHUANAB0AFIAZABVAGoAdAB1AGQAOABmAGMARgBLAGYAVAB0AE4AdgBwAHoASQByAGMAVwBDADkA
QQA9AD0A
</w:fldData>
        </w:fldChar>
      </w:r>
      <w:r>
        <w:rPr>
          <w:color w:val="auto"/>
        </w:rPr>
        <w:instrText xml:space="preserve">ADDIN _cp_ \* MERGEFORMAT</w:instrText>
      </w:r>
      <w:r>
        <w:rPr>
          <w:rFonts w:ascii="Times New Roman" w:hAnsi="Times New Roman"/>
          <w:color w:val="auto"/>
        </w:rPr>
        <w:fldChar w:fldCharType="separate"/>
      </w:r>
      <w:bookmarkStart w:id="10" w:name="_Toc14737390"/>
      <w:bookmarkStart w:id="11" w:name="_Toc74588669"/>
      <w:bookmarkStart w:id="12" w:name="_Toc13426551"/>
      <w:bookmarkStart w:id="13" w:name="_Toc74588720"/>
      <w:r>
        <w:rPr>
          <w:rFonts w:ascii="Times New Roman" w:hAnsi="Times New Roman"/>
          <w:color w:val="auto"/>
        </w:rPr>
        <w:t>1.3</w:t>
      </w:r>
      <w:r>
        <w:rPr>
          <w:rFonts w:ascii="Times New Roman" w:hAnsi="Times New Roman"/>
          <w:color w:val="auto"/>
        </w:rPr>
        <w:fldChar w:fldCharType="end"/>
      </w:r>
      <w:r>
        <w:rPr>
          <w:rFonts w:ascii="Times New Roman" w:hAnsi="Times New Roman"/>
          <w:color w:val="auto"/>
        </w:rPr>
        <w:t>设计水平年</w:t>
      </w:r>
      <w:bookmarkEnd w:id="10"/>
      <w:bookmarkEnd w:id="11"/>
      <w:bookmarkEnd w:id="12"/>
      <w:bookmarkEnd w:id="13"/>
    </w:p>
    <w:p>
      <w:pPr>
        <w:pStyle w:val="8"/>
        <w:ind w:firstLine="480"/>
        <w:rPr>
          <w:highlight w:val="none"/>
        </w:rPr>
      </w:pPr>
      <w:r>
        <w:rPr>
          <w:rFonts w:hint="eastAsia"/>
          <w:szCs w:val="24"/>
          <w:highlight w:val="none"/>
        </w:rPr>
        <w:t>本工程属建设类项目，项目水土流失主要集中在工程建设期。根据工程建设期安排，</w:t>
      </w:r>
      <w:r>
        <w:rPr>
          <w:szCs w:val="24"/>
          <w:highlight w:val="none"/>
        </w:rPr>
        <w:t>本项目计划于202</w:t>
      </w:r>
      <w:r>
        <w:rPr>
          <w:rFonts w:hint="eastAsia"/>
          <w:szCs w:val="24"/>
          <w:highlight w:val="none"/>
          <w:lang w:val="en-US" w:eastAsia="zh-CN"/>
        </w:rPr>
        <w:t>2</w:t>
      </w:r>
      <w:r>
        <w:rPr>
          <w:szCs w:val="24"/>
          <w:highlight w:val="none"/>
        </w:rPr>
        <w:t>年</w:t>
      </w:r>
      <w:r>
        <w:rPr>
          <w:rFonts w:hint="eastAsia"/>
          <w:szCs w:val="24"/>
          <w:highlight w:val="none"/>
          <w:lang w:val="en-US" w:eastAsia="zh-CN"/>
        </w:rPr>
        <w:t>9</w:t>
      </w:r>
      <w:r>
        <w:rPr>
          <w:szCs w:val="24"/>
          <w:highlight w:val="none"/>
        </w:rPr>
        <w:t>月开工建设，于202</w:t>
      </w:r>
      <w:r>
        <w:rPr>
          <w:rFonts w:hint="eastAsia"/>
          <w:szCs w:val="24"/>
          <w:highlight w:val="none"/>
          <w:lang w:val="en-US" w:eastAsia="zh-CN"/>
        </w:rPr>
        <w:t>3</w:t>
      </w:r>
      <w:r>
        <w:rPr>
          <w:szCs w:val="24"/>
          <w:highlight w:val="none"/>
        </w:rPr>
        <w:t>年</w:t>
      </w:r>
      <w:r>
        <w:rPr>
          <w:rFonts w:hint="eastAsia"/>
          <w:szCs w:val="24"/>
          <w:highlight w:val="none"/>
          <w:lang w:val="en-US" w:eastAsia="zh-CN"/>
        </w:rPr>
        <w:t>2</w:t>
      </w:r>
      <w:r>
        <w:rPr>
          <w:szCs w:val="24"/>
          <w:highlight w:val="none"/>
        </w:rPr>
        <w:t>月</w:t>
      </w:r>
      <w:r>
        <w:rPr>
          <w:rFonts w:hint="eastAsia"/>
          <w:szCs w:val="24"/>
          <w:highlight w:val="none"/>
        </w:rPr>
        <w:t>竣工</w:t>
      </w:r>
      <w:r>
        <w:rPr>
          <w:szCs w:val="24"/>
          <w:highlight w:val="none"/>
        </w:rPr>
        <w:t>，</w:t>
      </w:r>
      <w:r>
        <w:rPr>
          <w:rFonts w:hint="eastAsia"/>
          <w:szCs w:val="24"/>
          <w:highlight w:val="none"/>
        </w:rPr>
        <w:t>总工期6个月</w:t>
      </w:r>
      <w:r>
        <w:rPr>
          <w:szCs w:val="24"/>
          <w:highlight w:val="none"/>
        </w:rPr>
        <w:t>。</w:t>
      </w:r>
      <w:r>
        <w:rPr>
          <w:highlight w:val="none"/>
        </w:rPr>
        <w:t>设计水平</w:t>
      </w:r>
      <w:r>
        <w:rPr>
          <w:rFonts w:hint="eastAsia"/>
          <w:highlight w:val="none"/>
        </w:rPr>
        <w:t>年</w:t>
      </w:r>
      <w:r>
        <w:rPr>
          <w:highlight w:val="none"/>
        </w:rPr>
        <w:t>为</w:t>
      </w:r>
      <w:r>
        <w:rPr>
          <w:rFonts w:hint="eastAsia"/>
          <w:highlight w:val="none"/>
        </w:rPr>
        <w:t>主体工程完工后的</w:t>
      </w:r>
      <w:r>
        <w:rPr>
          <w:rFonts w:hint="eastAsia"/>
          <w:highlight w:val="none"/>
          <w:lang w:val="en-US" w:eastAsia="zh-CN"/>
        </w:rPr>
        <w:t>当年</w:t>
      </w:r>
      <w:r>
        <w:rPr>
          <w:highlight w:val="none"/>
        </w:rPr>
        <w:t>，即202</w:t>
      </w:r>
      <w:r>
        <w:rPr>
          <w:rFonts w:hint="eastAsia"/>
          <w:highlight w:val="none"/>
          <w:lang w:val="en-US" w:eastAsia="zh-CN"/>
        </w:rPr>
        <w:t>3</w:t>
      </w:r>
      <w:r>
        <w:rPr>
          <w:highlight w:val="none"/>
        </w:rPr>
        <w:t>年。</w:t>
      </w:r>
    </w:p>
    <w:p>
      <w:pPr>
        <w:pStyle w:val="56"/>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XwBjAHAAXwBZAHIAcQBBAHUAagA2AGgAUABQAHIAZAB4AFMAUgBSAFoAawB5AHgANQBFAHEAQgAz
AHQAWgA1AGUATwBpADgAYwBsADIAdgBPACsASQBCAFgAKwB2ADIAWQB2ADkARABOAGYAMgArADkA
ZwA9AD0A
</w:fldData>
        </w:fldChar>
      </w:r>
      <w:r>
        <w:rPr>
          <w:color w:val="auto"/>
        </w:rPr>
        <w:instrText xml:space="preserve">ADDIN _cp_ \* MERGEFORMAT</w:instrText>
      </w:r>
      <w:r>
        <w:rPr>
          <w:rFonts w:ascii="Times New Roman" w:hAnsi="Times New Roman"/>
          <w:color w:val="auto"/>
        </w:rPr>
        <w:fldChar w:fldCharType="separate"/>
      </w:r>
      <w:bookmarkStart w:id="14" w:name="_Toc74588721"/>
      <w:bookmarkStart w:id="15" w:name="_Toc13426552"/>
      <w:bookmarkStart w:id="16" w:name="_Toc14737391"/>
      <w:bookmarkStart w:id="17" w:name="_Toc74588670"/>
      <w:r>
        <w:rPr>
          <w:rFonts w:ascii="Times New Roman" w:hAnsi="Times New Roman"/>
          <w:color w:val="auto"/>
        </w:rPr>
        <w:t>1.4</w:t>
      </w:r>
      <w:r>
        <w:rPr>
          <w:rFonts w:ascii="Times New Roman" w:hAnsi="Times New Roman"/>
          <w:color w:val="auto"/>
        </w:rPr>
        <w:fldChar w:fldCharType="end"/>
      </w:r>
      <w:r>
        <w:rPr>
          <w:rFonts w:ascii="Times New Roman" w:hAnsi="Times New Roman"/>
          <w:color w:val="auto"/>
        </w:rPr>
        <w:t>水土流失防治责任范围</w:t>
      </w:r>
      <w:bookmarkEnd w:id="14"/>
      <w:bookmarkEnd w:id="15"/>
      <w:bookmarkEnd w:id="16"/>
      <w:bookmarkEnd w:id="17"/>
    </w:p>
    <w:p>
      <w:pPr>
        <w:pStyle w:val="8"/>
        <w:ind w:firstLine="480"/>
        <w:rPr>
          <w:rFonts w:ascii="Times New Roman" w:hAnsi="Times New Roman"/>
          <w:color w:val="auto"/>
          <w:highlight w:val="none"/>
        </w:rPr>
      </w:pPr>
      <w:r>
        <w:rPr>
          <w:rFonts w:ascii="Times New Roman" w:hAnsi="Times New Roman"/>
          <w:color w:val="auto"/>
          <w:highlight w:val="none"/>
        </w:rPr>
        <w:t>本项目水土流失防治责任范围为项目扰动的</w:t>
      </w:r>
      <w:r>
        <w:rPr>
          <w:rFonts w:ascii="Times New Roman" w:hAnsi="Times New Roman"/>
          <w:color w:val="auto"/>
          <w:highlight w:val="none"/>
        </w:rPr>
        <w:tab/>
      </w:r>
      <w:r>
        <w:rPr>
          <w:rFonts w:ascii="Times New Roman" w:hAnsi="Times New Roman"/>
          <w:color w:val="auto"/>
          <w:highlight w:val="none"/>
        </w:rPr>
        <w:t>全部区域，共计</w:t>
      </w:r>
      <w:r>
        <w:rPr>
          <w:rFonts w:hint="eastAsia"/>
          <w:color w:val="auto"/>
          <w:highlight w:val="none"/>
          <w:lang w:val="en-US" w:eastAsia="zh-CN"/>
        </w:rPr>
        <w:t>1.76hm</w:t>
      </w:r>
      <w:r>
        <w:rPr>
          <w:rFonts w:hint="eastAsia"/>
          <w:color w:val="auto"/>
          <w:highlight w:val="none"/>
          <w:vertAlign w:val="superscript"/>
          <w:lang w:eastAsia="zh-CN"/>
        </w:rPr>
        <w:t>2</w:t>
      </w:r>
      <w:r>
        <w:rPr>
          <w:rFonts w:ascii="Times New Roman" w:hAnsi="Times New Roman"/>
          <w:color w:val="auto"/>
          <w:highlight w:val="none"/>
        </w:rPr>
        <w:t>，全部位于</w:t>
      </w:r>
      <w:r>
        <w:rPr>
          <w:rFonts w:hint="eastAsia"/>
          <w:color w:val="auto"/>
          <w:highlight w:val="none"/>
          <w:lang w:val="en-US" w:eastAsia="zh-CN"/>
        </w:rPr>
        <w:t>南充市</w:t>
      </w:r>
      <w:r>
        <w:rPr>
          <w:rFonts w:ascii="Times New Roman" w:hAnsi="Times New Roman"/>
          <w:color w:val="auto"/>
          <w:highlight w:val="none"/>
        </w:rPr>
        <w:t>境内。</w:t>
      </w:r>
    </w:p>
    <w:p>
      <w:pPr>
        <w:pStyle w:val="63"/>
        <w:rPr>
          <w:rFonts w:hint="eastAsia" w:ascii="Times New Roman" w:hAnsi="Times New Roman" w:eastAsia="仿宋_GB2312"/>
          <w:color w:val="auto"/>
          <w:highlight w:val="none"/>
          <w:lang w:val="en-US" w:eastAsia="zh-CN"/>
        </w:rPr>
      </w:pPr>
      <w:r>
        <w:rPr>
          <w:rFonts w:ascii="Times New Roman" w:hAnsi="Times New Roman"/>
          <w:color w:val="auto"/>
          <w:highlight w:val="none"/>
        </w:rPr>
        <w:fldChar w:fldCharType="begin">
          <w:fldData xml:space="preserve">XwBjAHAAXwBrAC8AYQBFADEAdQBVAHAAYQBCAGkAbABTAEMAaAB2AEgAegB6AHQAWgBrAGoAbQBS
AGUAVgBuAFEAWQA4AFoASQB1AEYASABSAFQAeAA0AGMAbABkADMAeABEAFIAUABCADcARQBhAHUA
dwA9AD0A
</w:fldData>
        </w:fldChar>
      </w:r>
      <w:r>
        <w:rPr>
          <w:color w:val="auto"/>
          <w:highlight w:val="none"/>
        </w:rPr>
        <w:instrText xml:space="preserve">ADDIN _cp_ \* MERGEFORMAT</w:instrText>
      </w:r>
      <w:r>
        <w:rPr>
          <w:rFonts w:ascii="Times New Roman" w:hAnsi="Times New Roman"/>
          <w:color w:val="auto"/>
          <w:highlight w:val="none"/>
        </w:rPr>
        <w:fldChar w:fldCharType="separate"/>
      </w:r>
      <w:r>
        <w:rPr>
          <w:rFonts w:ascii="Times New Roman" w:hAnsi="Times New Roman"/>
          <w:color w:val="auto"/>
          <w:highlight w:val="none"/>
        </w:rPr>
        <w:t>表1.</w:t>
      </w:r>
      <w:r>
        <w:rPr>
          <w:rFonts w:hint="eastAsia"/>
          <w:color w:val="auto"/>
          <w:highlight w:val="none"/>
          <w:lang w:val="en-US" w:eastAsia="zh-CN"/>
        </w:rPr>
        <w:t>4</w:t>
      </w:r>
      <w:r>
        <w:rPr>
          <w:rFonts w:ascii="Times New Roman" w:hAnsi="Times New Roman"/>
          <w:color w:val="auto"/>
          <w:highlight w:val="none"/>
        </w:rPr>
        <w:t>-1</w:t>
      </w:r>
      <w:r>
        <w:rPr>
          <w:rFonts w:ascii="Times New Roman" w:hAnsi="Times New Roman"/>
          <w:color w:val="auto"/>
          <w:highlight w:val="none"/>
        </w:rPr>
        <w:fldChar w:fldCharType="end"/>
      </w:r>
      <w:r>
        <w:rPr>
          <w:rFonts w:ascii="Times New Roman" w:hAnsi="Times New Roman"/>
          <w:color w:val="auto"/>
          <w:highlight w:val="none"/>
        </w:rPr>
        <w:t>水土流失防治</w:t>
      </w:r>
      <w:r>
        <w:rPr>
          <w:rFonts w:hint="eastAsia"/>
          <w:color w:val="auto"/>
          <w:highlight w:val="none"/>
          <w:lang w:val="en-US" w:eastAsia="zh-CN"/>
        </w:rPr>
        <w:t>责任范围</w:t>
      </w:r>
    </w:p>
    <w:tbl>
      <w:tblPr>
        <w:tblStyle w:val="3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3561"/>
        <w:gridCol w:w="1249"/>
        <w:gridCol w:w="1253"/>
        <w:gridCol w:w="12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Merge w:val="restart"/>
            <w:vAlign w:val="center"/>
          </w:tcPr>
          <w:p>
            <w:pPr>
              <w:adjustRightInd w:val="0"/>
              <w:snapToGrid w:val="0"/>
              <w:ind w:left="-105" w:leftChars="-50" w:right="-105" w:rightChars="-50" w:firstLine="480"/>
              <w:jc w:val="center"/>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防治</w:t>
            </w:r>
            <w:r>
              <w:rPr>
                <w:rFonts w:hint="eastAsia" w:ascii="Times New Roman" w:hAnsi="Times New Roman" w:eastAsia="仿宋_GB2312" w:cs="Times New Roman"/>
                <w:color w:val="auto"/>
                <w:kern w:val="0"/>
                <w:sz w:val="18"/>
                <w:szCs w:val="18"/>
                <w:highlight w:val="none"/>
                <w:lang w:val="en-US" w:eastAsia="zh-CN"/>
              </w:rPr>
              <w:t>分区</w:t>
            </w:r>
          </w:p>
        </w:tc>
        <w:tc>
          <w:tcPr>
            <w:tcW w:w="1950" w:type="pct"/>
            <w:vMerge w:val="restart"/>
            <w:vAlign w:val="center"/>
          </w:tcPr>
          <w:p>
            <w:pPr>
              <w:adjustRightInd w:val="0"/>
              <w:snapToGrid w:val="0"/>
              <w:ind w:left="-105" w:leftChars="-50" w:right="-105" w:rightChars="-5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水土流失防治责任范围</w:t>
            </w:r>
          </w:p>
        </w:tc>
        <w:tc>
          <w:tcPr>
            <w:tcW w:w="2060" w:type="pct"/>
            <w:gridSpan w:val="3"/>
            <w:vAlign w:val="center"/>
          </w:tcPr>
          <w:p>
            <w:pPr>
              <w:adjustRightInd w:val="0"/>
              <w:snapToGrid w:val="0"/>
              <w:ind w:left="-105" w:leftChars="-50" w:right="-105" w:rightChars="-5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防治责任范围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Merge w:val="continue"/>
            <w:vAlign w:val="center"/>
          </w:tcPr>
          <w:p>
            <w:pPr>
              <w:widowControl w:val="0"/>
              <w:adjustRightInd w:val="0"/>
              <w:snapToGrid w:val="0"/>
              <w:jc w:val="center"/>
              <w:rPr>
                <w:rFonts w:ascii="Times New Roman" w:hAnsi="Times New Roman" w:eastAsia="仿宋_GB2312" w:cs="Times New Roman"/>
                <w:color w:val="auto"/>
                <w:sz w:val="18"/>
                <w:szCs w:val="18"/>
                <w:highlight w:val="none"/>
              </w:rPr>
            </w:pPr>
          </w:p>
        </w:tc>
        <w:tc>
          <w:tcPr>
            <w:tcW w:w="1950" w:type="pct"/>
            <w:vMerge w:val="continue"/>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p>
        </w:tc>
        <w:tc>
          <w:tcPr>
            <w:tcW w:w="684" w:type="pct"/>
            <w:vAlign w:val="center"/>
          </w:tcPr>
          <w:p>
            <w:pPr>
              <w:widowControl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永久占地</w:t>
            </w:r>
          </w:p>
        </w:tc>
        <w:tc>
          <w:tcPr>
            <w:tcW w:w="686"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临时占地</w:t>
            </w:r>
          </w:p>
        </w:tc>
        <w:tc>
          <w:tcPr>
            <w:tcW w:w="688" w:type="pct"/>
            <w:vAlign w:val="center"/>
          </w:tcPr>
          <w:p>
            <w:pPr>
              <w:widowControl w:val="0"/>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井场及附属工程区</w:t>
            </w:r>
          </w:p>
        </w:tc>
        <w:tc>
          <w:tcPr>
            <w:tcW w:w="1950" w:type="pct"/>
            <w:vAlign w:val="center"/>
          </w:tcPr>
          <w:p>
            <w:pPr>
              <w:widowControl w:val="0"/>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lang w:val="en-US" w:eastAsia="zh-CN"/>
              </w:rPr>
              <w:t>新建德页1井钻前工程，</w:t>
            </w:r>
            <w:r>
              <w:rPr>
                <w:rFonts w:ascii="Times New Roman" w:hAnsi="Times New Roman" w:eastAsia="仿宋_GB2312" w:cs="Times New Roman"/>
                <w:color w:val="auto"/>
                <w:kern w:val="0"/>
                <w:sz w:val="18"/>
                <w:szCs w:val="18"/>
                <w:highlight w:val="none"/>
              </w:rPr>
              <w:t>包括泥浆储备罐及油水罐基础、清洁化操作平台等、应急池、喷放坑等附属工程</w:t>
            </w:r>
            <w:r>
              <w:rPr>
                <w:rFonts w:hint="eastAsia" w:ascii="Times New Roman" w:hAnsi="Times New Roman" w:eastAsia="仿宋_GB2312" w:cs="Times New Roman"/>
                <w:color w:val="auto"/>
                <w:kern w:val="0"/>
                <w:sz w:val="18"/>
                <w:szCs w:val="18"/>
                <w:highlight w:val="none"/>
                <w:lang w:val="en-US" w:eastAsia="zh-CN"/>
              </w:rPr>
              <w:t>的用地范围</w:t>
            </w:r>
            <w:r>
              <w:rPr>
                <w:rFonts w:hint="eastAsia" w:ascii="Times New Roman" w:hAnsi="Times New Roman" w:eastAsia="仿宋_GB2312" w:cs="Times New Roman"/>
                <w:color w:val="auto"/>
                <w:kern w:val="0"/>
                <w:sz w:val="18"/>
                <w:szCs w:val="18"/>
                <w:highlight w:val="none"/>
                <w:lang w:eastAsia="zh-CN"/>
              </w:rPr>
              <w:t>。</w:t>
            </w:r>
          </w:p>
        </w:tc>
        <w:tc>
          <w:tcPr>
            <w:tcW w:w="684" w:type="pct"/>
            <w:vAlign w:val="center"/>
          </w:tcPr>
          <w:p>
            <w:pPr>
              <w:jc w:val="center"/>
              <w:rPr>
                <w:rFonts w:ascii="Times New Roman" w:hAnsi="Times New Roman" w:eastAsia="仿宋_GB2312" w:cs="Times New Roman"/>
                <w:color w:val="auto"/>
                <w:kern w:val="0"/>
                <w:sz w:val="18"/>
                <w:szCs w:val="18"/>
                <w:highlight w:val="none"/>
              </w:rPr>
            </w:pPr>
          </w:p>
        </w:tc>
        <w:tc>
          <w:tcPr>
            <w:tcW w:w="686"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c>
          <w:tcPr>
            <w:tcW w:w="1260"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施工</w:t>
            </w:r>
            <w:r>
              <w:rPr>
                <w:rFonts w:hint="eastAsia" w:ascii="Times New Roman" w:hAnsi="Times New Roman" w:eastAsia="仿宋_GB2312" w:cs="Times New Roman"/>
                <w:color w:val="auto"/>
                <w:sz w:val="18"/>
                <w:szCs w:val="18"/>
                <w:highlight w:val="none"/>
                <w:lang w:eastAsia="zh-CN"/>
              </w:rPr>
              <w:t>临时生活区</w:t>
            </w:r>
          </w:p>
        </w:tc>
        <w:tc>
          <w:tcPr>
            <w:tcW w:w="1950" w:type="pct"/>
            <w:vAlign w:val="center"/>
          </w:tcPr>
          <w:p>
            <w:pPr>
              <w:widowControl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施工临时生活区用地范围</w:t>
            </w:r>
          </w:p>
        </w:tc>
        <w:tc>
          <w:tcPr>
            <w:tcW w:w="684" w:type="pct"/>
            <w:vAlign w:val="center"/>
          </w:tcPr>
          <w:p>
            <w:pPr>
              <w:jc w:val="center"/>
              <w:rPr>
                <w:rFonts w:ascii="Times New Roman" w:hAnsi="Times New Roman" w:eastAsia="仿宋_GB2312" w:cs="Times New Roman"/>
                <w:color w:val="auto"/>
                <w:kern w:val="0"/>
                <w:sz w:val="18"/>
                <w:szCs w:val="18"/>
                <w:highlight w:val="none"/>
              </w:rPr>
            </w:pPr>
          </w:p>
        </w:tc>
        <w:tc>
          <w:tcPr>
            <w:tcW w:w="686"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0.23</w:t>
            </w:r>
          </w:p>
        </w:tc>
        <w:tc>
          <w:tcPr>
            <w:tcW w:w="1260"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表土堆放场区</w:t>
            </w:r>
          </w:p>
        </w:tc>
        <w:tc>
          <w:tcPr>
            <w:tcW w:w="1950"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用于</w:t>
            </w:r>
            <w:r>
              <w:rPr>
                <w:rFonts w:ascii="Times New Roman" w:hAnsi="Times New Roman" w:eastAsia="仿宋_GB2312" w:cs="Times New Roman"/>
                <w:color w:val="auto"/>
                <w:kern w:val="0"/>
                <w:sz w:val="18"/>
                <w:szCs w:val="18"/>
                <w:highlight w:val="none"/>
              </w:rPr>
              <w:t>堆放</w:t>
            </w:r>
            <w:r>
              <w:rPr>
                <w:rFonts w:hint="eastAsia" w:ascii="Times New Roman" w:hAnsi="Times New Roman" w:eastAsia="仿宋_GB2312" w:cs="Times New Roman"/>
                <w:color w:val="auto"/>
                <w:kern w:val="0"/>
                <w:sz w:val="18"/>
                <w:szCs w:val="18"/>
                <w:highlight w:val="none"/>
                <w:lang w:val="en-US" w:eastAsia="zh-CN"/>
              </w:rPr>
              <w:t>耕植</w:t>
            </w:r>
            <w:r>
              <w:rPr>
                <w:rFonts w:ascii="Times New Roman" w:hAnsi="Times New Roman" w:eastAsia="仿宋_GB2312" w:cs="Times New Roman"/>
                <w:color w:val="auto"/>
                <w:kern w:val="0"/>
                <w:sz w:val="18"/>
                <w:szCs w:val="18"/>
                <w:highlight w:val="none"/>
              </w:rPr>
              <w:t>土</w:t>
            </w:r>
            <w:r>
              <w:rPr>
                <w:rFonts w:hint="eastAsia" w:ascii="Times New Roman" w:hAnsi="Times New Roman" w:eastAsia="仿宋_GB2312" w:cs="Times New Roman"/>
                <w:color w:val="auto"/>
                <w:kern w:val="0"/>
                <w:sz w:val="18"/>
                <w:szCs w:val="18"/>
                <w:highlight w:val="none"/>
                <w:lang w:val="en-US" w:eastAsia="zh-CN"/>
              </w:rPr>
              <w:t>场地的</w:t>
            </w:r>
            <w:r>
              <w:rPr>
                <w:rFonts w:ascii="Times New Roman" w:hAnsi="Times New Roman" w:eastAsia="仿宋_GB2312" w:cs="Times New Roman"/>
                <w:color w:val="auto"/>
                <w:kern w:val="0"/>
                <w:sz w:val="18"/>
                <w:szCs w:val="18"/>
                <w:highlight w:val="none"/>
              </w:rPr>
              <w:t>用地范围</w:t>
            </w:r>
          </w:p>
        </w:tc>
        <w:tc>
          <w:tcPr>
            <w:tcW w:w="684" w:type="pct"/>
            <w:vAlign w:val="center"/>
          </w:tcPr>
          <w:p>
            <w:pPr>
              <w:jc w:val="center"/>
              <w:rPr>
                <w:rFonts w:ascii="Times New Roman" w:hAnsi="Times New Roman" w:eastAsia="仿宋_GB2312" w:cs="Times New Roman"/>
                <w:color w:val="auto"/>
                <w:kern w:val="0"/>
                <w:sz w:val="18"/>
                <w:szCs w:val="18"/>
                <w:highlight w:val="none"/>
              </w:rPr>
            </w:pPr>
          </w:p>
        </w:tc>
        <w:tc>
          <w:tcPr>
            <w:tcW w:w="686"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1260"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道路工程区</w:t>
            </w:r>
          </w:p>
        </w:tc>
        <w:tc>
          <w:tcPr>
            <w:tcW w:w="1950"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新建</w:t>
            </w:r>
            <w:r>
              <w:rPr>
                <w:rFonts w:ascii="Times New Roman" w:hAnsi="Times New Roman" w:eastAsia="仿宋_GB2312" w:cs="Times New Roman"/>
                <w:color w:val="auto"/>
                <w:kern w:val="0"/>
                <w:sz w:val="18"/>
                <w:szCs w:val="18"/>
                <w:highlight w:val="none"/>
              </w:rPr>
              <w:t>道路用地范围</w:t>
            </w:r>
          </w:p>
        </w:tc>
        <w:tc>
          <w:tcPr>
            <w:tcW w:w="684" w:type="pct"/>
            <w:vAlign w:val="center"/>
          </w:tcPr>
          <w:p>
            <w:pPr>
              <w:jc w:val="center"/>
              <w:rPr>
                <w:rFonts w:hint="default" w:ascii="Times New Roman" w:hAnsi="Times New Roman" w:eastAsia="仿宋_GB2312" w:cs="Times New Roman"/>
                <w:color w:val="auto"/>
                <w:kern w:val="0"/>
                <w:sz w:val="18"/>
                <w:szCs w:val="18"/>
                <w:highlight w:val="none"/>
                <w:lang w:val="en-US" w:eastAsia="zh-CN"/>
              </w:rPr>
            </w:pPr>
          </w:p>
        </w:tc>
        <w:tc>
          <w:tcPr>
            <w:tcW w:w="686"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0.30</w:t>
            </w:r>
          </w:p>
        </w:tc>
        <w:tc>
          <w:tcPr>
            <w:tcW w:w="1260"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89"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合计</w:t>
            </w:r>
          </w:p>
        </w:tc>
        <w:tc>
          <w:tcPr>
            <w:tcW w:w="1950" w:type="pct"/>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p>
        </w:tc>
        <w:tc>
          <w:tcPr>
            <w:tcW w:w="684" w:type="pct"/>
            <w:vAlign w:val="center"/>
          </w:tcPr>
          <w:p>
            <w:pPr>
              <w:jc w:val="center"/>
              <w:rPr>
                <w:rFonts w:hint="default" w:ascii="Times New Roman" w:hAnsi="Times New Roman" w:eastAsia="仿宋_GB2312" w:cs="Times New Roman"/>
                <w:color w:val="auto"/>
                <w:kern w:val="0"/>
                <w:sz w:val="18"/>
                <w:szCs w:val="18"/>
                <w:highlight w:val="none"/>
                <w:lang w:val="en-US" w:eastAsia="zh-CN"/>
              </w:rPr>
            </w:pPr>
          </w:p>
        </w:tc>
        <w:tc>
          <w:tcPr>
            <w:tcW w:w="686" w:type="pc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1.76</w:t>
            </w:r>
          </w:p>
        </w:tc>
        <w:tc>
          <w:tcPr>
            <w:tcW w:w="1260"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1.76</w:t>
            </w:r>
          </w:p>
        </w:tc>
      </w:tr>
    </w:tbl>
    <w:p>
      <w:pPr>
        <w:pStyle w:val="8"/>
        <w:ind w:firstLine="480"/>
        <w:rPr>
          <w:rFonts w:ascii="Times New Roman" w:hAnsi="Times New Roman"/>
          <w:color w:val="auto"/>
        </w:rPr>
      </w:pPr>
    </w:p>
    <w:p>
      <w:pPr>
        <w:pStyle w:val="56"/>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XwBjAHAAXwBwAFgAOQA1AC8AVABSAGsANgBnAGoAUABsAE4AdQBtAFoAaQBsAFAAcQBVAEkAVAAz
AFMAUwBqAG4AWgAzADYARgAvAGkAUwBGAHEAQQBXAEIAZQBiAHgAbgBJAHkAaABBADQATAAyAE0A
dwA9AD0A
</w:fldData>
        </w:fldChar>
      </w:r>
      <w:r>
        <w:rPr>
          <w:color w:val="auto"/>
        </w:rPr>
        <w:instrText xml:space="preserve">ADDIN _cp_ \* MERGEFORMAT</w:instrText>
      </w:r>
      <w:r>
        <w:rPr>
          <w:rFonts w:ascii="Times New Roman" w:hAnsi="Times New Roman"/>
          <w:color w:val="auto"/>
        </w:rPr>
        <w:fldChar w:fldCharType="separate"/>
      </w:r>
      <w:bookmarkStart w:id="18" w:name="_Toc13426553"/>
      <w:bookmarkStart w:id="19" w:name="_Toc14737392"/>
      <w:bookmarkStart w:id="20" w:name="_Toc74588722"/>
      <w:bookmarkStart w:id="21" w:name="_Toc74588671"/>
      <w:r>
        <w:rPr>
          <w:rFonts w:ascii="Times New Roman" w:hAnsi="Times New Roman"/>
          <w:color w:val="auto"/>
        </w:rPr>
        <w:t>1.5</w:t>
      </w:r>
      <w:r>
        <w:rPr>
          <w:rFonts w:ascii="Times New Roman" w:hAnsi="Times New Roman"/>
          <w:color w:val="auto"/>
        </w:rPr>
        <w:fldChar w:fldCharType="end"/>
      </w:r>
      <w:r>
        <w:rPr>
          <w:rFonts w:ascii="Times New Roman" w:hAnsi="Times New Roman"/>
          <w:color w:val="auto"/>
        </w:rPr>
        <w:t>水土流失防治目标</w:t>
      </w:r>
      <w:bookmarkEnd w:id="18"/>
      <w:bookmarkEnd w:id="19"/>
      <w:bookmarkEnd w:id="20"/>
      <w:bookmarkEnd w:id="21"/>
    </w:p>
    <w:p>
      <w:pPr>
        <w:pStyle w:val="58"/>
        <w:rPr>
          <w:rFonts w:ascii="Times New Roman" w:hAnsi="Times New Roman"/>
          <w:color w:val="auto"/>
        </w:rPr>
      </w:pPr>
      <w:r>
        <w:rPr>
          <w:rFonts w:ascii="Times New Roman" w:hAnsi="Times New Roman"/>
          <w:color w:val="auto"/>
        </w:rPr>
        <w:fldChar w:fldCharType="begin">
          <w:fldData xml:space="preserve">XwBjAHAAXwB1AFUASwAxAEkAMwB2AEcARwB4AEMARwBHAHoAbABKAHAAVABLAEoAWABxADQAMwBT
AE4AVgBHADgASwBLAFYAMQBZAHUAcABOAGUAYwBXAE8AMQBaADMAbgBMAEgAQwB0AEgANABDAGIA
ZwA9AD0A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1.5.1</w:t>
      </w:r>
      <w:r>
        <w:rPr>
          <w:rFonts w:ascii="Times New Roman" w:hAnsi="Times New Roman"/>
          <w:color w:val="auto"/>
        </w:rPr>
        <w:fldChar w:fldCharType="end"/>
      </w:r>
      <w:r>
        <w:rPr>
          <w:rFonts w:ascii="Times New Roman" w:hAnsi="Times New Roman"/>
          <w:color w:val="auto"/>
        </w:rPr>
        <w:t>执行标准等级</w:t>
      </w:r>
    </w:p>
    <w:p>
      <w:pPr>
        <w:pStyle w:val="8"/>
        <w:ind w:firstLine="480"/>
        <w:rPr>
          <w:rFonts w:ascii="Times New Roman" w:hAnsi="Times New Roman"/>
          <w:color w:val="auto"/>
          <w:szCs w:val="24"/>
          <w:highlight w:val="none"/>
        </w:rPr>
      </w:pPr>
      <w:r>
        <w:rPr>
          <w:highlight w:val="none"/>
        </w:rPr>
        <w:t>根据</w:t>
      </w:r>
      <w:r>
        <w:rPr>
          <w:rFonts w:hint="eastAsia"/>
          <w:highlight w:val="none"/>
        </w:rPr>
        <w:t>水利部办公厅</w:t>
      </w:r>
      <w:r>
        <w:rPr>
          <w:highlight w:val="none"/>
        </w:rPr>
        <w:t>《关于印发&lt;</w:t>
      </w:r>
      <w:r>
        <w:rPr>
          <w:rFonts w:hint="eastAsia"/>
          <w:highlight w:val="none"/>
        </w:rPr>
        <w:t>全国水土保持规划国家级水土流失重点预防区和重点治理区复核划分成果</w:t>
      </w:r>
      <w:r>
        <w:rPr>
          <w:highlight w:val="none"/>
        </w:rPr>
        <w:t>&gt;的通知》（</w:t>
      </w:r>
      <w:r>
        <w:rPr>
          <w:rFonts w:hint="eastAsia"/>
          <w:highlight w:val="none"/>
        </w:rPr>
        <w:t>办水保</w:t>
      </w:r>
      <w:r>
        <w:rPr>
          <w:highlight w:val="none"/>
        </w:rPr>
        <w:t>〔201</w:t>
      </w:r>
      <w:r>
        <w:rPr>
          <w:rFonts w:hint="eastAsia"/>
          <w:highlight w:val="none"/>
        </w:rPr>
        <w:t>3</w:t>
      </w:r>
      <w:r>
        <w:rPr>
          <w:highlight w:val="none"/>
        </w:rPr>
        <w:t>〕</w:t>
      </w:r>
      <w:r>
        <w:rPr>
          <w:rFonts w:hint="eastAsia"/>
          <w:highlight w:val="none"/>
        </w:rPr>
        <w:t>188</w:t>
      </w:r>
      <w:r>
        <w:rPr>
          <w:highlight w:val="none"/>
        </w:rPr>
        <w:t>号），本项目应执行</w:t>
      </w:r>
      <w:r>
        <w:rPr>
          <w:rFonts w:hint="eastAsia"/>
          <w:highlight w:val="none"/>
        </w:rPr>
        <w:t>西南紫色土区</w:t>
      </w:r>
      <w:r>
        <w:rPr>
          <w:highlight w:val="none"/>
        </w:rPr>
        <w:t>一级防治标准</w:t>
      </w:r>
      <w:r>
        <w:rPr>
          <w:rFonts w:hint="eastAsia"/>
          <w:highlight w:val="none"/>
          <w:lang w:eastAsia="zh-CN"/>
        </w:rPr>
        <w:t>，</w:t>
      </w:r>
      <w:r>
        <w:rPr>
          <w:rFonts w:hint="eastAsia"/>
          <w:highlight w:val="none"/>
          <w:lang w:val="en-US" w:eastAsia="zh-CN"/>
        </w:rPr>
        <w:t>仪陇县</w:t>
      </w:r>
      <w:r>
        <w:rPr>
          <w:rFonts w:hint="eastAsia"/>
          <w:highlight w:val="none"/>
        </w:rPr>
        <w:t>属嘉陵江及沱江中下游国家级水土流失重点治理区</w:t>
      </w:r>
      <w:r>
        <w:rPr>
          <w:highlight w:val="none"/>
        </w:rPr>
        <w:t>，本项目应执行</w:t>
      </w:r>
      <w:r>
        <w:rPr>
          <w:rFonts w:hint="eastAsia"/>
          <w:highlight w:val="none"/>
        </w:rPr>
        <w:t>西南紫色土区</w:t>
      </w:r>
      <w:r>
        <w:rPr>
          <w:highlight w:val="none"/>
        </w:rPr>
        <w:t>一级防治标准。</w:t>
      </w:r>
    </w:p>
    <w:p>
      <w:pPr>
        <w:pStyle w:val="58"/>
        <w:rPr>
          <w:rFonts w:ascii="Times New Roman" w:hAnsi="Times New Roman"/>
          <w:color w:val="auto"/>
        </w:rPr>
      </w:pPr>
      <w:r>
        <w:rPr>
          <w:rFonts w:ascii="Times New Roman" w:hAnsi="Times New Roman"/>
          <w:color w:val="auto"/>
        </w:rPr>
        <w:fldChar w:fldCharType="begin">
          <w:fldData xml:space="preserve">XwBjAHAAXwA1AGQARAB5AHYAaQBvAEcAVwBQAGQAOQBDAGcASwBwAE4ASQB3AFcATAB1AGwAVAB1
AGoAdABVAFIAWgA1AFIAOQAxAEwAbwBFADgAWQByAFEAUQA2AGUAcABUACsAWABGAGUARQAvAEIA
ZwA9AD0A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1.5.2</w:t>
      </w:r>
      <w:r>
        <w:rPr>
          <w:rFonts w:ascii="Times New Roman" w:hAnsi="Times New Roman"/>
          <w:color w:val="auto"/>
        </w:rPr>
        <w:fldChar w:fldCharType="end"/>
      </w:r>
      <w:r>
        <w:rPr>
          <w:rFonts w:ascii="Times New Roman" w:hAnsi="Times New Roman"/>
          <w:color w:val="auto"/>
        </w:rPr>
        <w:t>防治目标</w:t>
      </w:r>
    </w:p>
    <w:p>
      <w:pPr>
        <w:pStyle w:val="8"/>
        <w:ind w:firstLine="480"/>
        <w:rPr>
          <w:color w:val="auto"/>
          <w:highlight w:val="none"/>
        </w:rPr>
      </w:pPr>
      <w:r>
        <w:rPr>
          <w:color w:val="auto"/>
          <w:highlight w:val="none"/>
        </w:rPr>
        <w:t>1、定性目标</w:t>
      </w:r>
    </w:p>
    <w:p>
      <w:pPr>
        <w:pStyle w:val="8"/>
        <w:ind w:firstLine="480"/>
        <w:rPr>
          <w:color w:val="auto"/>
          <w:highlight w:val="none"/>
        </w:rPr>
      </w:pPr>
      <w:r>
        <w:rPr>
          <w:rFonts w:hint="eastAsia"/>
          <w:color w:val="auto"/>
          <w:highlight w:val="none"/>
        </w:rPr>
        <w:t>项目建设范围内的新增水土流失应得到有效控制，原有水土流失得到治理；水土保持设施应安全有效；水土资源、林草植被应得到最大限度的保护与恢复。</w:t>
      </w:r>
    </w:p>
    <w:p>
      <w:pPr>
        <w:pStyle w:val="8"/>
        <w:ind w:firstLine="480"/>
        <w:rPr>
          <w:color w:val="auto"/>
          <w:highlight w:val="none"/>
        </w:rPr>
      </w:pPr>
      <w:r>
        <w:rPr>
          <w:rFonts w:hint="eastAsia"/>
          <w:color w:val="auto"/>
          <w:highlight w:val="none"/>
          <w:lang w:val="en-US" w:eastAsia="zh-CN"/>
        </w:rPr>
        <w:t>2、</w:t>
      </w:r>
      <w:r>
        <w:rPr>
          <w:color w:val="auto"/>
          <w:highlight w:val="none"/>
        </w:rPr>
        <w:t>项目位于</w:t>
      </w:r>
      <w:r>
        <w:rPr>
          <w:rFonts w:hint="eastAsia"/>
          <w:color w:val="auto"/>
          <w:highlight w:val="none"/>
        </w:rPr>
        <w:t>国家级水土流失重点治理区</w:t>
      </w:r>
      <w:r>
        <w:rPr>
          <w:color w:val="auto"/>
          <w:highlight w:val="none"/>
        </w:rPr>
        <w:t>，根据《生产建设项目水土保持技术标准》（GB 50433-2018），林草覆盖率应提高1个~2个百分点。本项目林草植被覆盖率提高2个百分点</w:t>
      </w:r>
      <w:r>
        <w:rPr>
          <w:rFonts w:hint="eastAsia"/>
          <w:color w:val="auto"/>
          <w:highlight w:val="none"/>
          <w:lang w:eastAsia="zh-CN"/>
        </w:rPr>
        <w:t>，土壤流失控制比不应小于1.0，本工程取1.0</w:t>
      </w:r>
      <w:r>
        <w:rPr>
          <w:color w:val="auto"/>
          <w:highlight w:val="none"/>
        </w:rPr>
        <w:t>。本项目水土流失防治目标如下表所示。</w:t>
      </w:r>
    </w:p>
    <w:p>
      <w:pPr>
        <w:pStyle w:val="63"/>
        <w:rPr>
          <w:color w:val="auto"/>
          <w:highlight w:val="none"/>
        </w:rPr>
      </w:pPr>
      <w:r>
        <w:rPr>
          <w:color w:val="auto"/>
          <w:highlight w:val="none"/>
        </w:rPr>
        <w:fldChar w:fldCharType="begin">
          <w:fldData xml:space="preserve">XwBjAHAAXwBrAC8AYQBFADEAdQBVAHAAYQBCAGkAbABTAEMAaAB2AEgAegB6AHQAWgBrAGoAbQBS
AGUAVgBuAFEAWQA4AFoASQB1AEYASABSAFQAeAA0AGMAbABkADMAeABEAFIAUABCADcARQBhAHUA
dwA9AD0A
</w:fldData>
        </w:fldChar>
      </w:r>
      <w:r>
        <w:rPr>
          <w:color w:val="auto"/>
          <w:highlight w:val="none"/>
        </w:rPr>
        <w:instrText xml:space="preserve">ADDIN _cp_ \* MERGEFORMAT</w:instrText>
      </w:r>
      <w:r>
        <w:rPr>
          <w:color w:val="auto"/>
          <w:highlight w:val="none"/>
        </w:rPr>
        <w:fldChar w:fldCharType="separate"/>
      </w:r>
      <w:r>
        <w:rPr>
          <w:color w:val="auto"/>
          <w:highlight w:val="none"/>
        </w:rPr>
        <w:t>表1.5-1</w:t>
      </w:r>
      <w:r>
        <w:rPr>
          <w:color w:val="auto"/>
          <w:highlight w:val="none"/>
        </w:rPr>
        <w:fldChar w:fldCharType="end"/>
      </w:r>
      <w:r>
        <w:rPr>
          <w:color w:val="auto"/>
          <w:highlight w:val="none"/>
        </w:rPr>
        <w:t>水土流失防治目标表</w:t>
      </w:r>
    </w:p>
    <w:tbl>
      <w:tblPr>
        <w:tblStyle w:val="39"/>
        <w:tblW w:w="88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77"/>
        <w:gridCol w:w="1213"/>
        <w:gridCol w:w="1212"/>
        <w:gridCol w:w="1212"/>
        <w:gridCol w:w="1214"/>
        <w:gridCol w:w="1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Merge w:val="restart"/>
            <w:vAlign w:val="center"/>
          </w:tcPr>
          <w:p>
            <w:pPr>
              <w:keepNext w:val="0"/>
              <w:keepLines w:val="0"/>
              <w:suppressLineNumbers w:val="0"/>
              <w:adjustRightInd w:val="0"/>
              <w:snapToGrid w:val="0"/>
              <w:spacing w:before="0" w:beforeAutospacing="0" w:after="0" w:afterAutospacing="0"/>
              <w:ind w:left="-105" w:leftChars="-50" w:right="-105" w:rightChars="-50" w:firstLine="48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防治指标</w:t>
            </w:r>
          </w:p>
        </w:tc>
        <w:tc>
          <w:tcPr>
            <w:tcW w:w="2425" w:type="dxa"/>
            <w:gridSpan w:val="2"/>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规范标准</w:t>
            </w:r>
          </w:p>
        </w:tc>
        <w:tc>
          <w:tcPr>
            <w:tcW w:w="1212" w:type="dxa"/>
            <w:vMerge w:val="restart"/>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修正</w:t>
            </w:r>
          </w:p>
        </w:tc>
        <w:tc>
          <w:tcPr>
            <w:tcW w:w="2433" w:type="dxa"/>
            <w:gridSpan w:val="2"/>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采用标准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Merge w:val="continue"/>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p>
        </w:tc>
        <w:tc>
          <w:tcPr>
            <w:tcW w:w="1213" w:type="dxa"/>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施工期</w:t>
            </w:r>
          </w:p>
        </w:tc>
        <w:tc>
          <w:tcPr>
            <w:tcW w:w="1212" w:type="dxa"/>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设计水平年</w:t>
            </w:r>
          </w:p>
        </w:tc>
        <w:tc>
          <w:tcPr>
            <w:tcW w:w="1212" w:type="dxa"/>
            <w:vMerge w:val="continue"/>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p>
        </w:tc>
        <w:tc>
          <w:tcPr>
            <w:tcW w:w="1214" w:type="dxa"/>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施工期</w:t>
            </w:r>
          </w:p>
        </w:tc>
        <w:tc>
          <w:tcPr>
            <w:tcW w:w="1219" w:type="dxa"/>
            <w:vAlign w:val="center"/>
          </w:tcPr>
          <w:p>
            <w:pPr>
              <w:keepNext w:val="0"/>
              <w:keepLines w:val="0"/>
              <w:suppressLineNumbers w:val="0"/>
              <w:adjustRightInd w:val="0"/>
              <w:snapToGrid w:val="0"/>
              <w:spacing w:before="0" w:beforeAutospacing="0" w:after="0" w:afterAutospacing="0"/>
              <w:ind w:left="-105" w:leftChars="-50" w:right="-105" w:rightChars="-5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设计水平年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水土流失治理度(%)</w:t>
            </w:r>
          </w:p>
        </w:tc>
        <w:tc>
          <w:tcPr>
            <w:tcW w:w="121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97</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1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土壤流失控制比</w:t>
            </w:r>
          </w:p>
        </w:tc>
        <w:tc>
          <w:tcPr>
            <w:tcW w:w="121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0.85</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+0.15</w:t>
            </w:r>
          </w:p>
        </w:tc>
        <w:tc>
          <w:tcPr>
            <w:tcW w:w="121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渣土防护率(%)</w:t>
            </w:r>
          </w:p>
        </w:tc>
        <w:tc>
          <w:tcPr>
            <w:tcW w:w="121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90</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92</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1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90</w:t>
            </w:r>
          </w:p>
        </w:tc>
        <w:tc>
          <w:tcPr>
            <w:tcW w:w="12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表土保护率(%)</w:t>
            </w:r>
          </w:p>
        </w:tc>
        <w:tc>
          <w:tcPr>
            <w:tcW w:w="121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92</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92</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1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92</w:t>
            </w:r>
          </w:p>
        </w:tc>
        <w:tc>
          <w:tcPr>
            <w:tcW w:w="12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林草植被恢复率(%)</w:t>
            </w:r>
          </w:p>
        </w:tc>
        <w:tc>
          <w:tcPr>
            <w:tcW w:w="121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97</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1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77"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林草覆盖率(%)</w:t>
            </w:r>
          </w:p>
        </w:tc>
        <w:tc>
          <w:tcPr>
            <w:tcW w:w="121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23</w:t>
            </w:r>
          </w:p>
        </w:tc>
        <w:tc>
          <w:tcPr>
            <w:tcW w:w="121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+2</w:t>
            </w:r>
          </w:p>
        </w:tc>
        <w:tc>
          <w:tcPr>
            <w:tcW w:w="121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w:t>
            </w:r>
          </w:p>
        </w:tc>
        <w:tc>
          <w:tcPr>
            <w:tcW w:w="121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25</w:t>
            </w:r>
          </w:p>
        </w:tc>
      </w:tr>
    </w:tbl>
    <w:p>
      <w:pPr>
        <w:pStyle w:val="56"/>
        <w:spacing w:before="360" w:beforeLines="150" w:after="120" w:afterLines="50"/>
        <w:rPr>
          <w:rFonts w:ascii="Times New Roman" w:hAnsi="Times New Roman"/>
          <w:color w:val="auto"/>
        </w:rPr>
      </w:pPr>
      <w:r>
        <w:rPr>
          <w:rFonts w:ascii="Times New Roman" w:hAnsi="Times New Roman"/>
          <w:color w:val="auto"/>
        </w:rPr>
        <w:fldChar w:fldCharType="begin">
          <w:fldData xml:space="preserve">XwBjAHAAXwBKAHAAdgBFAFgAUgBZADYAeABXAGEAQwBmAEEAMABWADYAZABmAGEAYQAzAGMAMQBp
AFMARABkAEcAWQBjAC8AcgAyACsAZwBiAEEAVQBjAFkAVgBvAGwAeQBnADUAYwBnADgAKwA4AEUA
ZwA9AD0A
</w:fldData>
        </w:fldChar>
      </w:r>
      <w:r>
        <w:rPr>
          <w:color w:val="auto"/>
        </w:rPr>
        <w:instrText xml:space="preserve">ADDIN _cp_ \* MERGEFORMAT</w:instrText>
      </w:r>
      <w:r>
        <w:rPr>
          <w:rFonts w:ascii="Times New Roman" w:hAnsi="Times New Roman"/>
          <w:color w:val="auto"/>
        </w:rPr>
        <w:fldChar w:fldCharType="separate"/>
      </w:r>
      <w:bookmarkStart w:id="22" w:name="_Toc74588723"/>
      <w:bookmarkStart w:id="23" w:name="_Toc13426554"/>
      <w:bookmarkStart w:id="24" w:name="_Toc14737393"/>
      <w:bookmarkStart w:id="25" w:name="_Toc74588672"/>
      <w:r>
        <w:rPr>
          <w:rFonts w:ascii="Times New Roman" w:hAnsi="Times New Roman"/>
          <w:color w:val="auto"/>
        </w:rPr>
        <w:t>1.6</w:t>
      </w:r>
      <w:r>
        <w:rPr>
          <w:rFonts w:ascii="Times New Roman" w:hAnsi="Times New Roman"/>
          <w:color w:val="auto"/>
        </w:rPr>
        <w:fldChar w:fldCharType="end"/>
      </w:r>
      <w:r>
        <w:rPr>
          <w:rFonts w:ascii="Times New Roman" w:hAnsi="Times New Roman"/>
          <w:color w:val="auto"/>
        </w:rPr>
        <w:t>项目水土保持评价结论</w:t>
      </w:r>
      <w:bookmarkEnd w:id="22"/>
      <w:bookmarkEnd w:id="23"/>
      <w:bookmarkEnd w:id="24"/>
      <w:bookmarkEnd w:id="25"/>
    </w:p>
    <w:p>
      <w:pPr>
        <w:pStyle w:val="58"/>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XwBjAHAAXwA5AE8AbQBIAHkAMABXADgARQAvAHEASwBwAEsAUQBoAHYAWQAxAEsAWAB2AG0AeQAw
AGkAdgBCAG4AMABwAEoAbwA3AGMATgBTAHoAZgB5AHQAUgBhAEoAVAA2AGYATwAxAGoAZQBSAHMA
dwA9AD0A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1.6.1</w:t>
      </w:r>
      <w:r>
        <w:rPr>
          <w:rFonts w:ascii="Times New Roman" w:hAnsi="Times New Roman"/>
          <w:color w:val="auto"/>
        </w:rPr>
        <w:fldChar w:fldCharType="end"/>
      </w:r>
      <w:r>
        <w:rPr>
          <w:rFonts w:ascii="Times New Roman" w:hAnsi="Times New Roman"/>
          <w:color w:val="auto"/>
        </w:rPr>
        <w:t>主体工程选址（线）评价</w:t>
      </w:r>
    </w:p>
    <w:p>
      <w:pPr>
        <w:spacing w:line="360" w:lineRule="auto"/>
        <w:ind w:firstLine="460" w:firstLineChars="192"/>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（1）本项目建设符合国家现行产业政策，符合相关规划。</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（2）本项目为新建工程，场地稳定性较好，地表水排水条件较好，环境工程地质条件简单，无明显不良地质灾害。</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w:t>
      </w:r>
      <w:r>
        <w:rPr>
          <w:rFonts w:hint="eastAsia" w:ascii="Times New Roman" w:hAnsi="Times New Roman" w:eastAsia="仿宋_GB2312" w:cs="Times New Roman"/>
          <w:color w:val="auto"/>
          <w:sz w:val="24"/>
          <w:szCs w:val="24"/>
          <w:highlight w:val="none"/>
        </w:rPr>
        <w:t>本项目主体工程选址不涉及河流两岸、湖泊和水库周边的植物保护带，不涉及全国水土保持监测网络中的水土保持监测站、重点试验区及国家确定的水土保持长期定位观测站，但无法避让嘉陵江及沱江中下游国家级水土流失重点治理区，方案执行西南紫色土区一级防治标准，提出水土保持防护措施及施工管理建议，从水土保持角度来看，通过提高防治标准，采取积极的水土保持措施，加强工程施工期间的临时防护以及管控，可以将不利影响降到最低。</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w:t>
      </w:r>
      <w:r>
        <w:rPr>
          <w:rFonts w:hint="eastAsia" w:ascii="Times New Roman" w:hAnsi="Times New Roman" w:eastAsia="仿宋_GB2312" w:cs="Times New Roman"/>
          <w:color w:val="auto"/>
          <w:sz w:val="24"/>
          <w:szCs w:val="24"/>
          <w:highlight w:val="none"/>
        </w:rPr>
        <w:t>本项目工程</w:t>
      </w:r>
      <w:r>
        <w:rPr>
          <w:rFonts w:ascii="Times New Roman" w:hAnsi="Times New Roman" w:eastAsia="仿宋_GB2312" w:cs="Times New Roman"/>
          <w:color w:val="auto"/>
          <w:sz w:val="24"/>
          <w:szCs w:val="24"/>
          <w:highlight w:val="none"/>
        </w:rPr>
        <w:t>选址</w:t>
      </w:r>
      <w:r>
        <w:rPr>
          <w:rFonts w:hint="eastAsia" w:ascii="Times New Roman" w:hAnsi="Times New Roman" w:eastAsia="仿宋_GB2312" w:cs="Times New Roman"/>
          <w:color w:val="auto"/>
          <w:sz w:val="24"/>
          <w:szCs w:val="24"/>
          <w:highlight w:val="none"/>
        </w:rPr>
        <w:t>（线）不涉及饮用水源保护区、水功能一级区的保护区和保留区、自然保护区、世界文化和自然遗产地、风景名胜区、地质公园、森林公园、重要湿地以及人文古迹等其他水土保持敏感地区。</w:t>
      </w:r>
    </w:p>
    <w:p>
      <w:pPr>
        <w:spacing w:line="360" w:lineRule="auto"/>
        <w:ind w:firstLine="460" w:firstLineChars="192"/>
        <w:rPr>
          <w:bCs/>
          <w:color w:val="auto"/>
          <w:szCs w:val="24"/>
          <w:highlight w:val="none"/>
        </w:rPr>
      </w:pPr>
      <w:r>
        <w:rPr>
          <w:rFonts w:ascii="Times New Roman" w:hAnsi="Times New Roman" w:eastAsia="仿宋_GB2312" w:cs="Times New Roman"/>
          <w:color w:val="auto"/>
          <w:sz w:val="24"/>
          <w:szCs w:val="24"/>
          <w:highlight w:val="none"/>
        </w:rPr>
        <w:t>综上所述，本工程选址满足《中华人民共和国水土保持法》、《生产建设项目水土保持技术标准（GB50433-2018）》中有关规范性文件中的规定。因此，本工程不存在水土保持方面的</w:t>
      </w:r>
      <w:r>
        <w:rPr>
          <w:rFonts w:hint="eastAsia" w:ascii="Times New Roman" w:hAnsi="Times New Roman" w:eastAsia="仿宋_GB2312" w:cs="Times New Roman"/>
          <w:color w:val="auto"/>
          <w:sz w:val="24"/>
          <w:szCs w:val="24"/>
          <w:highlight w:val="none"/>
        </w:rPr>
        <w:t>显著</w:t>
      </w:r>
      <w:r>
        <w:rPr>
          <w:rFonts w:ascii="Times New Roman" w:hAnsi="Times New Roman" w:eastAsia="仿宋_GB2312" w:cs="Times New Roman"/>
          <w:color w:val="auto"/>
          <w:sz w:val="24"/>
          <w:szCs w:val="24"/>
          <w:highlight w:val="none"/>
        </w:rPr>
        <w:t>制约性因素</w:t>
      </w:r>
      <w:r>
        <w:rPr>
          <w:bCs/>
          <w:color w:val="auto"/>
          <w:szCs w:val="24"/>
          <w:highlight w:val="none"/>
        </w:rPr>
        <w:t>。</w:t>
      </w:r>
    </w:p>
    <w:p>
      <w:pPr>
        <w:pStyle w:val="58"/>
        <w:spacing w:before="120" w:beforeLines="50" w:after="120" w:afterLines="50"/>
        <w:rPr>
          <w:rFonts w:ascii="Times New Roman" w:hAnsi="Times New Roman"/>
          <w:color w:val="auto"/>
          <w:highlight w:val="none"/>
        </w:rPr>
      </w:pPr>
      <w:r>
        <w:rPr>
          <w:rFonts w:ascii="Times New Roman" w:hAnsi="Times New Roman"/>
          <w:color w:val="auto"/>
          <w:highlight w:val="none"/>
        </w:rPr>
        <w:fldChar w:fldCharType="begin">
          <w:fldData xml:space="preserve">XwBjAHAAXwBjAEYAUAB4AHkAbwBnAFMAegBWAFoAMwBUADYAMgBzAGMANQByAFcAYQBGAEoAZABQ
AEkAcgBGAHgAbgA0AEoASABIADMAUwB5AEkAdgBnAEcAbQBsAGgAZQBNAEcAcABIAG8ASAA0ADcA
ZwA9AD0A
</w:fldData>
        </w:fldChar>
      </w:r>
      <w:r>
        <w:rPr>
          <w:color w:val="auto"/>
          <w:highlight w:val="none"/>
        </w:rPr>
        <w:instrText xml:space="preserve">ADDIN _cp_ \* MERGEFORMAT</w:instrText>
      </w:r>
      <w:r>
        <w:rPr>
          <w:rFonts w:ascii="Times New Roman" w:hAnsi="Times New Roman"/>
          <w:color w:val="auto"/>
          <w:highlight w:val="none"/>
        </w:rPr>
        <w:fldChar w:fldCharType="separate"/>
      </w:r>
      <w:r>
        <w:rPr>
          <w:rFonts w:ascii="Times New Roman" w:hAnsi="Times New Roman"/>
          <w:color w:val="auto"/>
          <w:highlight w:val="none"/>
        </w:rPr>
        <w:t>1.6.2</w:t>
      </w:r>
      <w:r>
        <w:rPr>
          <w:rFonts w:ascii="Times New Roman" w:hAnsi="Times New Roman"/>
          <w:color w:val="auto"/>
          <w:highlight w:val="none"/>
        </w:rPr>
        <w:fldChar w:fldCharType="end"/>
      </w:r>
      <w:r>
        <w:rPr>
          <w:rFonts w:ascii="Times New Roman" w:hAnsi="Times New Roman"/>
          <w:color w:val="auto"/>
          <w:highlight w:val="none"/>
        </w:rPr>
        <w:t>建设方案与布局评价</w:t>
      </w:r>
    </w:p>
    <w:p>
      <w:pPr>
        <w:pStyle w:val="8"/>
        <w:ind w:firstLine="480"/>
        <w:rPr>
          <w:rFonts w:ascii="Times New Roman" w:hAnsi="Times New Roman"/>
          <w:color w:val="auto"/>
        </w:rPr>
      </w:pPr>
      <w:r>
        <w:rPr>
          <w:rFonts w:ascii="Times New Roman" w:hAnsi="Times New Roman"/>
          <w:color w:val="auto"/>
        </w:rPr>
        <w:t>（1）建设方案分析评价</w:t>
      </w:r>
    </w:p>
    <w:p>
      <w:pPr>
        <w:pStyle w:val="8"/>
        <w:ind w:firstLine="480"/>
        <w:rPr>
          <w:rFonts w:ascii="Times New Roman" w:hAnsi="Times New Roman"/>
          <w:color w:val="auto"/>
          <w:highlight w:val="none"/>
        </w:rPr>
      </w:pPr>
      <w:r>
        <w:rPr>
          <w:rFonts w:ascii="Times New Roman" w:hAnsi="Times New Roman"/>
          <w:color w:val="auto"/>
          <w:szCs w:val="24"/>
          <w:highlight w:val="none"/>
        </w:rPr>
        <w:t>本项目为点型项目，位于丘陵区，项目所在的</w:t>
      </w:r>
      <w:r>
        <w:rPr>
          <w:rFonts w:hint="eastAsia"/>
          <w:color w:val="auto"/>
          <w:szCs w:val="24"/>
          <w:highlight w:val="none"/>
          <w:lang w:val="en-US" w:eastAsia="zh-CN"/>
        </w:rPr>
        <w:t>仪陇</w:t>
      </w:r>
      <w:r>
        <w:rPr>
          <w:rFonts w:ascii="Times New Roman" w:hAnsi="Times New Roman"/>
          <w:color w:val="auto"/>
          <w:szCs w:val="24"/>
          <w:highlight w:val="none"/>
        </w:rPr>
        <w:t>县全境均属</w:t>
      </w:r>
      <w:r>
        <w:rPr>
          <w:rFonts w:hint="eastAsia"/>
          <w:highlight w:val="none"/>
        </w:rPr>
        <w:t>嘉陵江及沱江中下游国家级水土流失重点治理区</w:t>
      </w:r>
      <w:r>
        <w:rPr>
          <w:rFonts w:ascii="Times New Roman" w:hAnsi="Times New Roman"/>
          <w:color w:val="auto"/>
          <w:szCs w:val="24"/>
          <w:highlight w:val="none"/>
        </w:rPr>
        <w:t>，工程选址无法进行避让。本方案通过提高防治标准，优化施工工艺，严格控制地表扰动和植被损坏范围，可有效控制新增水土流失。在采取工程、临时防治措施及植被恢复之后，本项目建设对区域内的生态景观影响较小，符合水土保持相关要求。</w:t>
      </w:r>
    </w:p>
    <w:p>
      <w:pPr>
        <w:pStyle w:val="8"/>
        <w:ind w:firstLine="480"/>
        <w:rPr>
          <w:rFonts w:ascii="Times New Roman" w:hAnsi="Times New Roman"/>
          <w:color w:val="auto"/>
          <w:highlight w:val="none"/>
        </w:rPr>
      </w:pPr>
      <w:r>
        <w:rPr>
          <w:rFonts w:ascii="Times New Roman" w:hAnsi="Times New Roman"/>
          <w:color w:val="auto"/>
          <w:highlight w:val="none"/>
        </w:rPr>
        <w:t>2、工程占地分析评价</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项目施工场地布置在设计范围内，满足施工要求，减少扰动破坏地表面积，符合水土保持技术要求；工程占地符合节约用地和减少扰动的要求。本方案对主体设计占地面积予以确认。</w:t>
      </w:r>
    </w:p>
    <w:p>
      <w:pPr>
        <w:pStyle w:val="8"/>
        <w:ind w:firstLine="480"/>
        <w:rPr>
          <w:rFonts w:ascii="Times New Roman" w:hAnsi="Times New Roman"/>
          <w:color w:val="auto"/>
          <w:highlight w:val="none"/>
        </w:rPr>
      </w:pPr>
      <w:r>
        <w:rPr>
          <w:rFonts w:ascii="Times New Roman" w:hAnsi="Times New Roman"/>
          <w:color w:val="auto"/>
          <w:highlight w:val="none"/>
        </w:rPr>
        <w:t>3、土石方平衡评价</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剥离的表土满足本工程后期绿化覆土的需求。本项目土方在项目区间相互运转调运，土石方流向合理。本方案各工程土石方挖填计算比较准确，统计无漏项，开挖土石方优先考虑回填利用，项目土石方挖填平衡符合水土保持要求。</w:t>
      </w:r>
    </w:p>
    <w:p>
      <w:pPr>
        <w:pStyle w:val="8"/>
        <w:ind w:firstLine="480"/>
        <w:rPr>
          <w:rFonts w:ascii="Times New Roman" w:hAnsi="Times New Roman"/>
          <w:color w:val="auto"/>
          <w:highlight w:val="none"/>
        </w:rPr>
      </w:pPr>
      <w:r>
        <w:rPr>
          <w:rFonts w:ascii="Times New Roman" w:hAnsi="Times New Roman"/>
          <w:color w:val="auto"/>
          <w:highlight w:val="none"/>
        </w:rPr>
        <w:t>4、取土（石、砂）场设置评价</w:t>
      </w:r>
    </w:p>
    <w:p>
      <w:pPr>
        <w:snapToGrid w:val="0"/>
        <w:spacing w:line="360" w:lineRule="auto"/>
        <w:ind w:firstLine="480" w:firstLineChars="200"/>
        <w:rPr>
          <w:rFonts w:ascii="Times New Roman" w:hAnsi="Times New Roman" w:eastAsia="仿宋_GB2312" w:cs="Times New Roman"/>
          <w:color w:val="auto"/>
          <w:kern w:val="0"/>
          <w:sz w:val="24"/>
          <w:szCs w:val="21"/>
          <w:highlight w:val="none"/>
          <w:lang w:val="zh-CN"/>
        </w:rPr>
      </w:pPr>
      <w:r>
        <w:rPr>
          <w:rFonts w:ascii="Times New Roman" w:hAnsi="Times New Roman" w:eastAsia="仿宋_GB2312" w:cs="Times New Roman"/>
          <w:color w:val="auto"/>
          <w:sz w:val="24"/>
          <w:szCs w:val="24"/>
          <w:highlight w:val="none"/>
        </w:rPr>
        <w:t>项目建设过程中的砂石料及其它建筑材料全部外购，料场开采及物料运输过程中相关的水土流失防治责任由建材经营方负责。</w:t>
      </w:r>
    </w:p>
    <w:p>
      <w:pPr>
        <w:pStyle w:val="8"/>
        <w:ind w:firstLine="480"/>
        <w:rPr>
          <w:rFonts w:ascii="Times New Roman" w:hAnsi="Times New Roman"/>
          <w:color w:val="auto"/>
          <w:highlight w:val="none"/>
        </w:rPr>
      </w:pPr>
      <w:r>
        <w:rPr>
          <w:rFonts w:ascii="Times New Roman" w:hAnsi="Times New Roman"/>
          <w:color w:val="auto"/>
          <w:highlight w:val="none"/>
        </w:rPr>
        <w:t>5、弃土（石、渣、灰、矸石、尾矿）场设置评价</w:t>
      </w:r>
    </w:p>
    <w:p>
      <w:pPr>
        <w:snapToGrid w:val="0"/>
        <w:spacing w:line="360" w:lineRule="auto"/>
        <w:ind w:firstLine="480" w:firstLineChars="200"/>
        <w:rPr>
          <w:rFonts w:ascii="Times New Roman" w:hAnsi="Times New Roman" w:eastAsia="仿宋_GB2312" w:cs="Times New Roman"/>
          <w:color w:val="auto"/>
          <w:kern w:val="0"/>
          <w:sz w:val="24"/>
          <w:szCs w:val="21"/>
          <w:highlight w:val="none"/>
          <w:lang w:val="zh-CN"/>
        </w:rPr>
      </w:pPr>
      <w:r>
        <w:rPr>
          <w:rFonts w:ascii="Times New Roman" w:hAnsi="Times New Roman" w:eastAsia="仿宋_GB2312" w:cs="Times New Roman"/>
          <w:color w:val="auto"/>
          <w:kern w:val="0"/>
          <w:sz w:val="24"/>
          <w:szCs w:val="21"/>
          <w:highlight w:val="none"/>
          <w:lang w:val="zh-CN"/>
        </w:rPr>
        <w:t>本项目不设弃渣场，符合水土保持相关要求。</w:t>
      </w:r>
    </w:p>
    <w:p>
      <w:pPr>
        <w:pStyle w:val="8"/>
        <w:ind w:firstLine="480"/>
        <w:rPr>
          <w:rFonts w:ascii="Times New Roman" w:hAnsi="Times New Roman"/>
          <w:color w:val="auto"/>
          <w:highlight w:val="none"/>
        </w:rPr>
      </w:pPr>
      <w:r>
        <w:rPr>
          <w:rFonts w:ascii="Times New Roman" w:hAnsi="Times New Roman"/>
          <w:color w:val="auto"/>
          <w:highlight w:val="none"/>
        </w:rPr>
        <w:t>6、施工方法与工艺评价</w:t>
      </w:r>
    </w:p>
    <w:p>
      <w:pPr>
        <w:pStyle w:val="8"/>
        <w:ind w:firstLine="480"/>
        <w:rPr>
          <w:rFonts w:ascii="Times New Roman" w:hAnsi="Times New Roman"/>
          <w:color w:val="auto"/>
          <w:highlight w:val="none"/>
        </w:rPr>
      </w:pPr>
      <w:r>
        <w:rPr>
          <w:rFonts w:ascii="Times New Roman" w:hAnsi="Times New Roman"/>
          <w:color w:val="auto"/>
          <w:highlight w:val="none"/>
        </w:rPr>
        <w:t>主体工程采用的施工工艺和技术成熟，当前在国内普遍使用，能够确保施工进度按时完成，减少水土流失。</w:t>
      </w:r>
    </w:p>
    <w:p>
      <w:pPr>
        <w:pStyle w:val="8"/>
        <w:ind w:firstLine="480"/>
        <w:rPr>
          <w:rFonts w:ascii="Times New Roman" w:hAnsi="Times New Roman"/>
          <w:color w:val="auto"/>
          <w:highlight w:val="none"/>
        </w:rPr>
      </w:pPr>
      <w:r>
        <w:rPr>
          <w:rFonts w:ascii="Times New Roman" w:hAnsi="Times New Roman"/>
          <w:color w:val="auto"/>
          <w:highlight w:val="none"/>
        </w:rPr>
        <w:t>7、主体工程设计中具有水土保持功能工程的评价</w:t>
      </w:r>
    </w:p>
    <w:p>
      <w:pPr>
        <w:pStyle w:val="8"/>
        <w:ind w:firstLine="480"/>
        <w:rPr>
          <w:rFonts w:ascii="Times New Roman" w:hAnsi="Times New Roman"/>
          <w:color w:val="auto"/>
          <w:szCs w:val="24"/>
          <w:highlight w:val="none"/>
        </w:rPr>
      </w:pPr>
      <w:r>
        <w:rPr>
          <w:rFonts w:ascii="Times New Roman" w:hAnsi="Times New Roman"/>
          <w:color w:val="auto"/>
          <w:highlight w:val="none"/>
        </w:rPr>
        <w:t>主体工程设计中考虑了水土保持措施，包括表土剥离、挡土墙、植草绿化、排水工程等，评价认为主体已有的水土保持措施</w:t>
      </w:r>
      <w:r>
        <w:rPr>
          <w:rFonts w:hint="eastAsia" w:ascii="Times New Roman" w:hAnsi="Times New Roman"/>
          <w:color w:val="auto"/>
          <w:highlight w:val="none"/>
          <w:lang w:val="en-US" w:eastAsia="zh-CN"/>
        </w:rPr>
        <w:t>基本</w:t>
      </w:r>
      <w:r>
        <w:rPr>
          <w:rFonts w:ascii="Times New Roman" w:hAnsi="Times New Roman"/>
          <w:color w:val="auto"/>
          <w:highlight w:val="none"/>
        </w:rPr>
        <w:t>满足水土保持要求，但尚需补充施工期的临时防护措施。</w:t>
      </w:r>
    </w:p>
    <w:p>
      <w:pPr>
        <w:pStyle w:val="56"/>
        <w:spacing w:before="120" w:beforeLines="50" w:after="120" w:afterLines="50"/>
        <w:rPr>
          <w:rFonts w:ascii="Times New Roman" w:hAnsi="Times New Roman"/>
          <w:color w:val="auto"/>
          <w:highlight w:val="none"/>
        </w:rPr>
      </w:pPr>
      <w:r>
        <w:rPr>
          <w:rFonts w:ascii="Times New Roman" w:hAnsi="Times New Roman"/>
          <w:color w:val="auto"/>
          <w:highlight w:val="none"/>
        </w:rPr>
        <w:fldChar w:fldCharType="begin">
          <w:fldData xml:space="preserve">XwBjAHAAXwBjACsAZQBHADgAZAA4AE0ASQB0AEsAMwB0AGYAdwBHAHkASABtAGsAKwBYAGQAWAAz
ACsANQBEAEUATQBpADcAZgBsAE4AZwBKAFYAcABnAFkAcQBWADYAQQBqAFMAUABFAGwAYwB0AFQA
QQA9AD0A
</w:fldData>
        </w:fldChar>
      </w:r>
      <w:r>
        <w:rPr>
          <w:color w:val="auto"/>
          <w:highlight w:val="none"/>
        </w:rPr>
        <w:instrText xml:space="preserve">ADDIN _cp_ \* MERGEFORMAT</w:instrText>
      </w:r>
      <w:r>
        <w:rPr>
          <w:rFonts w:ascii="Times New Roman" w:hAnsi="Times New Roman"/>
          <w:color w:val="auto"/>
          <w:highlight w:val="none"/>
        </w:rPr>
        <w:fldChar w:fldCharType="separate"/>
      </w:r>
      <w:bookmarkStart w:id="26" w:name="_Toc14737394"/>
      <w:bookmarkStart w:id="27" w:name="_Toc74588724"/>
      <w:bookmarkStart w:id="28" w:name="_Toc13426555"/>
      <w:bookmarkStart w:id="29" w:name="_Toc74588673"/>
      <w:r>
        <w:rPr>
          <w:rFonts w:ascii="Times New Roman" w:hAnsi="Times New Roman"/>
          <w:color w:val="auto"/>
          <w:highlight w:val="none"/>
        </w:rPr>
        <w:t>1.7</w:t>
      </w:r>
      <w:r>
        <w:rPr>
          <w:rFonts w:ascii="Times New Roman" w:hAnsi="Times New Roman"/>
          <w:color w:val="auto"/>
          <w:highlight w:val="none"/>
        </w:rPr>
        <w:fldChar w:fldCharType="end"/>
      </w:r>
      <w:r>
        <w:rPr>
          <w:rFonts w:ascii="Times New Roman" w:hAnsi="Times New Roman"/>
          <w:color w:val="auto"/>
          <w:highlight w:val="none"/>
        </w:rPr>
        <w:t>水土流失预测结果</w:t>
      </w:r>
      <w:bookmarkEnd w:id="26"/>
      <w:bookmarkEnd w:id="27"/>
      <w:bookmarkEnd w:id="28"/>
      <w:bookmarkEnd w:id="29"/>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工程建设共扰动地表面积</w:t>
      </w:r>
      <w:r>
        <w:rPr>
          <w:rFonts w:hint="eastAsia" w:ascii="Times New Roman" w:hAnsi="Times New Roman" w:eastAsia="仿宋_GB2312" w:cs="Times New Roman"/>
          <w:color w:val="auto"/>
          <w:sz w:val="24"/>
          <w:szCs w:val="24"/>
          <w:highlight w:val="none"/>
          <w:lang w:val="en-US" w:eastAsia="zh-CN"/>
        </w:rPr>
        <w:t>1.76</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，本工程挖方总量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（自然方，下同，含表土剥离</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），总填方量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（含表土利用</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vertAlign w:val="baseline"/>
          <w:lang w:val="en-US" w:eastAsia="zh-CN"/>
        </w:rPr>
        <w:t>，</w:t>
      </w:r>
      <w:r>
        <w:rPr>
          <w:rFonts w:ascii="Times New Roman" w:hAnsi="Times New Roman" w:eastAsia="仿宋_GB2312" w:cs="Times New Roman"/>
          <w:color w:val="auto"/>
          <w:sz w:val="24"/>
          <w:szCs w:val="24"/>
          <w:highlight w:val="none"/>
        </w:rPr>
        <w:t>工程建设无弃方产生。</w:t>
      </w:r>
    </w:p>
    <w:p>
      <w:pPr>
        <w:spacing w:line="360" w:lineRule="auto"/>
        <w:ind w:firstLine="424" w:firstLineChars="177"/>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经预测分析，工程建设期间可能产生土壤流失总量</w:t>
      </w:r>
      <w:r>
        <w:rPr>
          <w:rFonts w:hint="eastAsia" w:ascii="Times New Roman" w:hAnsi="Times New Roman" w:eastAsia="仿宋_GB2312" w:cs="Times New Roman"/>
          <w:color w:val="auto"/>
          <w:sz w:val="24"/>
          <w:highlight w:val="none"/>
          <w:lang w:val="en-US" w:eastAsia="zh-CN"/>
        </w:rPr>
        <w:t>185.38t</w:t>
      </w:r>
      <w:r>
        <w:rPr>
          <w:rFonts w:ascii="Times New Roman" w:hAnsi="Times New Roman" w:eastAsia="仿宋_GB2312" w:cs="Times New Roman"/>
          <w:color w:val="auto"/>
          <w:sz w:val="24"/>
          <w:highlight w:val="none"/>
        </w:rPr>
        <w:t>，新增水土流失量</w:t>
      </w:r>
      <w:r>
        <w:rPr>
          <w:rFonts w:hint="eastAsia" w:ascii="Times New Roman" w:hAnsi="Times New Roman" w:eastAsia="仿宋_GB2312" w:cs="Times New Roman"/>
          <w:color w:val="auto"/>
          <w:sz w:val="24"/>
          <w:highlight w:val="none"/>
          <w:lang w:val="en-US" w:eastAsia="zh-CN"/>
        </w:rPr>
        <w:t>110.32t</w:t>
      </w:r>
      <w:r>
        <w:rPr>
          <w:rFonts w:ascii="Times New Roman" w:hAnsi="Times New Roman" w:eastAsia="仿宋_GB2312" w:cs="Times New Roman"/>
          <w:color w:val="auto"/>
          <w:sz w:val="24"/>
          <w:highlight w:val="none"/>
        </w:rPr>
        <w:t>，其中</w:t>
      </w:r>
      <w:r>
        <w:rPr>
          <w:rFonts w:hint="eastAsia" w:ascii="Times New Roman" w:hAnsi="Times New Roman" w:eastAsia="仿宋_GB2312" w:cs="Times New Roman"/>
          <w:color w:val="auto"/>
          <w:sz w:val="24"/>
          <w:highlight w:val="none"/>
        </w:rPr>
        <w:t>施工期</w:t>
      </w:r>
      <w:r>
        <w:rPr>
          <w:rFonts w:ascii="Times New Roman" w:hAnsi="Times New Roman" w:eastAsia="仿宋_GB2312" w:cs="Times New Roman"/>
          <w:color w:val="auto"/>
          <w:sz w:val="24"/>
          <w:highlight w:val="none"/>
        </w:rPr>
        <w:t>新增</w:t>
      </w:r>
      <w:r>
        <w:rPr>
          <w:rFonts w:hint="eastAsia" w:ascii="Times New Roman" w:hAnsi="Times New Roman" w:eastAsia="仿宋_GB2312" w:cs="Times New Roman"/>
          <w:color w:val="auto"/>
          <w:sz w:val="24"/>
          <w:highlight w:val="none"/>
          <w:lang w:val="en-US" w:eastAsia="zh-CN"/>
        </w:rPr>
        <w:t>85.56</w:t>
      </w:r>
      <w:r>
        <w:rPr>
          <w:rFonts w:ascii="Times New Roman" w:hAnsi="Times New Roman" w:eastAsia="仿宋_GB2312" w:cs="Times New Roman"/>
          <w:color w:val="auto"/>
          <w:sz w:val="24"/>
          <w:highlight w:val="none"/>
        </w:rPr>
        <w:t>t，占比约</w:t>
      </w:r>
      <w:r>
        <w:rPr>
          <w:rFonts w:hint="eastAsia" w:ascii="Times New Roman" w:hAnsi="Times New Roman" w:eastAsia="仿宋_GB2312" w:cs="Times New Roman"/>
          <w:color w:val="auto"/>
          <w:sz w:val="24"/>
          <w:highlight w:val="none"/>
          <w:lang w:val="en-US" w:eastAsia="zh-CN"/>
        </w:rPr>
        <w:t>77.56</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rPr>
        <w:t>施工期</w:t>
      </w:r>
      <w:r>
        <w:rPr>
          <w:rFonts w:ascii="Times New Roman" w:hAnsi="Times New Roman" w:eastAsia="仿宋_GB2312" w:cs="Times New Roman"/>
          <w:color w:val="auto"/>
          <w:sz w:val="24"/>
          <w:highlight w:val="none"/>
        </w:rPr>
        <w:t>是水土流失发生的主要时段，井场及附属工程区是水土流失重点区域。</w:t>
      </w:r>
    </w:p>
    <w:p>
      <w:pPr>
        <w:pStyle w:val="8"/>
        <w:rPr>
          <w:rFonts w:ascii="Times New Roman" w:hAnsi="Times New Roman"/>
          <w:color w:val="auto"/>
          <w:highlight w:val="none"/>
        </w:rPr>
      </w:pPr>
      <w:r>
        <w:rPr>
          <w:rFonts w:ascii="Times New Roman" w:hAnsi="Times New Roman"/>
          <w:color w:val="auto"/>
          <w:highlight w:val="none"/>
        </w:rPr>
        <w:t>水土流失破坏水土资源，产生地质灾害隐患并对工程区周边及流域下游地区造成影响，必须加强防治。</w:t>
      </w:r>
    </w:p>
    <w:p>
      <w:pPr>
        <w:pStyle w:val="56"/>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XwBjAHAAXwBCADQATABuAEUAKwByAGEAMwBsAHoANABaAFMAQwBEAHMARABHAFgAZgBkAEUAOQB0
ADcAWQA1ADYAUgBiAE0ALwBQADIAWQBKAFQASgBWAHAAWABlAGIAVwBkAHQANgBRADUAOAA4ADYA
QQA9AD0A
</w:fldData>
        </w:fldChar>
      </w:r>
      <w:r>
        <w:rPr>
          <w:color w:val="auto"/>
        </w:rPr>
        <w:instrText xml:space="preserve">ADDIN _cp_ \* MERGEFORMAT</w:instrText>
      </w:r>
      <w:r>
        <w:rPr>
          <w:rFonts w:ascii="Times New Roman" w:hAnsi="Times New Roman"/>
          <w:color w:val="auto"/>
        </w:rPr>
        <w:fldChar w:fldCharType="separate"/>
      </w:r>
      <w:bookmarkStart w:id="30" w:name="_Toc14737395"/>
      <w:bookmarkStart w:id="31" w:name="_Toc74588725"/>
      <w:bookmarkStart w:id="32" w:name="_Toc74588674"/>
      <w:bookmarkStart w:id="33" w:name="_Toc13426556"/>
      <w:r>
        <w:rPr>
          <w:rFonts w:ascii="Times New Roman" w:hAnsi="Times New Roman"/>
          <w:color w:val="auto"/>
        </w:rPr>
        <w:t>1.8</w:t>
      </w:r>
      <w:r>
        <w:rPr>
          <w:rFonts w:ascii="Times New Roman" w:hAnsi="Times New Roman"/>
          <w:color w:val="auto"/>
        </w:rPr>
        <w:fldChar w:fldCharType="end"/>
      </w:r>
      <w:r>
        <w:rPr>
          <w:rFonts w:ascii="Times New Roman" w:hAnsi="Times New Roman"/>
          <w:color w:val="auto"/>
        </w:rPr>
        <w:t>水土保持措施布设成果</w:t>
      </w:r>
      <w:bookmarkEnd w:id="30"/>
      <w:bookmarkEnd w:id="31"/>
      <w:bookmarkEnd w:id="32"/>
      <w:bookmarkEnd w:id="33"/>
    </w:p>
    <w:p>
      <w:pPr>
        <w:pStyle w:val="8"/>
        <w:ind w:firstLine="480"/>
        <w:rPr>
          <w:rFonts w:ascii="Times New Roman" w:hAnsi="Times New Roman"/>
          <w:color w:val="auto"/>
          <w:highlight w:val="none"/>
        </w:rPr>
      </w:pPr>
      <w:r>
        <w:rPr>
          <w:rFonts w:ascii="Times New Roman" w:hAnsi="Times New Roman"/>
          <w:color w:val="auto"/>
          <w:highlight w:val="none"/>
        </w:rPr>
        <w:t>在实地调查勘测、有关资料收集和数据分析基础上，对项目进行了水土流失防治分区。主要是根据工程项目的不同，将本项目按井场及附属工程区、施工</w:t>
      </w:r>
      <w:r>
        <w:rPr>
          <w:rFonts w:hint="eastAsia" w:ascii="Times New Roman" w:hAnsi="Times New Roman"/>
          <w:color w:val="auto"/>
          <w:highlight w:val="none"/>
          <w:lang w:eastAsia="zh-CN"/>
        </w:rPr>
        <w:t>临时生活区</w:t>
      </w:r>
      <w:r>
        <w:rPr>
          <w:rFonts w:ascii="Times New Roman" w:hAnsi="Times New Roman"/>
          <w:color w:val="auto"/>
          <w:highlight w:val="none"/>
        </w:rPr>
        <w:t>、表土堆放场区、道路工程区共4个防治分区。</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（1）井场及附属工程区</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施工前期，对新建站场工程临时占用耕地</w:t>
      </w:r>
      <w:r>
        <w:rPr>
          <w:rFonts w:hint="eastAsia" w:ascii="Times New Roman" w:hAnsi="Times New Roman" w:eastAsia="仿宋_GB2312" w:cs="Times New Roman"/>
          <w:color w:val="auto"/>
          <w:sz w:val="24"/>
          <w:szCs w:val="24"/>
          <w:highlight w:val="none"/>
          <w:lang w:val="en-US" w:eastAsia="zh-CN"/>
        </w:rPr>
        <w:t>和林地</w:t>
      </w:r>
      <w:r>
        <w:rPr>
          <w:rFonts w:ascii="Times New Roman" w:hAnsi="Times New Roman" w:eastAsia="仿宋_GB2312" w:cs="Times New Roman"/>
          <w:color w:val="auto"/>
          <w:sz w:val="24"/>
          <w:szCs w:val="24"/>
          <w:highlight w:val="none"/>
        </w:rPr>
        <w:t>区域的表土进行剥离并保存，施工临时用地结束后用于复耕覆土；土建工程施工前按照永临结合的方式在站场四周布设临时排水沟，临时排水沟末端布设沉沙池；施工过程中对场内临时堆土、堆料区域或裸露地表采取临时苫盖措施；施工后期将前期临时排水沟建为永久性排水沟；主体工程施工结束后对临时用地区域进行清理和平整、回铺表土后恢复耕地。</w:t>
      </w:r>
    </w:p>
    <w:p>
      <w:pPr>
        <w:pStyle w:val="8"/>
        <w:ind w:firstLine="480"/>
        <w:rPr>
          <w:rFonts w:ascii="Times New Roman" w:hAnsi="Times New Roman"/>
          <w:color w:val="auto"/>
          <w:highlight w:val="none"/>
        </w:rPr>
      </w:pPr>
      <w:r>
        <w:rPr>
          <w:rFonts w:hint="eastAsia" w:ascii="Times New Roman" w:hAnsi="Times New Roman"/>
          <w:color w:val="auto"/>
          <w:highlight w:val="none"/>
          <w:lang w:val="en-US" w:eastAsia="zh-CN"/>
        </w:rPr>
        <w:t>井场及附属工程</w:t>
      </w:r>
      <w:r>
        <w:rPr>
          <w:rFonts w:ascii="Times New Roman" w:hAnsi="Times New Roman"/>
          <w:color w:val="auto"/>
          <w:highlight w:val="none"/>
        </w:rPr>
        <w:t>区水土保持措施如下（带下划线的为主体已有措施）：</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工程措施：</w:t>
      </w:r>
      <w:r>
        <w:rPr>
          <w:rFonts w:hint="eastAsia" w:ascii="Times New Roman" w:hAnsi="Times New Roman" w:eastAsia="仿宋_GB2312" w:cs="Times New Roman"/>
          <w:color w:val="auto"/>
          <w:sz w:val="24"/>
          <w:szCs w:val="24"/>
          <w:highlight w:val="none"/>
          <w:u w:val="single"/>
          <w:lang w:val="en-US" w:eastAsia="zh-CN"/>
        </w:rPr>
        <w:t>场内排水沟285m，场外</w:t>
      </w:r>
      <w:r>
        <w:rPr>
          <w:rFonts w:ascii="Times New Roman" w:hAnsi="Times New Roman" w:eastAsia="仿宋_GB2312" w:cs="Times New Roman"/>
          <w:color w:val="auto"/>
          <w:sz w:val="24"/>
          <w:szCs w:val="24"/>
          <w:highlight w:val="none"/>
          <w:u w:val="single"/>
        </w:rPr>
        <w:t>排水沟</w:t>
      </w:r>
      <w:r>
        <w:rPr>
          <w:rFonts w:hint="eastAsia" w:ascii="Times New Roman" w:hAnsi="Times New Roman" w:eastAsia="仿宋_GB2312" w:cs="Times New Roman"/>
          <w:color w:val="auto"/>
          <w:sz w:val="24"/>
          <w:szCs w:val="24"/>
          <w:highlight w:val="none"/>
          <w:u w:val="single"/>
          <w:lang w:val="en-US" w:eastAsia="zh-CN"/>
        </w:rPr>
        <w:t>433</w:t>
      </w:r>
      <w:r>
        <w:rPr>
          <w:rFonts w:ascii="Times New Roman" w:hAnsi="Times New Roman" w:eastAsia="仿宋_GB2312" w:cs="Times New Roman"/>
          <w:color w:val="auto"/>
          <w:sz w:val="24"/>
          <w:szCs w:val="24"/>
          <w:highlight w:val="none"/>
          <w:u w:val="single"/>
        </w:rPr>
        <w:t>m，表土剥离0.</w:t>
      </w:r>
      <w:r>
        <w:rPr>
          <w:rFonts w:hint="eastAsia" w:ascii="Times New Roman" w:hAnsi="Times New Roman" w:eastAsia="仿宋_GB2312" w:cs="Times New Roman"/>
          <w:color w:val="auto"/>
          <w:sz w:val="24"/>
          <w:szCs w:val="24"/>
          <w:highlight w:val="none"/>
          <w:u w:val="single"/>
          <w:lang w:val="en-US" w:eastAsia="zh-CN"/>
        </w:rPr>
        <w:t>45</w:t>
      </w:r>
      <w:r>
        <w:rPr>
          <w:rFonts w:ascii="Times New Roman" w:hAnsi="Times New Roman" w:eastAsia="仿宋_GB2312" w:cs="Times New Roman"/>
          <w:color w:val="auto"/>
          <w:sz w:val="24"/>
          <w:szCs w:val="24"/>
          <w:highlight w:val="none"/>
          <w:u w:val="single"/>
        </w:rPr>
        <w:t>万m</w:t>
      </w:r>
      <w:r>
        <w:rPr>
          <w:rFonts w:ascii="Times New Roman" w:hAnsi="Times New Roman" w:eastAsia="仿宋_GB2312" w:cs="Times New Roman"/>
          <w:color w:val="auto"/>
          <w:sz w:val="24"/>
          <w:szCs w:val="24"/>
          <w:highlight w:val="none"/>
          <w:u w:val="single"/>
          <w:vertAlign w:val="superscript"/>
        </w:rPr>
        <w:t>3</w:t>
      </w:r>
      <w:r>
        <w:rPr>
          <w:rFonts w:ascii="Times New Roman" w:hAnsi="Times New Roman" w:eastAsia="仿宋_GB2312" w:cs="Times New Roman"/>
          <w:color w:val="auto"/>
          <w:sz w:val="24"/>
          <w:szCs w:val="24"/>
          <w:highlight w:val="none"/>
          <w:u w:val="single"/>
        </w:rPr>
        <w:t>，</w:t>
      </w:r>
      <w:r>
        <w:rPr>
          <w:rFonts w:ascii="Times New Roman" w:hAnsi="Times New Roman" w:eastAsia="仿宋_GB2312" w:cs="Times New Roman"/>
          <w:color w:val="auto"/>
          <w:sz w:val="24"/>
          <w:szCs w:val="24"/>
          <w:highlight w:val="none"/>
        </w:rPr>
        <w:t>表土回覆0</w:t>
      </w:r>
      <w:r>
        <w:rPr>
          <w:rFonts w:hint="eastAsia" w:ascii="Times New Roman" w:hAnsi="Times New Roman" w:eastAsia="仿宋_GB2312" w:cs="Times New Roman"/>
          <w:color w:val="auto"/>
          <w:sz w:val="24"/>
          <w:szCs w:val="24"/>
          <w:highlight w:val="none"/>
          <w:lang w:val="en-US" w:eastAsia="zh-CN"/>
        </w:rPr>
        <w:t>.44</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，土地整治</w:t>
      </w:r>
      <w:r>
        <w:rPr>
          <w:rFonts w:hint="eastAsia" w:ascii="Times New Roman" w:hAnsi="Times New Roman" w:eastAsia="仿宋_GB2312" w:cs="Times New Roman"/>
          <w:color w:val="auto"/>
          <w:sz w:val="24"/>
          <w:szCs w:val="24"/>
          <w:highlight w:val="none"/>
          <w:lang w:val="en-US" w:eastAsia="zh-CN"/>
        </w:rPr>
        <w:t>1.13</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，复耕</w:t>
      </w:r>
      <w:r>
        <w:rPr>
          <w:rFonts w:hint="eastAsia" w:ascii="Times New Roman" w:hAnsi="Times New Roman" w:eastAsia="仿宋_GB2312" w:cs="Times New Roman"/>
          <w:color w:val="auto"/>
          <w:sz w:val="24"/>
          <w:szCs w:val="24"/>
          <w:highlight w:val="none"/>
          <w:lang w:val="en-US" w:eastAsia="zh-CN"/>
        </w:rPr>
        <w:t>1.13</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植物措施：</w:t>
      </w:r>
      <w:r>
        <w:rPr>
          <w:rFonts w:hint="eastAsia" w:ascii="Times New Roman" w:hAnsi="Times New Roman" w:eastAsia="仿宋_GB2312" w:cs="Times New Roman"/>
          <w:color w:val="auto"/>
          <w:sz w:val="24"/>
          <w:szCs w:val="24"/>
          <w:highlight w:val="none"/>
          <w:u w:val="single"/>
          <w:lang w:val="en-US" w:eastAsia="zh-CN"/>
        </w:rPr>
        <w:t>撒播草籽900</w:t>
      </w:r>
      <w:r>
        <w:rPr>
          <w:rFonts w:ascii="Times New Roman" w:hAnsi="Times New Roman" w:eastAsia="仿宋_GB2312" w:cs="Times New Roman"/>
          <w:color w:val="auto"/>
          <w:sz w:val="24"/>
          <w:szCs w:val="24"/>
          <w:highlight w:val="none"/>
          <w:u w:val="single"/>
        </w:rPr>
        <w:t>m</w:t>
      </w:r>
      <w:r>
        <w:rPr>
          <w:rFonts w:ascii="Times New Roman" w:hAnsi="Times New Roman" w:eastAsia="仿宋_GB2312" w:cs="Times New Roman"/>
          <w:color w:val="auto"/>
          <w:sz w:val="24"/>
          <w:szCs w:val="24"/>
          <w:highlight w:val="none"/>
          <w:u w:val="single"/>
          <w:vertAlign w:val="superscript"/>
        </w:rPr>
        <w:t>2</w:t>
      </w:r>
      <w:r>
        <w:rPr>
          <w:rFonts w:ascii="Times New Roman" w:hAnsi="Times New Roman" w:eastAsia="仿宋_GB2312" w:cs="Times New Roman"/>
          <w:color w:val="auto"/>
          <w:sz w:val="24"/>
          <w:szCs w:val="24"/>
          <w:highlight w:val="none"/>
          <w:u w:val="single"/>
        </w:rPr>
        <w:t>；</w:t>
      </w:r>
      <w:r>
        <w:rPr>
          <w:rFonts w:ascii="Times New Roman" w:hAnsi="Times New Roman" w:eastAsia="仿宋_GB2312" w:cs="Times New Roman"/>
          <w:color w:val="auto"/>
          <w:sz w:val="24"/>
          <w:szCs w:val="24"/>
          <w:highlight w:val="none"/>
        </w:rPr>
        <w:t xml:space="preserve"> </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临时措施：临时土质排水沟</w:t>
      </w:r>
      <w:r>
        <w:rPr>
          <w:rFonts w:hint="eastAsia" w:ascii="Times New Roman" w:hAnsi="Times New Roman" w:eastAsia="仿宋_GB2312" w:cs="Times New Roman"/>
          <w:color w:val="auto"/>
          <w:sz w:val="24"/>
          <w:szCs w:val="24"/>
          <w:highlight w:val="none"/>
          <w:lang w:val="en-US" w:eastAsia="zh-CN"/>
        </w:rPr>
        <w:t>435</w:t>
      </w:r>
      <w:r>
        <w:rPr>
          <w:rFonts w:ascii="Times New Roman" w:hAnsi="Times New Roman" w:eastAsia="仿宋_GB2312" w:cs="Times New Roman"/>
          <w:color w:val="auto"/>
          <w:sz w:val="24"/>
          <w:szCs w:val="24"/>
          <w:highlight w:val="none"/>
        </w:rPr>
        <w:t>m，临时沉砂池</w:t>
      </w:r>
      <w:r>
        <w:rPr>
          <w:rFonts w:hint="eastAsia" w:ascii="Times New Roman" w:hAnsi="Times New Roman" w:eastAsia="仿宋_GB2312" w:cs="Times New Roman"/>
          <w:color w:val="auto"/>
          <w:sz w:val="24"/>
          <w:szCs w:val="24"/>
          <w:highlight w:val="none"/>
          <w:lang w:val="en-US" w:eastAsia="zh-CN"/>
        </w:rPr>
        <w:t>4</w:t>
      </w:r>
      <w:r>
        <w:rPr>
          <w:rFonts w:ascii="Times New Roman" w:hAnsi="Times New Roman" w:eastAsia="仿宋_GB2312" w:cs="Times New Roman"/>
          <w:color w:val="auto"/>
          <w:sz w:val="24"/>
          <w:szCs w:val="24"/>
          <w:highlight w:val="none"/>
        </w:rPr>
        <w:t>个，彩条布苫盖</w:t>
      </w:r>
      <w:r>
        <w:rPr>
          <w:rFonts w:hint="eastAsia" w:ascii="Times New Roman" w:hAnsi="Times New Roman" w:eastAsia="仿宋_GB2312" w:cs="Times New Roman"/>
          <w:color w:val="auto"/>
          <w:sz w:val="24"/>
          <w:szCs w:val="24"/>
          <w:highlight w:val="none"/>
          <w:lang w:val="en-US" w:eastAsia="zh-CN"/>
        </w:rPr>
        <w:t>900</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2</w:t>
      </w:r>
      <w:r>
        <w:rPr>
          <w:rFonts w:ascii="Times New Roman" w:hAnsi="Times New Roman" w:eastAsia="仿宋_GB2312" w:cs="Times New Roman"/>
          <w:color w:val="auto"/>
          <w:sz w:val="24"/>
          <w:szCs w:val="24"/>
          <w:highlight w:val="none"/>
        </w:rPr>
        <w:t>。</w:t>
      </w:r>
    </w:p>
    <w:p>
      <w:pPr>
        <w:numPr>
          <w:ilvl w:val="0"/>
          <w:numId w:val="2"/>
        </w:numPr>
        <w:adjustRightInd w:val="0"/>
        <w:snapToGrid w:val="0"/>
        <w:spacing w:line="360" w:lineRule="auto"/>
        <w:ind w:left="-60" w:leftChars="0" w:firstLine="480" w:firstLineChars="0"/>
        <w:rPr>
          <w:rFonts w:hint="eastAsia" w:ascii="Times New Roman" w:hAnsi="Times New Roman" w:eastAsia="仿宋_GB2312" w:cs="Times New Roman"/>
          <w:color w:val="auto"/>
          <w:sz w:val="24"/>
          <w:szCs w:val="24"/>
          <w:highlight w:val="none"/>
          <w:lang w:eastAsia="zh-CN"/>
        </w:rPr>
      </w:pPr>
      <w:r>
        <w:rPr>
          <w:rFonts w:ascii="Times New Roman" w:hAnsi="Times New Roman" w:eastAsia="仿宋_GB2312" w:cs="Times New Roman"/>
          <w:color w:val="auto"/>
          <w:sz w:val="24"/>
          <w:szCs w:val="24"/>
          <w:highlight w:val="none"/>
        </w:rPr>
        <w:t>施工</w:t>
      </w:r>
      <w:r>
        <w:rPr>
          <w:rFonts w:hint="eastAsia" w:ascii="Times New Roman" w:hAnsi="Times New Roman" w:eastAsia="仿宋_GB2312" w:cs="Times New Roman"/>
          <w:color w:val="auto"/>
          <w:sz w:val="24"/>
          <w:szCs w:val="24"/>
          <w:highlight w:val="none"/>
          <w:lang w:eastAsia="zh-CN"/>
        </w:rPr>
        <w:t>临时生活区</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highlight w:val="none"/>
        </w:rPr>
        <w:t>施工</w:t>
      </w:r>
      <w:r>
        <w:rPr>
          <w:rFonts w:hint="eastAsia" w:ascii="Times New Roman" w:hAnsi="Times New Roman" w:eastAsia="仿宋_GB2312" w:cs="Times New Roman"/>
          <w:color w:val="auto"/>
          <w:sz w:val="24"/>
          <w:highlight w:val="none"/>
          <w:lang w:eastAsia="zh-CN"/>
        </w:rPr>
        <w:t>临时生活区</w:t>
      </w:r>
      <w:r>
        <w:rPr>
          <w:rFonts w:hint="eastAsia" w:ascii="Times New Roman" w:hAnsi="Times New Roman" w:eastAsia="仿宋_GB2312" w:cs="Times New Roman"/>
          <w:color w:val="auto"/>
          <w:sz w:val="24"/>
          <w:highlight w:val="none"/>
          <w:lang w:val="en-US" w:eastAsia="zh-CN"/>
        </w:rPr>
        <w:t>基本未</w:t>
      </w:r>
      <w:r>
        <w:rPr>
          <w:rFonts w:ascii="Times New Roman" w:hAnsi="Times New Roman" w:eastAsia="仿宋_GB2312" w:cs="Times New Roman"/>
          <w:color w:val="auto"/>
          <w:sz w:val="24"/>
          <w:highlight w:val="none"/>
        </w:rPr>
        <w:t>涉及土石方开挖工程，</w:t>
      </w:r>
      <w:r>
        <w:rPr>
          <w:rFonts w:hint="eastAsia" w:ascii="Times New Roman" w:hAnsi="Times New Roman" w:eastAsia="仿宋_GB2312" w:cs="Times New Roman"/>
          <w:color w:val="auto"/>
          <w:sz w:val="24"/>
          <w:highlight w:val="none"/>
          <w:lang w:val="en-US" w:eastAsia="zh-CN"/>
        </w:rPr>
        <w:t>仅场平时对部分位置进行平整及回填、</w:t>
      </w:r>
      <w:r>
        <w:rPr>
          <w:rFonts w:ascii="Times New Roman" w:hAnsi="Times New Roman" w:eastAsia="仿宋_GB2312" w:cs="Times New Roman"/>
          <w:color w:val="auto"/>
          <w:sz w:val="24"/>
          <w:highlight w:val="none"/>
        </w:rPr>
        <w:t>造成水土流失影响因素主要是踩踏、占压等，水土流失强度相对较小</w:t>
      </w:r>
      <w:r>
        <w:rPr>
          <w:rFonts w:ascii="Times New Roman" w:hAnsi="Times New Roman" w:eastAsia="仿宋_GB2312" w:cs="Times New Roman"/>
          <w:color w:val="auto"/>
          <w:sz w:val="24"/>
          <w:szCs w:val="24"/>
          <w:highlight w:val="none"/>
        </w:rPr>
        <w:t>；工程施工结束后对临时用地区域进行清理和平整、回铺表土后恢复耕地。</w:t>
      </w:r>
    </w:p>
    <w:p>
      <w:pPr>
        <w:pStyle w:val="8"/>
        <w:ind w:firstLine="48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施工临时生活区水土保持措施如下（带下划线的为主体已有措施）：</w:t>
      </w:r>
    </w:p>
    <w:p>
      <w:pPr>
        <w:pStyle w:val="8"/>
        <w:ind w:firstLine="48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工程措施：</w:t>
      </w:r>
      <w:r>
        <w:rPr>
          <w:rFonts w:hint="eastAsia"/>
          <w:color w:val="auto"/>
          <w:highlight w:val="none"/>
          <w:u w:val="single"/>
          <w:lang w:val="en-US" w:eastAsia="zh-CN"/>
        </w:rPr>
        <w:t>排水沟135m，</w:t>
      </w:r>
      <w:r>
        <w:rPr>
          <w:rFonts w:hint="eastAsia" w:ascii="Times New Roman" w:hAnsi="Times New Roman"/>
          <w:color w:val="auto"/>
          <w:highlight w:val="none"/>
          <w:lang w:val="en-US" w:eastAsia="zh-CN"/>
        </w:rPr>
        <w:t>土地整治0.</w:t>
      </w:r>
      <w:r>
        <w:rPr>
          <w:rFonts w:hint="eastAsia"/>
          <w:color w:val="auto"/>
          <w:highlight w:val="none"/>
          <w:lang w:val="en-US" w:eastAsia="zh-CN"/>
        </w:rPr>
        <w:t>23hm</w:t>
      </w:r>
      <w:r>
        <w:rPr>
          <w:rFonts w:hint="eastAsia"/>
          <w:color w:val="auto"/>
          <w:highlight w:val="none"/>
          <w:vertAlign w:val="superscript"/>
          <w:lang w:val="en-US" w:eastAsia="zh-CN"/>
        </w:rPr>
        <w:t>2</w:t>
      </w:r>
      <w:r>
        <w:rPr>
          <w:rFonts w:hint="eastAsia" w:ascii="Times New Roman" w:hAnsi="Times New Roman"/>
          <w:color w:val="auto"/>
          <w:highlight w:val="none"/>
          <w:lang w:val="en-US" w:eastAsia="zh-CN"/>
        </w:rPr>
        <w:t>，复耕0.</w:t>
      </w:r>
      <w:r>
        <w:rPr>
          <w:rFonts w:hint="eastAsia"/>
          <w:color w:val="auto"/>
          <w:highlight w:val="none"/>
          <w:lang w:val="en-US" w:eastAsia="zh-CN"/>
        </w:rPr>
        <w:t>16hm</w:t>
      </w:r>
      <w:r>
        <w:rPr>
          <w:rFonts w:hint="eastAsia"/>
          <w:color w:val="auto"/>
          <w:highlight w:val="none"/>
          <w:vertAlign w:val="superscript"/>
          <w:lang w:val="en-US" w:eastAsia="zh-CN"/>
        </w:rPr>
        <w:t>2</w:t>
      </w:r>
      <w:r>
        <w:rPr>
          <w:rFonts w:hint="eastAsia" w:ascii="Times New Roman" w:hAnsi="Times New Roman"/>
          <w:color w:val="auto"/>
          <w:highlight w:val="none"/>
          <w:lang w:val="en-US" w:eastAsia="zh-CN"/>
        </w:rPr>
        <w:t>；</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临时措施：土工布铺垫</w:t>
      </w:r>
      <w:r>
        <w:rPr>
          <w:rFonts w:hint="eastAsia" w:ascii="Times New Roman" w:hAnsi="Times New Roman" w:eastAsia="仿宋_GB2312" w:cs="Times New Roman"/>
          <w:color w:val="auto"/>
          <w:sz w:val="24"/>
          <w:szCs w:val="24"/>
          <w:highlight w:val="none"/>
          <w:lang w:val="en-US" w:eastAsia="zh-CN"/>
        </w:rPr>
        <w:t>1130</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2</w:t>
      </w:r>
      <w:r>
        <w:rPr>
          <w:rFonts w:ascii="Times New Roman" w:hAnsi="Times New Roman" w:eastAsia="仿宋_GB2312" w:cs="Times New Roman"/>
          <w:color w:val="auto"/>
          <w:sz w:val="24"/>
          <w:szCs w:val="24"/>
          <w:highlight w:val="none"/>
        </w:rPr>
        <w:t>，临时沉砂池</w:t>
      </w:r>
      <w:r>
        <w:rPr>
          <w:rFonts w:hint="eastAsia" w:ascii="Times New Roman" w:hAnsi="Times New Roman" w:eastAsia="仿宋_GB2312" w:cs="Times New Roman"/>
          <w:color w:val="auto"/>
          <w:sz w:val="24"/>
          <w:szCs w:val="24"/>
          <w:highlight w:val="none"/>
          <w:lang w:val="en-US" w:eastAsia="zh-CN"/>
        </w:rPr>
        <w:t>1</w:t>
      </w:r>
      <w:r>
        <w:rPr>
          <w:rFonts w:ascii="Times New Roman" w:hAnsi="Times New Roman" w:eastAsia="仿宋_GB2312" w:cs="Times New Roman"/>
          <w:color w:val="auto"/>
          <w:sz w:val="24"/>
          <w:szCs w:val="24"/>
          <w:highlight w:val="none"/>
        </w:rPr>
        <w:t>个。</w:t>
      </w:r>
    </w:p>
    <w:p>
      <w:pPr>
        <w:numPr>
          <w:ilvl w:val="0"/>
          <w:numId w:val="2"/>
        </w:numPr>
        <w:adjustRightInd w:val="0"/>
        <w:snapToGrid w:val="0"/>
        <w:spacing w:line="360" w:lineRule="auto"/>
        <w:ind w:left="-60" w:leftChars="0" w:firstLine="480" w:firstLineChars="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表土堆放场区</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表土堆放场主体工程设计了坡面和顶面临时植草绿化</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坡脚设置拦挡</w:t>
      </w:r>
      <w:r>
        <w:rPr>
          <w:rFonts w:ascii="Times New Roman" w:hAnsi="Times New Roman" w:eastAsia="仿宋_GB2312" w:cs="Times New Roman"/>
          <w:color w:val="auto"/>
          <w:sz w:val="24"/>
          <w:highlight w:val="none"/>
        </w:rPr>
        <w:t>等防护措施，方案新增土地整治、临时遮盖等防护措施。</w:t>
      </w:r>
      <w:r>
        <w:rPr>
          <w:rFonts w:hint="eastAsia" w:ascii="Times New Roman" w:hAnsi="Times New Roman" w:eastAsia="仿宋_GB2312" w:cs="Times New Roman"/>
          <w:color w:val="auto"/>
          <w:sz w:val="24"/>
          <w:highlight w:val="none"/>
          <w:lang w:val="en-US" w:eastAsia="zh-CN"/>
        </w:rPr>
        <w:t>施工时对堆放的表土实施绿化及临时防护措施；</w:t>
      </w:r>
      <w:r>
        <w:rPr>
          <w:rFonts w:ascii="Times New Roman" w:hAnsi="Times New Roman" w:eastAsia="仿宋_GB2312" w:cs="Times New Roman"/>
          <w:color w:val="auto"/>
          <w:sz w:val="24"/>
          <w:highlight w:val="none"/>
        </w:rPr>
        <w:t>工程施工结束后，对堆放场采取土地整治即可交还给土地权属人进行耕种。</w:t>
      </w:r>
    </w:p>
    <w:p>
      <w:pPr>
        <w:pStyle w:val="8"/>
        <w:ind w:firstLine="480"/>
        <w:rPr>
          <w:rFonts w:hint="eastAsia" w:ascii="Times New Roman" w:hAnsi="Times New Roman"/>
          <w:color w:val="auto"/>
          <w:highlight w:val="none"/>
          <w:lang w:val="en-US" w:eastAsia="zh-CN"/>
        </w:rPr>
      </w:pPr>
      <w:r>
        <w:rPr>
          <w:rFonts w:hint="eastAsia"/>
          <w:color w:val="auto"/>
          <w:highlight w:val="none"/>
          <w:lang w:val="en-US" w:eastAsia="zh-CN"/>
        </w:rPr>
        <w:t>表土堆放场区</w:t>
      </w:r>
      <w:r>
        <w:rPr>
          <w:rFonts w:hint="eastAsia" w:ascii="Times New Roman" w:hAnsi="Times New Roman"/>
          <w:color w:val="auto"/>
          <w:highlight w:val="none"/>
          <w:lang w:val="en-US" w:eastAsia="zh-CN"/>
        </w:rPr>
        <w:t>水土保持措施如下（带下划线的为主体已有措施）：</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工程措施：土地整治0.10hm</w:t>
      </w:r>
      <w:r>
        <w:rPr>
          <w:rFonts w:hint="eastAsia" w:ascii="Times New Roman" w:hAnsi="Times New Roman"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，复耕0.10hm</w:t>
      </w:r>
      <w:r>
        <w:rPr>
          <w:rFonts w:hint="eastAsia" w:ascii="Times New Roman" w:hAnsi="Times New Roman"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w:t>
      </w:r>
    </w:p>
    <w:p>
      <w:pPr>
        <w:adjustRightInd w:val="0"/>
        <w:snapToGrid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临时措施：</w:t>
      </w:r>
      <w:r>
        <w:rPr>
          <w:rFonts w:hint="eastAsia" w:ascii="Times New Roman" w:hAnsi="Times New Roman" w:eastAsia="仿宋_GB2312" w:cs="Times New Roman"/>
          <w:color w:val="auto"/>
          <w:sz w:val="24"/>
          <w:szCs w:val="24"/>
          <w:highlight w:val="none"/>
          <w:u w:val="single"/>
          <w:lang w:val="en-US" w:eastAsia="zh-CN"/>
        </w:rPr>
        <w:t>临时填土编织袋拦挡562.5m</w:t>
      </w:r>
      <w:r>
        <w:rPr>
          <w:rFonts w:hint="eastAsia" w:ascii="Times New Roman" w:hAnsi="Times New Roman" w:eastAsia="仿宋_GB2312" w:cs="Times New Roman"/>
          <w:color w:val="auto"/>
          <w:sz w:val="24"/>
          <w:szCs w:val="24"/>
          <w:highlight w:val="none"/>
          <w:u w:val="single"/>
          <w:vertAlign w:val="superscript"/>
          <w:lang w:val="en-US" w:eastAsia="zh-CN"/>
        </w:rPr>
        <w:t>3</w:t>
      </w:r>
      <w:r>
        <w:rPr>
          <w:rFonts w:hint="eastAsia" w:ascii="Times New Roman" w:hAnsi="Times New Roman" w:eastAsia="仿宋_GB2312" w:cs="Times New Roman"/>
          <w:color w:val="auto"/>
          <w:sz w:val="24"/>
          <w:szCs w:val="24"/>
          <w:highlight w:val="none"/>
          <w:u w:val="single"/>
          <w:lang w:val="en-US" w:eastAsia="zh-CN"/>
        </w:rPr>
        <w:t>、临时绿化1490m</w:t>
      </w:r>
      <w:r>
        <w:rPr>
          <w:rFonts w:hint="eastAsia" w:ascii="Times New Roman" w:hAnsi="Times New Roman" w:eastAsia="仿宋_GB2312" w:cs="Times New Roman"/>
          <w:color w:val="auto"/>
          <w:sz w:val="24"/>
          <w:szCs w:val="24"/>
          <w:highlight w:val="none"/>
          <w:u w:val="singl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，彩条布苫盖1490m</w:t>
      </w:r>
      <w:r>
        <w:rPr>
          <w:rFonts w:hint="eastAsia" w:ascii="Times New Roman" w:hAnsi="Times New Roman" w:eastAsia="仿宋_GB2312" w:cs="Times New Roman"/>
          <w:color w:val="auto"/>
          <w:sz w:val="24"/>
          <w:szCs w:val="24"/>
          <w:highlight w:val="none"/>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，临时填土编织袋拆除562.5m</w:t>
      </w:r>
      <w:r>
        <w:rPr>
          <w:rFonts w:hint="eastAsia" w:ascii="Times New Roman" w:hAnsi="Times New Roman"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（4）道路工程区</w:t>
      </w:r>
    </w:p>
    <w:p>
      <w:pPr>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ascii="Times New Roman" w:hAnsi="Times New Roman" w:eastAsia="仿宋_GB2312" w:cs="Times New Roman"/>
          <w:color w:val="auto"/>
          <w:sz w:val="24"/>
          <w:highlight w:val="none"/>
        </w:rPr>
        <w:t>施工前期，</w:t>
      </w:r>
      <w:r>
        <w:rPr>
          <w:rFonts w:ascii="Times New Roman" w:hAnsi="Times New Roman" w:eastAsia="仿宋_GB2312" w:cs="Times New Roman"/>
          <w:color w:val="auto"/>
          <w:kern w:val="0"/>
          <w:sz w:val="24"/>
          <w:szCs w:val="24"/>
          <w:highlight w:val="none"/>
        </w:rPr>
        <w:t>对新建施工便道</w:t>
      </w:r>
      <w:r>
        <w:rPr>
          <w:rFonts w:hint="eastAsia" w:ascii="Times New Roman" w:hAnsi="Times New Roman" w:eastAsia="仿宋_GB2312" w:cs="Times New Roman"/>
          <w:color w:val="auto"/>
          <w:kern w:val="0"/>
          <w:sz w:val="24"/>
          <w:szCs w:val="24"/>
          <w:highlight w:val="none"/>
          <w:lang w:val="en-US" w:eastAsia="zh-CN"/>
        </w:rPr>
        <w:t>及改建道路</w:t>
      </w:r>
      <w:r>
        <w:rPr>
          <w:rFonts w:ascii="Times New Roman" w:hAnsi="Times New Roman" w:eastAsia="仿宋_GB2312" w:cs="Times New Roman"/>
          <w:color w:val="auto"/>
          <w:kern w:val="0"/>
          <w:sz w:val="24"/>
          <w:szCs w:val="24"/>
          <w:highlight w:val="none"/>
        </w:rPr>
        <w:t>占用</w:t>
      </w:r>
      <w:r>
        <w:rPr>
          <w:rFonts w:ascii="Times New Roman" w:hAnsi="Times New Roman" w:eastAsia="仿宋_GB2312" w:cs="Times New Roman"/>
          <w:color w:val="auto"/>
          <w:sz w:val="24"/>
          <w:highlight w:val="none"/>
        </w:rPr>
        <w:t>耕地区域进行表土剥离并堆存保护，在施工道路陡坡一侧及临时堆土坡脚设置临时排水沟对雨水进行拦截和排导，出口设临时沉沙池；在堆土坡顶、坡面采用彩条布临时遮盖措施</w:t>
      </w:r>
      <w:r>
        <w:rPr>
          <w:rFonts w:hint="eastAsia" w:ascii="Times New Roman" w:hAnsi="Times New Roman" w:eastAsia="仿宋_GB2312" w:cs="Times New Roman"/>
          <w:color w:val="auto"/>
          <w:sz w:val="24"/>
          <w:highlight w:val="none"/>
          <w:lang w:val="en-US" w:eastAsia="zh-CN"/>
        </w:rPr>
        <w:t>。</w:t>
      </w:r>
    </w:p>
    <w:p>
      <w:pPr>
        <w:pStyle w:val="8"/>
        <w:ind w:firstLine="480"/>
        <w:rPr>
          <w:rFonts w:hint="eastAsia" w:ascii="Times New Roman" w:hAnsi="Times New Roman"/>
          <w:color w:val="auto"/>
          <w:highlight w:val="none"/>
          <w:lang w:val="en-US" w:eastAsia="zh-CN"/>
        </w:rPr>
      </w:pPr>
      <w:r>
        <w:rPr>
          <w:rFonts w:hint="eastAsia"/>
          <w:color w:val="auto"/>
          <w:highlight w:val="none"/>
          <w:lang w:val="en-US" w:eastAsia="zh-CN"/>
        </w:rPr>
        <w:t>道路工程区</w:t>
      </w:r>
      <w:r>
        <w:rPr>
          <w:rFonts w:hint="eastAsia" w:ascii="Times New Roman" w:hAnsi="Times New Roman"/>
          <w:color w:val="auto"/>
          <w:highlight w:val="none"/>
          <w:lang w:val="en-US" w:eastAsia="zh-CN"/>
        </w:rPr>
        <w:t>水土保持措施如下（带下划线的为主体已有措施）：</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工程措施：</w:t>
      </w:r>
      <w:r>
        <w:rPr>
          <w:rFonts w:hint="eastAsia" w:ascii="Times New Roman" w:hAnsi="Times New Roman" w:eastAsia="仿宋_GB2312" w:cs="Times New Roman"/>
          <w:color w:val="auto"/>
          <w:sz w:val="24"/>
          <w:szCs w:val="24"/>
          <w:highlight w:val="none"/>
          <w:u w:val="single"/>
          <w:lang w:val="en-US" w:eastAsia="zh-CN"/>
        </w:rPr>
        <w:t>排水沟208m，</w:t>
      </w:r>
      <w:r>
        <w:rPr>
          <w:rFonts w:ascii="Times New Roman" w:hAnsi="Times New Roman" w:eastAsia="仿宋_GB2312" w:cs="Times New Roman"/>
          <w:color w:val="auto"/>
          <w:sz w:val="24"/>
          <w:szCs w:val="24"/>
          <w:highlight w:val="none"/>
          <w:u w:val="none"/>
        </w:rPr>
        <w:t>表土剥离0.</w:t>
      </w:r>
      <w:r>
        <w:rPr>
          <w:rFonts w:hint="eastAsia" w:ascii="Times New Roman" w:hAnsi="Times New Roman" w:eastAsia="仿宋_GB2312" w:cs="Times New Roman"/>
          <w:color w:val="auto"/>
          <w:sz w:val="24"/>
          <w:szCs w:val="24"/>
          <w:highlight w:val="none"/>
          <w:u w:val="none"/>
          <w:lang w:val="en-US" w:eastAsia="zh-CN"/>
        </w:rPr>
        <w:t>09</w:t>
      </w:r>
      <w:r>
        <w:rPr>
          <w:rFonts w:ascii="Times New Roman" w:hAnsi="Times New Roman" w:eastAsia="仿宋_GB2312" w:cs="Times New Roman"/>
          <w:color w:val="auto"/>
          <w:sz w:val="24"/>
          <w:szCs w:val="24"/>
          <w:highlight w:val="none"/>
          <w:u w:val="none"/>
        </w:rPr>
        <w:t>万m</w:t>
      </w:r>
      <w:r>
        <w:rPr>
          <w:rFonts w:ascii="Times New Roman" w:hAnsi="Times New Roman" w:eastAsia="仿宋_GB2312" w:cs="Times New Roman"/>
          <w:color w:val="auto"/>
          <w:sz w:val="24"/>
          <w:szCs w:val="24"/>
          <w:highlight w:val="none"/>
          <w:u w:val="none"/>
          <w:vertAlign w:val="superscript"/>
        </w:rPr>
        <w:t>3</w:t>
      </w:r>
      <w:r>
        <w:rPr>
          <w:rFonts w:ascii="Times New Roman" w:hAnsi="Times New Roman" w:eastAsia="仿宋_GB2312" w:cs="Times New Roman"/>
          <w:color w:val="auto"/>
          <w:sz w:val="24"/>
          <w:szCs w:val="24"/>
          <w:highlight w:val="none"/>
          <w:u w:val="none"/>
        </w:rPr>
        <w:t>，</w:t>
      </w:r>
      <w:r>
        <w:rPr>
          <w:rFonts w:ascii="Times New Roman" w:hAnsi="Times New Roman" w:eastAsia="仿宋_GB2312" w:cs="Times New Roman"/>
          <w:color w:val="auto"/>
          <w:sz w:val="24"/>
          <w:szCs w:val="24"/>
          <w:highlight w:val="none"/>
        </w:rPr>
        <w:t>表土回覆0.</w:t>
      </w:r>
      <w:r>
        <w:rPr>
          <w:rFonts w:hint="eastAsia" w:ascii="Times New Roman" w:hAnsi="Times New Roman" w:eastAsia="仿宋_GB2312" w:cs="Times New Roman"/>
          <w:color w:val="auto"/>
          <w:sz w:val="24"/>
          <w:szCs w:val="24"/>
          <w:highlight w:val="none"/>
          <w:lang w:val="en-US" w:eastAsia="zh-CN"/>
        </w:rPr>
        <w:t>10</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，土地整治</w:t>
      </w:r>
      <w:r>
        <w:rPr>
          <w:rFonts w:hint="eastAsia" w:ascii="Times New Roman" w:hAnsi="Times New Roman" w:eastAsia="仿宋_GB2312" w:cs="Times New Roman"/>
          <w:color w:val="auto"/>
          <w:sz w:val="24"/>
          <w:szCs w:val="24"/>
          <w:highlight w:val="none"/>
          <w:lang w:val="en-US" w:eastAsia="zh-CN"/>
        </w:rPr>
        <w:t>0.30h</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2</w:t>
      </w:r>
      <w:r>
        <w:rPr>
          <w:rFonts w:ascii="Times New Roman" w:hAnsi="Times New Roman" w:eastAsia="仿宋_GB2312" w:cs="Times New Roman"/>
          <w:color w:val="auto"/>
          <w:sz w:val="24"/>
          <w:szCs w:val="24"/>
          <w:highlight w:val="none"/>
        </w:rPr>
        <w:t>；</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临时措施：临时沉砂池</w:t>
      </w:r>
      <w:r>
        <w:rPr>
          <w:rFonts w:hint="eastAsia" w:ascii="Times New Roman" w:hAnsi="Times New Roman" w:eastAsia="仿宋_GB2312" w:cs="Times New Roman"/>
          <w:color w:val="auto"/>
          <w:sz w:val="24"/>
          <w:szCs w:val="24"/>
          <w:highlight w:val="none"/>
          <w:lang w:val="en-US" w:eastAsia="zh-CN"/>
        </w:rPr>
        <w:t>2</w:t>
      </w:r>
      <w:r>
        <w:rPr>
          <w:rFonts w:ascii="Times New Roman" w:hAnsi="Times New Roman" w:eastAsia="仿宋_GB2312" w:cs="Times New Roman"/>
          <w:color w:val="auto"/>
          <w:sz w:val="24"/>
          <w:szCs w:val="24"/>
          <w:highlight w:val="none"/>
        </w:rPr>
        <w:t>个，彩条布苫盖</w:t>
      </w:r>
      <w:r>
        <w:rPr>
          <w:rFonts w:hint="eastAsia" w:ascii="Times New Roman" w:hAnsi="Times New Roman" w:eastAsia="仿宋_GB2312" w:cs="Times New Roman"/>
          <w:color w:val="auto"/>
          <w:sz w:val="24"/>
          <w:szCs w:val="24"/>
          <w:highlight w:val="none"/>
          <w:lang w:val="en-US" w:eastAsia="zh-CN"/>
        </w:rPr>
        <w:t>4</w:t>
      </w:r>
      <w:r>
        <w:rPr>
          <w:rFonts w:ascii="Times New Roman" w:hAnsi="Times New Roman" w:eastAsia="仿宋_GB2312" w:cs="Times New Roman"/>
          <w:color w:val="auto"/>
          <w:sz w:val="24"/>
          <w:szCs w:val="24"/>
          <w:highlight w:val="none"/>
        </w:rPr>
        <w:t>00m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val="en-US" w:eastAsia="zh-CN"/>
        </w:rPr>
        <w:t>。</w:t>
      </w:r>
    </w:p>
    <w:p>
      <w:pPr>
        <w:pStyle w:val="56"/>
        <w:spacing w:before="120" w:beforeLines="50" w:after="120" w:afterLines="50"/>
        <w:rPr>
          <w:rFonts w:ascii="Times New Roman" w:hAnsi="Times New Roman"/>
          <w:color w:val="auto"/>
          <w:highlight w:val="none"/>
        </w:rPr>
      </w:pPr>
      <w:bookmarkStart w:id="34" w:name="_Toc14737397"/>
      <w:bookmarkStart w:id="35" w:name="_Toc74588726"/>
      <w:bookmarkStart w:id="36" w:name="_Toc13426558"/>
      <w:bookmarkStart w:id="37" w:name="_Toc74588675"/>
      <w:r>
        <w:rPr>
          <w:rFonts w:ascii="Times New Roman" w:hAnsi="Times New Roman"/>
          <w:color w:val="auto"/>
          <w:highlight w:val="none"/>
        </w:rPr>
        <w:t>1.9水土保持投资及效益分析成果</w:t>
      </w:r>
      <w:bookmarkEnd w:id="34"/>
      <w:bookmarkEnd w:id="35"/>
      <w:bookmarkEnd w:id="36"/>
      <w:bookmarkEnd w:id="37"/>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green"/>
        </w:rPr>
      </w:pPr>
      <w:r>
        <w:rPr>
          <w:rFonts w:ascii="Times New Roman" w:hAnsi="Times New Roman" w:eastAsia="仿宋_GB2312" w:cs="Times New Roman"/>
          <w:color w:val="auto"/>
          <w:sz w:val="24"/>
        </w:rPr>
        <w:t>本方案水土保持工程总投资为</w:t>
      </w:r>
      <w:r>
        <w:rPr>
          <w:rFonts w:hint="eastAsia" w:ascii="Times New Roman" w:hAnsi="Times New Roman" w:eastAsia="仿宋_GB2312" w:cs="Times New Roman"/>
          <w:color w:val="auto"/>
          <w:sz w:val="24"/>
          <w:lang w:val="en-US" w:eastAsia="zh-CN"/>
        </w:rPr>
        <w:t>71.57</w:t>
      </w:r>
      <w:r>
        <w:rPr>
          <w:rFonts w:ascii="Times New Roman" w:hAnsi="Times New Roman" w:eastAsia="仿宋_GB2312" w:cs="Times New Roman"/>
          <w:color w:val="auto"/>
          <w:sz w:val="24"/>
        </w:rPr>
        <w:t>万元，主体工程已列水保专项投资</w:t>
      </w:r>
      <w:r>
        <w:rPr>
          <w:rFonts w:hint="eastAsia" w:ascii="Times New Roman" w:hAnsi="Times New Roman" w:eastAsia="仿宋_GB2312" w:cs="Times New Roman"/>
          <w:color w:val="auto"/>
          <w:sz w:val="24"/>
          <w:lang w:val="en-US" w:eastAsia="zh-CN"/>
        </w:rPr>
        <w:t>36.5</w:t>
      </w:r>
      <w:r>
        <w:rPr>
          <w:rFonts w:ascii="Times New Roman" w:hAnsi="Times New Roman" w:eastAsia="仿宋_GB2312" w:cs="Times New Roman"/>
          <w:color w:val="auto"/>
          <w:sz w:val="24"/>
        </w:rPr>
        <w:t>万元，本方案新增水土保持措施投资</w:t>
      </w:r>
      <w:r>
        <w:rPr>
          <w:rFonts w:hint="eastAsia" w:ascii="Times New Roman" w:hAnsi="Times New Roman" w:eastAsia="仿宋_GB2312" w:cs="Times New Roman"/>
          <w:color w:val="auto"/>
          <w:sz w:val="24"/>
          <w:lang w:val="en-US" w:eastAsia="zh-CN"/>
        </w:rPr>
        <w:t>35.07</w:t>
      </w:r>
      <w:r>
        <w:rPr>
          <w:rFonts w:ascii="Times New Roman" w:hAnsi="Times New Roman" w:eastAsia="仿宋_GB2312" w:cs="Times New Roman"/>
          <w:color w:val="auto"/>
          <w:sz w:val="24"/>
        </w:rPr>
        <w:t>万元。水土保持投资中，工程措施费</w:t>
      </w:r>
      <w:r>
        <w:rPr>
          <w:rFonts w:hint="eastAsia" w:ascii="Times New Roman" w:hAnsi="Times New Roman" w:eastAsia="仿宋_GB2312" w:cs="Times New Roman"/>
          <w:color w:val="auto"/>
          <w:sz w:val="24"/>
          <w:lang w:val="en-US" w:eastAsia="zh-CN"/>
        </w:rPr>
        <w:t>30.14</w:t>
      </w:r>
      <w:r>
        <w:rPr>
          <w:rFonts w:ascii="Times New Roman" w:hAnsi="Times New Roman" w:eastAsia="仿宋_GB2312" w:cs="Times New Roman"/>
          <w:color w:val="auto"/>
          <w:sz w:val="24"/>
        </w:rPr>
        <w:t>万元，植物措施费</w:t>
      </w:r>
      <w:r>
        <w:rPr>
          <w:rFonts w:hint="eastAsia" w:ascii="Times New Roman" w:hAnsi="Times New Roman" w:eastAsia="仿宋_GB2312" w:cs="Times New Roman"/>
          <w:color w:val="auto"/>
          <w:sz w:val="24"/>
          <w:lang w:val="en-US" w:eastAsia="zh-CN"/>
        </w:rPr>
        <w:t>0.21</w:t>
      </w:r>
      <w:r>
        <w:rPr>
          <w:rFonts w:ascii="Times New Roman" w:hAnsi="Times New Roman" w:eastAsia="仿宋_GB2312" w:cs="Times New Roman"/>
          <w:color w:val="auto"/>
          <w:sz w:val="24"/>
        </w:rPr>
        <w:t>万元，施工临时工程措施</w:t>
      </w:r>
      <w:r>
        <w:rPr>
          <w:rFonts w:hint="eastAsia" w:ascii="Times New Roman" w:hAnsi="Times New Roman" w:eastAsia="仿宋_GB2312" w:cs="Times New Roman"/>
          <w:color w:val="auto"/>
          <w:sz w:val="24"/>
          <w:lang w:val="en-US" w:eastAsia="zh-CN"/>
        </w:rPr>
        <w:t>20.8</w:t>
      </w:r>
      <w:r>
        <w:rPr>
          <w:rFonts w:ascii="Times New Roman" w:hAnsi="Times New Roman" w:eastAsia="仿宋_GB2312" w:cs="Times New Roman"/>
          <w:color w:val="auto"/>
          <w:sz w:val="24"/>
        </w:rPr>
        <w:t>万元，独立费用</w:t>
      </w:r>
      <w:r>
        <w:rPr>
          <w:rFonts w:hint="eastAsia" w:ascii="Times New Roman" w:hAnsi="Times New Roman" w:eastAsia="仿宋_GB2312" w:cs="Times New Roman"/>
          <w:color w:val="auto"/>
          <w:sz w:val="24"/>
          <w:lang w:val="en-US" w:eastAsia="zh-CN"/>
        </w:rPr>
        <w:t>15.15</w:t>
      </w:r>
      <w:r>
        <w:rPr>
          <w:rFonts w:ascii="Times New Roman" w:hAnsi="Times New Roman" w:eastAsia="仿宋_GB2312" w:cs="Times New Roman"/>
          <w:color w:val="auto"/>
          <w:sz w:val="24"/>
        </w:rPr>
        <w:t>万元，基本预备费</w:t>
      </w:r>
      <w:r>
        <w:rPr>
          <w:rFonts w:hint="eastAsia" w:ascii="Times New Roman" w:hAnsi="Times New Roman" w:eastAsia="仿宋_GB2312" w:cs="Times New Roman"/>
          <w:color w:val="auto"/>
          <w:sz w:val="24"/>
          <w:lang w:val="en-US" w:eastAsia="zh-CN"/>
        </w:rPr>
        <w:t>2.98</w:t>
      </w:r>
      <w:r>
        <w:rPr>
          <w:rFonts w:ascii="Times New Roman" w:hAnsi="Times New Roman" w:eastAsia="仿宋_GB2312" w:cs="Times New Roman"/>
          <w:color w:val="auto"/>
          <w:sz w:val="24"/>
        </w:rPr>
        <w:t>万元，水土保持补偿费</w:t>
      </w:r>
      <w:r>
        <w:rPr>
          <w:rFonts w:hint="eastAsia" w:ascii="Times New Roman" w:hAnsi="Times New Roman" w:eastAsia="仿宋_GB2312" w:cs="Times New Roman"/>
          <w:color w:val="auto"/>
          <w:sz w:val="24"/>
          <w:lang w:val="en-US" w:eastAsia="zh-CN"/>
        </w:rPr>
        <w:t>2.29</w:t>
      </w:r>
      <w:r>
        <w:rPr>
          <w:rFonts w:ascii="Times New Roman" w:hAnsi="Times New Roman" w:eastAsia="仿宋_GB2312" w:cs="Times New Roman"/>
          <w:color w:val="auto"/>
          <w:sz w:val="24"/>
        </w:rPr>
        <w:t>万元（</w:t>
      </w:r>
      <w:r>
        <w:rPr>
          <w:rFonts w:hint="eastAsia" w:ascii="Times New Roman" w:hAnsi="Times New Roman" w:eastAsia="仿宋_GB2312" w:cs="Times New Roman"/>
          <w:color w:val="auto"/>
          <w:sz w:val="24"/>
          <w:lang w:val="en-US" w:eastAsia="zh-CN"/>
        </w:rPr>
        <w:t>22880</w:t>
      </w:r>
      <w:r>
        <w:rPr>
          <w:rFonts w:ascii="Times New Roman" w:hAnsi="Times New Roman" w:eastAsia="仿宋_GB2312" w:cs="Times New Roman"/>
          <w:color w:val="auto"/>
          <w:sz w:val="24"/>
        </w:rPr>
        <w:t>元）。</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通过实施本方案各项水土保持措施，可治理水土流失面积</w:t>
      </w:r>
      <w:r>
        <w:rPr>
          <w:rFonts w:hint="eastAsia" w:ascii="Times New Roman" w:hAnsi="Times New Roman" w:eastAsia="仿宋_GB2312" w:cs="Times New Roman"/>
          <w:color w:val="auto"/>
          <w:sz w:val="24"/>
          <w:szCs w:val="24"/>
          <w:highlight w:val="none"/>
          <w:lang w:val="en-US" w:eastAsia="zh-CN"/>
        </w:rPr>
        <w:t>1.76hm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，林草植被建设面积</w:t>
      </w:r>
      <w:r>
        <w:rPr>
          <w:rFonts w:hint="eastAsia" w:ascii="Times New Roman" w:hAnsi="Times New Roman" w:eastAsia="仿宋_GB2312" w:cs="Times New Roman"/>
          <w:color w:val="auto"/>
          <w:sz w:val="24"/>
          <w:szCs w:val="24"/>
          <w:highlight w:val="none"/>
          <w:lang w:val="en-US" w:eastAsia="zh-CN"/>
        </w:rPr>
        <w:t>0.24</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，减少水土流失量</w:t>
      </w:r>
      <w:r>
        <w:rPr>
          <w:rFonts w:hint="eastAsia" w:ascii="Times New Roman" w:hAnsi="Times New Roman" w:eastAsia="仿宋_GB2312" w:cs="Times New Roman"/>
          <w:color w:val="auto"/>
          <w:sz w:val="24"/>
          <w:szCs w:val="24"/>
          <w:highlight w:val="none"/>
          <w:lang w:val="en-US" w:eastAsia="zh-CN"/>
        </w:rPr>
        <w:t>110.32</w:t>
      </w:r>
      <w:r>
        <w:rPr>
          <w:rFonts w:ascii="Times New Roman" w:hAnsi="Times New Roman" w:eastAsia="仿宋_GB2312" w:cs="Times New Roman"/>
          <w:color w:val="auto"/>
          <w:sz w:val="24"/>
          <w:szCs w:val="24"/>
          <w:highlight w:val="none"/>
        </w:rPr>
        <w:t>t，整个工程区水土流失治理度达到</w:t>
      </w:r>
      <w:r>
        <w:rPr>
          <w:rFonts w:hint="eastAsia" w:ascii="Times New Roman" w:hAnsi="Times New Roman" w:eastAsia="仿宋_GB2312" w:cs="Times New Roman"/>
          <w:color w:val="auto"/>
          <w:sz w:val="24"/>
          <w:szCs w:val="24"/>
          <w:highlight w:val="none"/>
          <w:lang w:val="en-US" w:eastAsia="zh-CN"/>
        </w:rPr>
        <w:t>99.72</w:t>
      </w:r>
      <w:r>
        <w:rPr>
          <w:rFonts w:ascii="Times New Roman" w:hAnsi="Times New Roman" w:eastAsia="仿宋_GB2312" w:cs="Times New Roman"/>
          <w:color w:val="auto"/>
          <w:sz w:val="24"/>
          <w:szCs w:val="24"/>
          <w:highlight w:val="none"/>
        </w:rPr>
        <w:t>%，土壤流失控制比达到1.</w:t>
      </w:r>
      <w:r>
        <w:rPr>
          <w:rFonts w:hint="eastAsia" w:ascii="Times New Roman" w:hAnsi="Times New Roman" w:eastAsia="仿宋_GB2312" w:cs="Times New Roman"/>
          <w:color w:val="auto"/>
          <w:sz w:val="24"/>
          <w:szCs w:val="24"/>
          <w:highlight w:val="none"/>
          <w:lang w:val="en-US" w:eastAsia="zh-CN"/>
        </w:rPr>
        <w:t>00</w:t>
      </w:r>
      <w:r>
        <w:rPr>
          <w:rFonts w:ascii="Times New Roman" w:hAnsi="Times New Roman" w:eastAsia="仿宋_GB2312" w:cs="Times New Roman"/>
          <w:color w:val="auto"/>
          <w:sz w:val="24"/>
          <w:szCs w:val="24"/>
          <w:highlight w:val="none"/>
        </w:rPr>
        <w:t>，渣土防护率达到99.</w:t>
      </w:r>
      <w:r>
        <w:rPr>
          <w:rFonts w:hint="eastAsia" w:ascii="Times New Roman" w:hAnsi="Times New Roman" w:eastAsia="仿宋_GB2312" w:cs="Times New Roman"/>
          <w:color w:val="auto"/>
          <w:sz w:val="24"/>
          <w:szCs w:val="24"/>
          <w:highlight w:val="none"/>
          <w:lang w:val="en-US" w:eastAsia="zh-CN"/>
        </w:rPr>
        <w:t>77</w:t>
      </w:r>
      <w:r>
        <w:rPr>
          <w:rFonts w:ascii="Times New Roman" w:hAnsi="Times New Roman" w:eastAsia="仿宋_GB2312" w:cs="Times New Roman"/>
          <w:color w:val="auto"/>
          <w:sz w:val="24"/>
          <w:szCs w:val="24"/>
          <w:highlight w:val="none"/>
        </w:rPr>
        <w:t>%，表土保护率达到</w:t>
      </w:r>
      <w:r>
        <w:rPr>
          <w:rFonts w:hint="eastAsia" w:ascii="Times New Roman" w:hAnsi="Times New Roman" w:eastAsia="仿宋_GB2312" w:cs="Times New Roman"/>
          <w:color w:val="auto"/>
          <w:sz w:val="24"/>
          <w:szCs w:val="24"/>
          <w:highlight w:val="none"/>
          <w:lang w:eastAsia="zh-CN"/>
        </w:rPr>
        <w:t>9</w:t>
      </w:r>
      <w:r>
        <w:rPr>
          <w:rFonts w:hint="eastAsia" w:ascii="Times New Roman" w:hAnsi="Times New Roman" w:eastAsia="仿宋_GB2312" w:cs="Times New Roman"/>
          <w:color w:val="auto"/>
          <w:sz w:val="24"/>
          <w:szCs w:val="24"/>
          <w:highlight w:val="none"/>
          <w:lang w:val="en-US" w:eastAsia="zh-CN"/>
        </w:rPr>
        <w:t>9.07</w:t>
      </w:r>
      <w:r>
        <w:rPr>
          <w:rFonts w:ascii="Times New Roman" w:hAnsi="Times New Roman" w:eastAsia="仿宋_GB2312" w:cs="Times New Roman"/>
          <w:color w:val="auto"/>
          <w:sz w:val="24"/>
          <w:szCs w:val="24"/>
          <w:highlight w:val="none"/>
        </w:rPr>
        <w:t>%，林草植被恢复率达到</w:t>
      </w:r>
      <w:r>
        <w:rPr>
          <w:rFonts w:hint="eastAsia" w:ascii="Times New Roman" w:hAnsi="Times New Roman" w:eastAsia="仿宋_GB2312" w:cs="Times New Roman"/>
          <w:color w:val="auto"/>
          <w:sz w:val="24"/>
          <w:szCs w:val="24"/>
          <w:highlight w:val="none"/>
          <w:lang w:val="en-US" w:eastAsia="zh-CN"/>
        </w:rPr>
        <w:t>100</w:t>
      </w:r>
      <w:r>
        <w:rPr>
          <w:rFonts w:ascii="Times New Roman" w:hAnsi="Times New Roman" w:eastAsia="仿宋_GB2312" w:cs="Times New Roman"/>
          <w:color w:val="auto"/>
          <w:sz w:val="24"/>
          <w:szCs w:val="24"/>
          <w:highlight w:val="none"/>
        </w:rPr>
        <w:t>%，林草覆盖率达到</w:t>
      </w:r>
      <w:r>
        <w:rPr>
          <w:rFonts w:hint="eastAsia" w:ascii="Times New Roman" w:hAnsi="Times New Roman" w:eastAsia="仿宋_GB2312" w:cs="Times New Roman"/>
          <w:color w:val="auto"/>
          <w:sz w:val="24"/>
          <w:szCs w:val="24"/>
          <w:highlight w:val="none"/>
          <w:lang w:val="en-US" w:eastAsia="zh-CN"/>
        </w:rPr>
        <w:t>64.86</w:t>
      </w:r>
      <w:r>
        <w:rPr>
          <w:rFonts w:ascii="Times New Roman" w:hAnsi="Times New Roman" w:eastAsia="仿宋_GB2312" w:cs="Times New Roman"/>
          <w:color w:val="auto"/>
          <w:sz w:val="24"/>
          <w:szCs w:val="24"/>
          <w:highlight w:val="none"/>
        </w:rPr>
        <w:t>%，水土保持效益各项指标均达到防治目标的要求，水土保持效益良好。</w:t>
      </w:r>
    </w:p>
    <w:p>
      <w:pPr>
        <w:pStyle w:val="56"/>
        <w:spacing w:before="120" w:beforeLines="50" w:after="120" w:afterLines="50"/>
        <w:rPr>
          <w:rFonts w:ascii="Times New Roman" w:hAnsi="Times New Roman"/>
          <w:color w:val="auto"/>
          <w:highlight w:val="none"/>
        </w:rPr>
      </w:pPr>
      <w:r>
        <w:rPr>
          <w:rFonts w:ascii="Times New Roman" w:hAnsi="Times New Roman"/>
          <w:color w:val="auto"/>
          <w:highlight w:val="none"/>
        </w:rPr>
        <w:fldChar w:fldCharType="begin">
          <w:fldData xml:space="preserve">XwBjAHAAXwA0AGwAdQA5AHoAMABLAHEAZwA5ADkAagBGAEgAWAB2ADAAaABNAGYAOQBBAHcAYwBa
ADkANAB3AEYAWgBrADQAegBuAGkAYgB4AFIAMQBoAG4ANwBIAE8AVwBtAHMAZABxAEsARwBUAGMA
ZwA9AD0A
</w:fldData>
        </w:fldChar>
      </w:r>
      <w:r>
        <w:rPr>
          <w:color w:val="auto"/>
          <w:highlight w:val="none"/>
        </w:rPr>
        <w:instrText xml:space="preserve">ADDIN _cp_ \* MERGEFORMAT</w:instrText>
      </w:r>
      <w:r>
        <w:rPr>
          <w:rFonts w:ascii="Times New Roman" w:hAnsi="Times New Roman"/>
          <w:color w:val="auto"/>
          <w:highlight w:val="none"/>
        </w:rPr>
        <w:fldChar w:fldCharType="separate"/>
      </w:r>
      <w:bookmarkStart w:id="38" w:name="_Toc74588727"/>
      <w:bookmarkStart w:id="39" w:name="_Toc14737398"/>
      <w:bookmarkStart w:id="40" w:name="_Toc13426559"/>
      <w:bookmarkStart w:id="41" w:name="_Toc74588676"/>
      <w:r>
        <w:rPr>
          <w:rFonts w:ascii="Times New Roman" w:hAnsi="Times New Roman"/>
          <w:color w:val="auto"/>
          <w:highlight w:val="none"/>
        </w:rPr>
        <w:t>1.10</w:t>
      </w:r>
      <w:r>
        <w:rPr>
          <w:rFonts w:ascii="Times New Roman" w:hAnsi="Times New Roman"/>
          <w:color w:val="auto"/>
          <w:highlight w:val="none"/>
        </w:rPr>
        <w:fldChar w:fldCharType="end"/>
      </w:r>
      <w:r>
        <w:rPr>
          <w:rFonts w:ascii="Times New Roman" w:hAnsi="Times New Roman"/>
          <w:color w:val="auto"/>
          <w:highlight w:val="none"/>
        </w:rPr>
        <w:t>结论</w:t>
      </w:r>
      <w:bookmarkEnd w:id="38"/>
      <w:bookmarkEnd w:id="39"/>
      <w:bookmarkEnd w:id="40"/>
      <w:bookmarkEnd w:id="41"/>
    </w:p>
    <w:p>
      <w:pPr>
        <w:pStyle w:val="8"/>
        <w:ind w:firstLine="480"/>
        <w:jc w:val="both"/>
        <w:rPr>
          <w:rFonts w:ascii="Times New Roman" w:hAnsi="Times New Roman"/>
          <w:color w:val="auto"/>
          <w:highlight w:val="none"/>
        </w:rPr>
      </w:pPr>
      <w:r>
        <w:rPr>
          <w:rFonts w:ascii="Times New Roman" w:hAnsi="Times New Roman"/>
          <w:color w:val="auto"/>
          <w:highlight w:val="none"/>
        </w:rPr>
        <w:t>本项目符合国家现行产业政策，无水土保持法以及《生产建设项目水土保持技术规范》（GB50433-2018）相关制约性因素，符合水土保持要求。</w:t>
      </w:r>
    </w:p>
    <w:p>
      <w:pPr>
        <w:pStyle w:val="8"/>
        <w:ind w:firstLine="480"/>
        <w:jc w:val="both"/>
        <w:rPr>
          <w:rFonts w:ascii="Times New Roman" w:hAnsi="Times New Roman"/>
          <w:color w:val="auto"/>
          <w:highlight w:val="none"/>
        </w:rPr>
      </w:pPr>
      <w:r>
        <w:rPr>
          <w:rFonts w:ascii="Times New Roman" w:hAnsi="Times New Roman"/>
          <w:color w:val="auto"/>
          <w:highlight w:val="none"/>
        </w:rPr>
        <w:t>项目主体设计已有的表土剥离及保存措施、排水措施等，可以一定程度上满足项目水土保持要求。为进一步提高水土保持防治效果，并且为建设完成后实现迹地恢复，方案新增部分工程措施、植物措施及临时措施，可有效控制水土流失。项目各项生态效益指标达到并超过方案制定的目标值，具有显著的生态效益。</w:t>
      </w:r>
    </w:p>
    <w:p>
      <w:pPr>
        <w:pStyle w:val="8"/>
        <w:ind w:firstLine="480"/>
        <w:jc w:val="both"/>
        <w:rPr>
          <w:rFonts w:ascii="Times New Roman" w:hAnsi="Times New Roman"/>
          <w:color w:val="auto"/>
          <w:highlight w:val="none"/>
        </w:rPr>
      </w:pPr>
      <w:r>
        <w:rPr>
          <w:rFonts w:ascii="Times New Roman" w:hAnsi="Times New Roman"/>
          <w:color w:val="auto"/>
          <w:highlight w:val="none"/>
        </w:rPr>
        <w:t>因此，本方案从水土保持角度分析、评价，认为本项目工程建设是可行的。</w:t>
      </w:r>
    </w:p>
    <w:p>
      <w:pPr>
        <w:pStyle w:val="8"/>
        <w:ind w:firstLine="480"/>
        <w:jc w:val="both"/>
        <w:rPr>
          <w:rFonts w:ascii="Times New Roman" w:hAnsi="Times New Roman"/>
          <w:color w:val="auto"/>
          <w:highlight w:val="none"/>
        </w:rPr>
      </w:pPr>
      <w:r>
        <w:rPr>
          <w:rFonts w:ascii="Times New Roman" w:hAnsi="Times New Roman"/>
          <w:color w:val="auto"/>
          <w:highlight w:val="none"/>
        </w:rPr>
        <w:t>针对本工程实际及当地环境状况，提出以下建议和要求：</w:t>
      </w:r>
    </w:p>
    <w:p>
      <w:pPr>
        <w:pStyle w:val="8"/>
        <w:ind w:firstLine="480"/>
        <w:jc w:val="both"/>
        <w:rPr>
          <w:rFonts w:ascii="Times New Roman" w:hAnsi="Times New Roman"/>
          <w:color w:val="auto"/>
          <w:highlight w:val="none"/>
        </w:rPr>
      </w:pPr>
      <w:r>
        <w:rPr>
          <w:rFonts w:ascii="Times New Roman" w:hAnsi="Times New Roman"/>
          <w:color w:val="auto"/>
          <w:highlight w:val="none"/>
        </w:rPr>
        <w:t>（1）进一步深化主体设计已有的水土保持措施，同时为保持工程建设区与周边自然环境的协调，在保证安全稳定的前提下尽量考虑对边坡采取生态护坡措施。</w:t>
      </w:r>
    </w:p>
    <w:p>
      <w:pPr>
        <w:pStyle w:val="8"/>
        <w:ind w:firstLine="480"/>
        <w:jc w:val="both"/>
        <w:rPr>
          <w:rFonts w:ascii="Times New Roman" w:hAnsi="Times New Roman"/>
          <w:color w:val="auto"/>
          <w:highlight w:val="none"/>
        </w:rPr>
      </w:pPr>
      <w:r>
        <w:rPr>
          <w:rFonts w:ascii="Times New Roman" w:hAnsi="Times New Roman"/>
          <w:color w:val="auto"/>
          <w:highlight w:val="none"/>
        </w:rPr>
        <w:t>（2）后续主体设计重视对场平工程的拦挡、排水设计。</w:t>
      </w:r>
    </w:p>
    <w:p>
      <w:pPr>
        <w:pStyle w:val="8"/>
        <w:ind w:firstLine="480"/>
        <w:jc w:val="both"/>
        <w:rPr>
          <w:rFonts w:ascii="Times New Roman" w:hAnsi="Times New Roman"/>
          <w:color w:val="auto"/>
          <w:highlight w:val="none"/>
        </w:rPr>
      </w:pPr>
      <w:r>
        <w:rPr>
          <w:rFonts w:ascii="Times New Roman" w:hAnsi="Times New Roman"/>
          <w:color w:val="auto"/>
          <w:highlight w:val="none"/>
        </w:rPr>
        <w:t>（3）重视临时措施的设计及实施，控制扰动占压范围，避免较大水土流失。</w:t>
      </w:r>
    </w:p>
    <w:p>
      <w:pPr>
        <w:pStyle w:val="8"/>
        <w:ind w:firstLine="480"/>
        <w:jc w:val="both"/>
        <w:rPr>
          <w:rFonts w:ascii="Times New Roman" w:hAnsi="Times New Roman"/>
          <w:color w:val="auto"/>
          <w:highlight w:val="none"/>
        </w:rPr>
      </w:pPr>
      <w:r>
        <w:rPr>
          <w:rFonts w:ascii="Times New Roman" w:hAnsi="Times New Roman"/>
          <w:color w:val="auto"/>
          <w:highlight w:val="none"/>
        </w:rPr>
        <w:t>（4）主体工程与水土保持工程施工单位应加强对施工人员水土保持意识的教育与管理，合理安排工期，严禁乱弃、乱倒，自觉接受当地水行政主管部门和监理人员对水土保持方案实施情况的监督检查。承担水土保持工程的施工单位应加强施工期临时防护措施，以及植物措施选种、抚育管理，提高植物的成活率和保存率。</w:t>
      </w:r>
    </w:p>
    <w:p>
      <w:pPr>
        <w:pStyle w:val="8"/>
        <w:ind w:firstLine="480"/>
        <w:jc w:val="both"/>
        <w:rPr>
          <w:rFonts w:ascii="Times New Roman" w:hAnsi="Times New Roman"/>
          <w:color w:val="auto"/>
          <w:highlight w:val="none"/>
        </w:rPr>
      </w:pPr>
      <w:r>
        <w:rPr>
          <w:rFonts w:ascii="Times New Roman" w:hAnsi="Times New Roman"/>
          <w:color w:val="auto"/>
          <w:highlight w:val="none"/>
        </w:rPr>
        <w:t>（5）本项目建设规模较小，征占地面积小于20公顷，挖填土石方总量在20万立方米以内，可由主体工程监理单位按照水土保持监理标准和规范一并开展水土保持工程施工监理。</w:t>
      </w:r>
    </w:p>
    <w:p>
      <w:pPr>
        <w:pStyle w:val="8"/>
        <w:ind w:firstLine="480"/>
        <w:jc w:val="both"/>
        <w:rPr>
          <w:rFonts w:ascii="Times New Roman" w:hAnsi="Times New Roman"/>
          <w:color w:val="auto"/>
          <w:highlight w:val="none"/>
        </w:rPr>
      </w:pPr>
      <w:r>
        <w:rPr>
          <w:rFonts w:ascii="Times New Roman" w:hAnsi="Times New Roman"/>
          <w:color w:val="auto"/>
          <w:highlight w:val="none"/>
        </w:rPr>
        <w:t>（6）本方案经当</w:t>
      </w:r>
      <w:r>
        <w:rPr>
          <w:rFonts w:hint="eastAsia"/>
          <w:color w:val="auto"/>
          <w:highlight w:val="none"/>
          <w:lang w:val="en-US" w:eastAsia="zh-CN"/>
        </w:rPr>
        <w:t>仪陇县行政审批局</w:t>
      </w:r>
      <w:r>
        <w:rPr>
          <w:rFonts w:ascii="Times New Roman" w:hAnsi="Times New Roman"/>
          <w:color w:val="auto"/>
          <w:highlight w:val="none"/>
        </w:rPr>
        <w:t>批准后，若项目地点、规模发生重大变化，应补充或修改水土保持方案并报当地水行政主管部门批准。</w:t>
      </w:r>
    </w:p>
    <w:p>
      <w:pPr>
        <w:pStyle w:val="8"/>
        <w:ind w:firstLine="480"/>
        <w:jc w:val="both"/>
        <w:rPr>
          <w:rFonts w:ascii="Times New Roman" w:hAnsi="Times New Roman"/>
          <w:color w:val="auto"/>
          <w:highlight w:val="none"/>
        </w:rPr>
        <w:sectPr>
          <w:headerReference r:id="rId5" w:type="default"/>
          <w:footerReference r:id="rId6" w:type="default"/>
          <w:pgSz w:w="11920" w:h="16845"/>
          <w:pgMar w:top="1418" w:right="1588" w:bottom="1418" w:left="1701" w:header="850" w:footer="850" w:gutter="0"/>
          <w:pgBorders>
            <w:top w:val="none" w:sz="0" w:space="0"/>
            <w:left w:val="none" w:sz="0" w:space="0"/>
            <w:bottom w:val="none" w:sz="0" w:space="0"/>
            <w:right w:val="none" w:sz="0" w:space="0"/>
          </w:pgBorders>
          <w:pgNumType w:fmt="decimal" w:start="1"/>
          <w:cols w:equalWidth="0" w:num="1">
            <w:col w:w="8912"/>
          </w:cols>
          <w:docGrid w:linePitch="360" w:charSpace="0"/>
        </w:sectPr>
      </w:pPr>
      <w:r>
        <w:rPr>
          <w:rFonts w:ascii="Times New Roman" w:hAnsi="Times New Roman"/>
          <w:color w:val="auto"/>
          <w:highlight w:val="none"/>
        </w:rPr>
        <w:t>（7）各项水土保持设施竣工后，及时开展水土保持设施验收工作，确保水土保持“三同时”制度实施和各项水保工程设施质量。</w:t>
      </w:r>
    </w:p>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r>
        <w:rPr>
          <w:rFonts w:ascii="Times New Roman" w:hAnsi="Times New Roman" w:eastAsia="仿宋_GB2312" w:cs="Times New Roman"/>
          <w:b/>
          <w:bCs/>
          <w:color w:val="auto"/>
          <w:kern w:val="44"/>
          <w:sz w:val="44"/>
          <w:szCs w:val="44"/>
          <w:lang w:val="zh-CN"/>
        </w:rPr>
        <w:fldChar w:fldCharType="begin">
          <w:fldData xml:space="preserve">XwBjAHAAXwBuADcASABIAHgAZwBaADQARQBtAFYAVgBlAFYAMgAzAGMAeQBSAGkALwByAHcAUQBS
ADQAYQB1AGUASwBaAGUAZQBmAG4AQgB6AGEAZQBDAEMAcQA5AFUAUQBUAC8AdAArAEcAVAB6AG4A
dwA9AD0A
</w:fldData>
        </w:fldChar>
      </w:r>
      <w:r>
        <w:rPr>
          <w:rFonts w:ascii="Times New Roman" w:hAnsi="Times New Roman" w:eastAsia="仿宋_GB2312" w:cs="Times New Roman"/>
          <w:b/>
          <w:bCs/>
          <w:color w:val="auto"/>
          <w:kern w:val="44"/>
          <w:sz w:val="44"/>
          <w:szCs w:val="44"/>
          <w:lang w:val="zh-CN"/>
        </w:rPr>
        <w:instrText xml:space="preserve">ADDIN _cp_ \* MERGEFORMAT</w:instrText>
      </w:r>
      <w:r>
        <w:rPr>
          <w:rFonts w:ascii="Times New Roman" w:hAnsi="Times New Roman" w:eastAsia="仿宋_GB2312" w:cs="Times New Roman"/>
          <w:b/>
          <w:bCs/>
          <w:color w:val="auto"/>
          <w:kern w:val="44"/>
          <w:sz w:val="44"/>
          <w:szCs w:val="44"/>
          <w:lang w:val="zh-CN"/>
        </w:rPr>
        <w:fldChar w:fldCharType="separate"/>
      </w:r>
      <w:bookmarkStart w:id="42" w:name="_Toc74588728"/>
      <w:bookmarkStart w:id="43" w:name="_Toc74588677"/>
      <w:r>
        <w:rPr>
          <w:rFonts w:ascii="Times New Roman" w:hAnsi="Times New Roman" w:eastAsia="仿宋_GB2312" w:cs="Times New Roman"/>
          <w:b/>
          <w:bCs/>
          <w:color w:val="auto"/>
          <w:kern w:val="44"/>
          <w:sz w:val="44"/>
          <w:szCs w:val="44"/>
          <w:lang w:val="zh-CN"/>
        </w:rPr>
        <w:t>2</w:t>
      </w:r>
      <w:r>
        <w:rPr>
          <w:rFonts w:ascii="Times New Roman" w:hAnsi="Times New Roman" w:eastAsia="仿宋_GB2312" w:cs="Times New Roman"/>
          <w:b/>
          <w:bCs/>
          <w:color w:val="auto"/>
          <w:kern w:val="44"/>
          <w:sz w:val="44"/>
          <w:szCs w:val="44"/>
          <w:lang w:val="zh-CN"/>
        </w:rPr>
        <w:fldChar w:fldCharType="end"/>
      </w:r>
      <w:r>
        <w:rPr>
          <w:rFonts w:ascii="Times New Roman" w:hAnsi="Times New Roman" w:eastAsia="仿宋_GB2312" w:cs="Times New Roman"/>
          <w:b/>
          <w:bCs/>
          <w:color w:val="auto"/>
          <w:kern w:val="44"/>
          <w:sz w:val="44"/>
          <w:szCs w:val="44"/>
          <w:lang w:val="zh-CN"/>
        </w:rPr>
        <w:t>项目概况</w:t>
      </w:r>
      <w:bookmarkEnd w:id="42"/>
      <w:bookmarkEnd w:id="43"/>
    </w:p>
    <w:p>
      <w:pPr>
        <w:widowControl w:val="0"/>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44" w:name="_Toc74588678"/>
      <w:bookmarkStart w:id="45" w:name="_Toc5698773"/>
      <w:bookmarkStart w:id="46" w:name="_Toc5725718"/>
      <w:bookmarkStart w:id="47" w:name="_Toc74588729"/>
      <w:bookmarkStart w:id="48" w:name="_Toc8379057"/>
      <w:r>
        <w:rPr>
          <w:rFonts w:ascii="Times New Roman" w:hAnsi="Times New Roman" w:eastAsia="仿宋_GB2312" w:cs="Times New Roman"/>
          <w:b/>
          <w:color w:val="auto"/>
          <w:sz w:val="30"/>
          <w:szCs w:val="30"/>
          <w:lang w:val="zh-CN"/>
        </w:rPr>
        <w:t>2.1 项目组成及工程布置</w:t>
      </w:r>
      <w:bookmarkEnd w:id="44"/>
      <w:bookmarkEnd w:id="45"/>
      <w:bookmarkEnd w:id="46"/>
      <w:bookmarkEnd w:id="47"/>
      <w:bookmarkEnd w:id="48"/>
    </w:p>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2.1.1地理位置及交通条件</w:t>
      </w:r>
    </w:p>
    <w:p>
      <w:pPr>
        <w:widowControl w:val="0"/>
        <w:autoSpaceDE w:val="0"/>
        <w:autoSpaceDN w:val="0"/>
        <w:adjustRightInd w:val="0"/>
        <w:spacing w:line="360" w:lineRule="auto"/>
        <w:ind w:firstLine="490" w:firstLineChars="196"/>
        <w:rPr>
          <w:rFonts w:ascii="Times New Roman" w:hAnsi="Times New Roman" w:eastAsia="仿宋_GB2312" w:cs="Times New Roman"/>
          <w:color w:val="auto"/>
          <w:spacing w:val="5"/>
          <w:sz w:val="24"/>
          <w:szCs w:val="24"/>
          <w:highlight w:val="none"/>
        </w:rPr>
      </w:pPr>
      <w:r>
        <w:rPr>
          <w:rFonts w:ascii="Times New Roman" w:hAnsi="Times New Roman" w:eastAsia="仿宋_GB2312" w:cs="Times New Roman"/>
          <w:color w:val="auto"/>
          <w:spacing w:val="5"/>
          <w:sz w:val="24"/>
          <w:szCs w:val="24"/>
          <w:highlight w:val="none"/>
          <w:lang w:val="en-US" w:eastAsia="zh-CN"/>
        </w:rPr>
        <w:t>仪陇县，隶属四川省南充市，位于四川省南充市东北部，南朝置县，244 国道、</w:t>
      </w:r>
      <w:r>
        <w:rPr>
          <w:rFonts w:hint="default" w:ascii="Times New Roman" w:hAnsi="Times New Roman" w:eastAsia="仿宋_GB2312" w:cs="Times New Roman"/>
          <w:color w:val="auto"/>
          <w:spacing w:val="5"/>
          <w:sz w:val="24"/>
          <w:szCs w:val="24"/>
          <w:highlight w:val="none"/>
          <w:lang w:val="en-US" w:eastAsia="zh-CN"/>
        </w:rPr>
        <w:t xml:space="preserve">245 </w:t>
      </w:r>
      <w:r>
        <w:rPr>
          <w:rFonts w:ascii="Times New Roman" w:hAnsi="Times New Roman" w:eastAsia="仿宋_GB2312" w:cs="Times New Roman"/>
          <w:color w:val="auto"/>
          <w:spacing w:val="5"/>
          <w:sz w:val="24"/>
          <w:szCs w:val="24"/>
          <w:highlight w:val="none"/>
          <w:lang w:val="en-US" w:eastAsia="zh-CN"/>
        </w:rPr>
        <w:t>国道，</w:t>
      </w:r>
      <w:r>
        <w:rPr>
          <w:rFonts w:hint="default" w:ascii="Times New Roman" w:hAnsi="Times New Roman" w:eastAsia="仿宋_GB2312" w:cs="Times New Roman"/>
          <w:color w:val="auto"/>
          <w:spacing w:val="5"/>
          <w:sz w:val="24"/>
          <w:szCs w:val="24"/>
          <w:highlight w:val="none"/>
          <w:lang w:val="en-US" w:eastAsia="zh-CN"/>
        </w:rPr>
        <w:t xml:space="preserve">205 </w:t>
      </w:r>
      <w:r>
        <w:rPr>
          <w:rFonts w:ascii="Times New Roman" w:hAnsi="Times New Roman" w:eastAsia="仿宋_GB2312" w:cs="Times New Roman"/>
          <w:color w:val="auto"/>
          <w:spacing w:val="5"/>
          <w:sz w:val="24"/>
          <w:szCs w:val="24"/>
          <w:highlight w:val="none"/>
          <w:lang w:val="en-US" w:eastAsia="zh-CN"/>
        </w:rPr>
        <w:t>省道、</w:t>
      </w:r>
      <w:r>
        <w:rPr>
          <w:rFonts w:hint="default" w:ascii="Times New Roman" w:hAnsi="Times New Roman" w:eastAsia="仿宋_GB2312" w:cs="Times New Roman"/>
          <w:color w:val="auto"/>
          <w:spacing w:val="5"/>
          <w:sz w:val="24"/>
          <w:szCs w:val="24"/>
          <w:highlight w:val="none"/>
          <w:lang w:val="en-US" w:eastAsia="zh-CN"/>
        </w:rPr>
        <w:t xml:space="preserve">206 </w:t>
      </w:r>
      <w:r>
        <w:rPr>
          <w:rFonts w:ascii="Times New Roman" w:hAnsi="Times New Roman" w:eastAsia="仿宋_GB2312" w:cs="Times New Roman"/>
          <w:color w:val="auto"/>
          <w:spacing w:val="5"/>
          <w:sz w:val="24"/>
          <w:szCs w:val="24"/>
          <w:highlight w:val="none"/>
          <w:lang w:val="en-US" w:eastAsia="zh-CN"/>
        </w:rPr>
        <w:t>省道、</w:t>
      </w:r>
      <w:r>
        <w:rPr>
          <w:rFonts w:hint="default" w:ascii="Times New Roman" w:hAnsi="Times New Roman" w:eastAsia="仿宋_GB2312" w:cs="Times New Roman"/>
          <w:color w:val="auto"/>
          <w:spacing w:val="5"/>
          <w:sz w:val="24"/>
          <w:szCs w:val="24"/>
          <w:highlight w:val="none"/>
          <w:lang w:val="en-US" w:eastAsia="zh-CN"/>
        </w:rPr>
        <w:t xml:space="preserve">207 </w:t>
      </w:r>
      <w:r>
        <w:rPr>
          <w:rFonts w:ascii="Times New Roman" w:hAnsi="Times New Roman" w:eastAsia="仿宋_GB2312" w:cs="Times New Roman"/>
          <w:color w:val="auto"/>
          <w:spacing w:val="5"/>
          <w:sz w:val="24"/>
          <w:szCs w:val="24"/>
          <w:highlight w:val="none"/>
          <w:lang w:val="en-US" w:eastAsia="zh-CN"/>
        </w:rPr>
        <w:t>省道、</w:t>
      </w:r>
      <w:r>
        <w:rPr>
          <w:rFonts w:hint="default" w:ascii="Times New Roman" w:hAnsi="Times New Roman" w:eastAsia="仿宋_GB2312" w:cs="Times New Roman"/>
          <w:color w:val="auto"/>
          <w:spacing w:val="5"/>
          <w:sz w:val="24"/>
          <w:szCs w:val="24"/>
          <w:highlight w:val="none"/>
          <w:lang w:val="en-US" w:eastAsia="zh-CN"/>
        </w:rPr>
        <w:t xml:space="preserve">304 </w:t>
      </w:r>
      <w:r>
        <w:rPr>
          <w:rFonts w:ascii="Times New Roman" w:hAnsi="Times New Roman" w:eastAsia="仿宋_GB2312" w:cs="Times New Roman"/>
          <w:color w:val="auto"/>
          <w:spacing w:val="5"/>
          <w:sz w:val="24"/>
          <w:szCs w:val="24"/>
          <w:highlight w:val="none"/>
          <w:lang w:val="en-US" w:eastAsia="zh-CN"/>
        </w:rPr>
        <w:t>省道，成巴高速公路和银川—昆明高速公路过境仪陇县。</w:t>
      </w:r>
    </w:p>
    <w:p>
      <w:pPr>
        <w:widowControl w:val="0"/>
        <w:autoSpaceDE w:val="0"/>
        <w:autoSpaceDN w:val="0"/>
        <w:adjustRightInd w:val="0"/>
        <w:spacing w:line="360" w:lineRule="auto"/>
        <w:ind w:firstLine="490" w:firstLineChars="196"/>
        <w:rPr>
          <w:rFonts w:ascii="Times New Roman" w:hAnsi="Times New Roman" w:eastAsia="仿宋_GB2312" w:cs="Times New Roman"/>
          <w:color w:val="auto"/>
          <w:spacing w:val="5"/>
          <w:sz w:val="24"/>
          <w:szCs w:val="24"/>
          <w:highlight w:val="none"/>
        </w:rPr>
      </w:pPr>
      <w:r>
        <w:rPr>
          <w:rFonts w:ascii="Times New Roman" w:hAnsi="Times New Roman" w:eastAsia="仿宋_GB2312" w:cs="Times New Roman"/>
          <w:color w:val="auto"/>
          <w:spacing w:val="5"/>
          <w:sz w:val="24"/>
          <w:szCs w:val="24"/>
          <w:highlight w:val="none"/>
          <w:lang w:val="en-US" w:eastAsia="zh-CN"/>
        </w:rPr>
        <w:t>拟建德页1井钻前工程项目位于四川省南充市仪陇县日新镇，该井井场位于油房</w:t>
      </w:r>
      <w:r>
        <w:rPr>
          <w:rFonts w:hint="eastAsia" w:ascii="Times New Roman" w:hAnsi="Times New Roman" w:eastAsia="仿宋" w:cs="Times New Roman"/>
          <w:sz w:val="24"/>
          <w:highlight w:val="none"/>
        </w:rPr>
        <w:t>村5社</w:t>
      </w:r>
      <w:r>
        <w:rPr>
          <w:rFonts w:hint="eastAsia" w:ascii="Times New Roman" w:hAnsi="Times New Roman" w:eastAsia="仿宋" w:cs="Times New Roman"/>
          <w:sz w:val="24"/>
          <w:highlight w:val="none"/>
          <w:lang w:eastAsia="zh-CN"/>
        </w:rPr>
        <w:t>。</w:t>
      </w:r>
      <w:r>
        <w:rPr>
          <w:rFonts w:ascii="Times New Roman" w:hAnsi="Times New Roman" w:eastAsia="仿宋_GB2312" w:cs="Times New Roman"/>
          <w:color w:val="auto"/>
          <w:spacing w:val="5"/>
          <w:sz w:val="24"/>
          <w:szCs w:val="24"/>
          <w:highlight w:val="none"/>
        </w:rPr>
        <w:t>项目地理位置示意图详见图2-1。</w:t>
      </w:r>
    </w:p>
    <w:p>
      <w:pPr>
        <w:pStyle w:val="2"/>
        <w:ind w:left="0" w:leftChars="0" w:firstLine="0" w:firstLineChars="0"/>
        <w:jc w:val="left"/>
        <w:rPr>
          <w:rFonts w:ascii="Times New Roman" w:hAnsi="Times New Roman"/>
          <w:color w:val="auto"/>
        </w:rPr>
      </w:pPr>
      <w:r>
        <w:rPr>
          <w:rFonts w:ascii="宋体" w:hAnsi="宋体" w:eastAsia="宋体" w:cs="宋体"/>
          <w:sz w:val="24"/>
          <w:szCs w:val="24"/>
        </w:rPr>
        <w:drawing>
          <wp:inline distT="0" distB="0" distL="114300" distR="114300">
            <wp:extent cx="5400675" cy="2900045"/>
            <wp:effectExtent l="0" t="0" r="9525" b="14605"/>
            <wp:docPr id="7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 descr="IMG_256"/>
                    <pic:cNvPicPr>
                      <a:picLocks noChangeAspect="1"/>
                    </pic:cNvPicPr>
                  </pic:nvPicPr>
                  <pic:blipFill>
                    <a:blip r:embed="rId28"/>
                    <a:stretch>
                      <a:fillRect/>
                    </a:stretch>
                  </pic:blipFill>
                  <pic:spPr>
                    <a:xfrm>
                      <a:off x="0" y="0"/>
                      <a:ext cx="5400675" cy="2900045"/>
                    </a:xfrm>
                    <a:prstGeom prst="rect">
                      <a:avLst/>
                    </a:prstGeom>
                    <a:noFill/>
                    <a:ln w="9525">
                      <a:noFill/>
                    </a:ln>
                  </pic:spPr>
                </pic:pic>
              </a:graphicData>
            </a:graphic>
          </wp:inline>
        </w:drawing>
      </w:r>
    </w:p>
    <w:p>
      <w:pPr>
        <w:widowControl w:val="0"/>
        <w:autoSpaceDE w:val="0"/>
        <w:autoSpaceDN w:val="0"/>
        <w:adjustRightInd w:val="0"/>
        <w:spacing w:line="360" w:lineRule="auto"/>
        <w:jc w:val="center"/>
        <w:rPr>
          <w:rFonts w:ascii="Times New Roman" w:hAnsi="Times New Roman" w:eastAsia="仿宋_GB2312" w:cs="Times New Roman"/>
          <w:color w:val="auto"/>
          <w:spacing w:val="5"/>
          <w:sz w:val="24"/>
          <w:szCs w:val="24"/>
        </w:rPr>
      </w:pPr>
      <w:r>
        <w:rPr>
          <w:rFonts w:ascii="Times New Roman" w:hAnsi="Times New Roman" w:eastAsia="仿宋_GB2312" w:cs="Times New Roman"/>
          <w:b/>
          <w:bCs/>
          <w:color w:val="auto"/>
          <w:szCs w:val="21"/>
        </w:rPr>
        <w:t>图2-1 项目位置示意图</w:t>
      </w:r>
    </w:p>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2.1.2项目基本情况</w:t>
      </w:r>
    </w:p>
    <w:p>
      <w:pPr>
        <w:widowControl w:val="0"/>
        <w:spacing w:line="360" w:lineRule="auto"/>
        <w:ind w:firstLine="482" w:firstLineChars="200"/>
        <w:rPr>
          <w:rFonts w:ascii="Times New Roman" w:hAnsi="Times New Roman" w:eastAsia="仿宋_GB2312" w:cs="Times New Roman"/>
          <w:color w:val="auto"/>
          <w:sz w:val="24"/>
          <w:szCs w:val="24"/>
        </w:rPr>
      </w:pPr>
      <w:r>
        <w:rPr>
          <w:rFonts w:ascii="Times New Roman" w:hAnsi="Times New Roman" w:eastAsia="仿宋_GB2312" w:cs="Times New Roman"/>
          <w:b/>
          <w:color w:val="auto"/>
          <w:sz w:val="24"/>
          <w:szCs w:val="24"/>
        </w:rPr>
        <w:t>项目名称：</w:t>
      </w:r>
      <w:r>
        <w:rPr>
          <w:rFonts w:hint="eastAsia" w:ascii="Times New Roman" w:hAnsi="Times New Roman" w:eastAsia="仿宋_GB2312" w:cs="Times New Roman"/>
          <w:color w:val="auto"/>
          <w:spacing w:val="5"/>
          <w:sz w:val="24"/>
          <w:szCs w:val="24"/>
          <w:lang w:val="en-US" w:eastAsia="zh-CN"/>
        </w:rPr>
        <w:t>德页1井</w:t>
      </w:r>
      <w:r>
        <w:rPr>
          <w:rFonts w:ascii="Times New Roman" w:hAnsi="Times New Roman" w:eastAsia="仿宋_GB2312" w:cs="Times New Roman"/>
          <w:color w:val="auto"/>
          <w:spacing w:val="5"/>
          <w:sz w:val="24"/>
          <w:szCs w:val="24"/>
        </w:rPr>
        <w:t>钻前工程</w:t>
      </w:r>
    </w:p>
    <w:p>
      <w:pPr>
        <w:widowControl w:val="0"/>
        <w:spacing w:line="360" w:lineRule="auto"/>
        <w:ind w:firstLine="482" w:firstLineChars="200"/>
        <w:rPr>
          <w:rFonts w:hint="default" w:ascii="Times New Roman" w:hAnsi="Times New Roman" w:eastAsia="仿宋_GB2312" w:cs="Times New Roman"/>
          <w:color w:val="auto"/>
          <w:spacing w:val="5"/>
          <w:sz w:val="24"/>
          <w:szCs w:val="24"/>
          <w:highlight w:val="none"/>
          <w:lang w:val="en-US" w:eastAsia="zh-CN"/>
        </w:rPr>
      </w:pPr>
      <w:r>
        <w:rPr>
          <w:rFonts w:ascii="Times New Roman" w:hAnsi="Times New Roman" w:eastAsia="仿宋_GB2312" w:cs="Times New Roman"/>
          <w:b/>
          <w:color w:val="auto"/>
          <w:sz w:val="24"/>
          <w:szCs w:val="24"/>
          <w:highlight w:val="none"/>
        </w:rPr>
        <w:t>建设地点：</w:t>
      </w:r>
      <w:r>
        <w:rPr>
          <w:rFonts w:ascii="Times New Roman" w:hAnsi="Times New Roman" w:eastAsia="仿宋_GB2312" w:cs="Times New Roman"/>
          <w:color w:val="auto"/>
          <w:spacing w:val="5"/>
          <w:sz w:val="24"/>
          <w:szCs w:val="24"/>
          <w:highlight w:val="none"/>
        </w:rPr>
        <w:t>本工程位于四川省</w:t>
      </w:r>
      <w:r>
        <w:rPr>
          <w:rFonts w:ascii="Times New Roman" w:hAnsi="Times New Roman" w:eastAsia="仿宋" w:cs="Times New Roman"/>
          <w:sz w:val="24"/>
          <w:highlight w:val="none"/>
        </w:rPr>
        <w:t>四川省</w:t>
      </w:r>
      <w:r>
        <w:rPr>
          <w:rFonts w:hint="eastAsia" w:ascii="Times New Roman" w:hAnsi="Times New Roman" w:eastAsia="仿宋" w:cs="Times New Roman"/>
          <w:sz w:val="24"/>
          <w:highlight w:val="none"/>
        </w:rPr>
        <w:t>南充市仪陇县日兴镇油坊村5社</w:t>
      </w:r>
      <w:r>
        <w:rPr>
          <w:rFonts w:hint="eastAsia" w:ascii="Times New Roman" w:hAnsi="Times New Roman" w:eastAsia="仿宋_GB2312" w:cs="Times New Roman"/>
          <w:color w:val="auto"/>
          <w:sz w:val="24"/>
          <w:szCs w:val="24"/>
          <w:highlight w:val="none"/>
          <w:lang w:val="en-US" w:eastAsia="zh-CN"/>
        </w:rPr>
        <w:t>。</w:t>
      </w:r>
    </w:p>
    <w:p>
      <w:pPr>
        <w:widowControl w:val="0"/>
        <w:spacing w:line="360" w:lineRule="auto"/>
        <w:ind w:firstLine="482" w:firstLineChars="200"/>
        <w:rPr>
          <w:color w:val="auto"/>
          <w:highlight w:val="none"/>
          <w:lang w:val="en-US" w:eastAsia="zh-CN"/>
        </w:rPr>
      </w:pPr>
      <w:r>
        <w:rPr>
          <w:rFonts w:ascii="Times New Roman" w:hAnsi="Times New Roman" w:eastAsia="仿宋_GB2312" w:cs="Times New Roman"/>
          <w:b/>
          <w:color w:val="auto"/>
          <w:sz w:val="24"/>
          <w:szCs w:val="24"/>
          <w:highlight w:val="none"/>
        </w:rPr>
        <w:t>建设性质：</w:t>
      </w:r>
      <w:r>
        <w:rPr>
          <w:rFonts w:ascii="Times New Roman" w:hAnsi="Times New Roman" w:eastAsia="仿宋_GB2312" w:cs="Times New Roman"/>
          <w:color w:val="auto"/>
          <w:sz w:val="24"/>
          <w:szCs w:val="24"/>
          <w:highlight w:val="none"/>
        </w:rPr>
        <w:t>新建，建设类项目。</w:t>
      </w:r>
    </w:p>
    <w:p>
      <w:pPr>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szCs w:val="24"/>
          <w:highlight w:val="none"/>
        </w:rPr>
        <w:t>建设单位</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大庆油田有限责任公司勘探事业部</w:t>
      </w:r>
      <w:r>
        <w:rPr>
          <w:rFonts w:ascii="Times New Roman" w:hAnsi="Times New Roman" w:eastAsia="仿宋_GB2312" w:cs="Times New Roman"/>
          <w:color w:val="auto"/>
          <w:sz w:val="24"/>
          <w:szCs w:val="24"/>
          <w:highlight w:val="none"/>
        </w:rPr>
        <w:t>。</w:t>
      </w:r>
    </w:p>
    <w:p>
      <w:pPr>
        <w:spacing w:line="360" w:lineRule="auto"/>
        <w:ind w:firstLine="482" w:firstLineChars="200"/>
        <w:rPr>
          <w:rFonts w:ascii="Times New Roman" w:hAnsi="Times New Roman" w:eastAsia="仿宋_GB2312" w:cs="Times New Roman"/>
          <w:color w:val="auto"/>
          <w:spacing w:val="5"/>
          <w:sz w:val="24"/>
          <w:szCs w:val="24"/>
          <w:highlight w:val="none"/>
        </w:rPr>
      </w:pPr>
      <w:r>
        <w:rPr>
          <w:rFonts w:ascii="Times New Roman" w:hAnsi="Times New Roman" w:eastAsia="仿宋_GB2312" w:cs="Times New Roman"/>
          <w:b/>
          <w:color w:val="auto"/>
          <w:sz w:val="24"/>
          <w:szCs w:val="24"/>
          <w:highlight w:val="none"/>
        </w:rPr>
        <w:t>建设内容及规模：</w:t>
      </w:r>
      <w:r>
        <w:rPr>
          <w:rFonts w:hint="eastAsia" w:ascii="Times New Roman" w:hAnsi="Times New Roman" w:eastAsia="仿宋_GB2312" w:cs="Times New Roman"/>
          <w:color w:val="auto"/>
          <w:sz w:val="24"/>
          <w:szCs w:val="24"/>
          <w:highlight w:val="none"/>
          <w:lang w:val="en-US" w:eastAsia="zh-CN"/>
        </w:rPr>
        <w:t>德页1井钻前工程位于</w:t>
      </w:r>
      <w:r>
        <w:rPr>
          <w:rFonts w:ascii="Times New Roman" w:hAnsi="Times New Roman" w:eastAsia="仿宋" w:cs="Times New Roman"/>
          <w:sz w:val="24"/>
          <w:highlight w:val="none"/>
        </w:rPr>
        <w:t>四川省</w:t>
      </w:r>
      <w:r>
        <w:rPr>
          <w:rFonts w:hint="eastAsia" w:ascii="Times New Roman" w:hAnsi="Times New Roman" w:eastAsia="仿宋" w:cs="Times New Roman"/>
          <w:sz w:val="24"/>
          <w:highlight w:val="none"/>
        </w:rPr>
        <w:t>南充市仪陇县日兴镇油坊村5社</w:t>
      </w:r>
      <w:r>
        <w:rPr>
          <w:rFonts w:hint="eastAsia" w:ascii="Times New Roman" w:hAnsi="Times New Roman" w:eastAsia="仿宋_GB2312" w:cs="Times New Roman"/>
          <w:color w:val="auto"/>
          <w:sz w:val="24"/>
          <w:szCs w:val="24"/>
          <w:highlight w:val="none"/>
          <w:lang w:val="en-US" w:eastAsia="zh-CN"/>
        </w:rPr>
        <w:t>。德页1井</w:t>
      </w:r>
      <w:r>
        <w:rPr>
          <w:rFonts w:hint="eastAsia" w:ascii="Times New Roman" w:hAnsi="Times New Roman" w:eastAsia="仿宋" w:cs="Times New Roman"/>
          <w:sz w:val="24"/>
          <w:highlight w:val="none"/>
        </w:rPr>
        <w:t>预计井深 5140m，拟采用ZJ50D型钻机进行钻井作业，井场平面尺寸为100m（长）×55m（宽）。应急池500m</w:t>
      </w:r>
      <w:r>
        <w:rPr>
          <w:rFonts w:hint="eastAsia" w:ascii="Times New Roman" w:hAnsi="Times New Roman" w:eastAsia="仿宋" w:cs="Times New Roman"/>
          <w:sz w:val="24"/>
          <w:highlight w:val="none"/>
          <w:vertAlign w:val="superscript"/>
        </w:rPr>
        <w:t>3</w:t>
      </w:r>
      <w:r>
        <w:rPr>
          <w:rFonts w:hint="eastAsia" w:ascii="Times New Roman" w:hAnsi="Times New Roman" w:eastAsia="仿宋" w:cs="Times New Roman"/>
          <w:sz w:val="24"/>
          <w:highlight w:val="none"/>
        </w:rPr>
        <w:t>，泥浆储备罐6个，清洁生产操作平台450m</w:t>
      </w:r>
      <w:r>
        <w:rPr>
          <w:rFonts w:hint="eastAsia" w:ascii="Times New Roman" w:hAnsi="Times New Roman" w:eastAsia="仿宋" w:cs="Times New Roman"/>
          <w:sz w:val="24"/>
          <w:highlight w:val="none"/>
          <w:vertAlign w:val="superscript"/>
        </w:rPr>
        <w:t>2</w:t>
      </w:r>
      <w:r>
        <w:rPr>
          <w:rFonts w:hint="eastAsia" w:ascii="Times New Roman" w:hAnsi="Times New Roman" w:eastAsia="仿宋" w:cs="Times New Roman"/>
          <w:sz w:val="24"/>
          <w:highlight w:val="none"/>
        </w:rPr>
        <w:t>（其中 150m</w:t>
      </w:r>
      <w:r>
        <w:rPr>
          <w:rFonts w:hint="eastAsia" w:ascii="Times New Roman" w:hAnsi="Times New Roman" w:eastAsia="仿宋" w:cs="Times New Roman"/>
          <w:sz w:val="24"/>
          <w:highlight w:val="none"/>
          <w:vertAlign w:val="superscript"/>
        </w:rPr>
        <w:t>2</w:t>
      </w:r>
      <w:r>
        <w:rPr>
          <w:rFonts w:hint="eastAsia" w:ascii="Times New Roman" w:hAnsi="Times New Roman" w:eastAsia="仿宋" w:cs="Times New Roman"/>
          <w:sz w:val="24"/>
          <w:highlight w:val="none"/>
        </w:rPr>
        <w:t>作为岩屑堆放区），井队生活区一套，厕所2座，A类燃烧池1座，新建进场道路0.191km，新建生活区道路0.065km。</w:t>
      </w:r>
    </w:p>
    <w:p>
      <w:pPr>
        <w:spacing w:line="360" w:lineRule="auto"/>
        <w:ind w:firstLine="482" w:firstLineChars="200"/>
        <w:rPr>
          <w:rFonts w:ascii="Times New Roman" w:hAnsi="Times New Roman" w:eastAsia="仿宋_GB2312" w:cs="Times New Roman"/>
          <w:color w:val="auto"/>
          <w:sz w:val="24"/>
          <w:highlight w:val="none"/>
        </w:rPr>
      </w:pPr>
      <w:r>
        <w:rPr>
          <w:rFonts w:ascii="Times New Roman" w:hAnsi="Times New Roman" w:eastAsia="仿宋_GB2312" w:cs="Times New Roman"/>
          <w:b/>
          <w:color w:val="auto"/>
          <w:sz w:val="24"/>
          <w:szCs w:val="24"/>
          <w:highlight w:val="none"/>
        </w:rPr>
        <w:t>工程投资：</w:t>
      </w:r>
      <w:r>
        <w:rPr>
          <w:rFonts w:ascii="Times New Roman" w:hAnsi="Times New Roman" w:eastAsia="仿宋_GB2312" w:cs="Times New Roman"/>
          <w:color w:val="auto"/>
          <w:sz w:val="24"/>
          <w:highlight w:val="none"/>
        </w:rPr>
        <w:t>本项目总投资</w:t>
      </w:r>
      <w:r>
        <w:rPr>
          <w:rFonts w:hint="eastAsia" w:ascii="Times New Roman" w:hAnsi="Times New Roman" w:eastAsia="仿宋_GB2312" w:cs="Times New Roman"/>
          <w:color w:val="auto"/>
          <w:sz w:val="24"/>
          <w:highlight w:val="none"/>
          <w:lang w:val="en-US" w:eastAsia="zh-CN"/>
        </w:rPr>
        <w:t>1450</w:t>
      </w:r>
      <w:r>
        <w:rPr>
          <w:rFonts w:hint="eastAsia" w:ascii="Times New Roman" w:hAnsi="Times New Roman" w:eastAsia="仿宋_GB2312" w:cs="Times New Roman"/>
          <w:color w:val="auto"/>
          <w:sz w:val="24"/>
          <w:highlight w:val="none"/>
          <w:lang w:eastAsia="zh-CN"/>
        </w:rPr>
        <w:t>万元</w:t>
      </w:r>
      <w:r>
        <w:rPr>
          <w:rFonts w:ascii="Times New Roman" w:hAnsi="Times New Roman" w:eastAsia="仿宋_GB2312" w:cs="Times New Roman"/>
          <w:color w:val="auto"/>
          <w:sz w:val="24"/>
          <w:highlight w:val="none"/>
        </w:rPr>
        <w:t>，其中土建投资</w:t>
      </w:r>
      <w:r>
        <w:rPr>
          <w:rFonts w:hint="eastAsia" w:ascii="Times New Roman" w:hAnsi="Times New Roman" w:eastAsia="仿宋_GB2312" w:cs="Times New Roman"/>
          <w:color w:val="auto"/>
          <w:sz w:val="24"/>
          <w:highlight w:val="none"/>
          <w:lang w:val="en-US" w:eastAsia="zh-CN"/>
        </w:rPr>
        <w:t>890</w:t>
      </w:r>
      <w:r>
        <w:rPr>
          <w:rFonts w:hint="eastAsia" w:ascii="Times New Roman" w:hAnsi="Times New Roman" w:eastAsia="仿宋_GB2312" w:cs="Times New Roman"/>
          <w:color w:val="auto"/>
          <w:sz w:val="24"/>
          <w:highlight w:val="none"/>
          <w:lang w:eastAsia="zh-CN"/>
        </w:rPr>
        <w:t>万元</w:t>
      </w:r>
      <w:r>
        <w:rPr>
          <w:rFonts w:ascii="Times New Roman" w:hAnsi="Times New Roman" w:eastAsia="仿宋_GB2312" w:cs="Times New Roman"/>
          <w:color w:val="auto"/>
          <w:sz w:val="24"/>
          <w:highlight w:val="none"/>
        </w:rPr>
        <w:t>。</w:t>
      </w:r>
    </w:p>
    <w:p>
      <w:pPr>
        <w:widowControl w:val="0"/>
        <w:spacing w:line="360" w:lineRule="auto"/>
        <w:ind w:firstLine="482"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b/>
          <w:color w:val="auto"/>
          <w:sz w:val="24"/>
          <w:szCs w:val="24"/>
          <w:highlight w:val="none"/>
        </w:rPr>
        <w:t>建设工期：</w:t>
      </w:r>
      <w:r>
        <w:rPr>
          <w:rFonts w:hint="eastAsia" w:ascii="Times New Roman" w:hAnsi="Times New Roman" w:eastAsia="仿宋_GB2312" w:cs="Times New Roman"/>
          <w:b/>
          <w:color w:val="auto"/>
          <w:sz w:val="24"/>
          <w:szCs w:val="24"/>
          <w:highlight w:val="none"/>
          <w:lang w:val="en-US" w:eastAsia="zh-CN"/>
        </w:rPr>
        <w:t>本项目</w:t>
      </w:r>
      <w:r>
        <w:rPr>
          <w:rFonts w:ascii="Times New Roman" w:hAnsi="Times New Roman" w:eastAsia="仿宋_GB2312" w:cs="Times New Roman"/>
          <w:color w:val="auto"/>
          <w:sz w:val="24"/>
          <w:szCs w:val="24"/>
          <w:highlight w:val="none"/>
        </w:rPr>
        <w:t>计划于2022年</w:t>
      </w:r>
      <w:r>
        <w:rPr>
          <w:rFonts w:hint="eastAsia" w:ascii="Times New Roman" w:hAnsi="Times New Roman" w:eastAsia="仿宋_GB2312" w:cs="Times New Roman"/>
          <w:color w:val="auto"/>
          <w:sz w:val="24"/>
          <w:szCs w:val="24"/>
          <w:highlight w:val="none"/>
          <w:lang w:val="en-US" w:eastAsia="zh-CN"/>
        </w:rPr>
        <w:t>9</w:t>
      </w:r>
      <w:r>
        <w:rPr>
          <w:rFonts w:ascii="Times New Roman" w:hAnsi="Times New Roman" w:eastAsia="仿宋_GB2312" w:cs="Times New Roman"/>
          <w:color w:val="auto"/>
          <w:sz w:val="24"/>
          <w:szCs w:val="24"/>
          <w:highlight w:val="none"/>
        </w:rPr>
        <w:t>月开工建设，于202</w:t>
      </w:r>
      <w:r>
        <w:rPr>
          <w:rFonts w:hint="eastAsia" w:ascii="Times New Roman" w:hAnsi="Times New Roman" w:eastAsia="仿宋_GB2312" w:cs="Times New Roman"/>
          <w:color w:val="auto"/>
          <w:sz w:val="24"/>
          <w:szCs w:val="24"/>
          <w:highlight w:val="none"/>
          <w:lang w:val="en-US" w:eastAsia="zh-CN"/>
        </w:rPr>
        <w:t>3</w:t>
      </w:r>
      <w:r>
        <w:rPr>
          <w:rFonts w:ascii="Times New Roman" w:hAnsi="Times New Roman" w:eastAsia="仿宋_GB2312" w:cs="Times New Roman"/>
          <w:color w:val="auto"/>
          <w:sz w:val="24"/>
          <w:szCs w:val="24"/>
          <w:highlight w:val="none"/>
        </w:rPr>
        <w:t>年</w:t>
      </w:r>
      <w:r>
        <w:rPr>
          <w:rFonts w:hint="eastAsia" w:ascii="Times New Roman" w:hAnsi="Times New Roman" w:eastAsia="仿宋_GB2312" w:cs="Times New Roman"/>
          <w:color w:val="auto"/>
          <w:sz w:val="24"/>
          <w:szCs w:val="24"/>
          <w:highlight w:val="none"/>
          <w:lang w:val="en-US" w:eastAsia="zh-CN"/>
        </w:rPr>
        <w:t>2</w:t>
      </w:r>
      <w:r>
        <w:rPr>
          <w:rFonts w:ascii="Times New Roman" w:hAnsi="Times New Roman" w:eastAsia="仿宋_GB2312" w:cs="Times New Roman"/>
          <w:color w:val="auto"/>
          <w:sz w:val="24"/>
          <w:szCs w:val="24"/>
          <w:highlight w:val="none"/>
        </w:rPr>
        <w:t>月竣工，共6个月。</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本项目主要工程特性详见下表。</w:t>
      </w:r>
    </w:p>
    <w:p>
      <w:pPr>
        <w:widowControl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表2.1-1工程主要特性表</w:t>
      </w:r>
    </w:p>
    <w:tbl>
      <w:tblPr>
        <w:tblStyle w:val="115"/>
        <w:tblpPr w:leftFromText="180" w:rightFromText="180" w:vertAnchor="text" w:horzAnchor="margin" w:tblpXSpec="center" w:tblpY="16"/>
        <w:tblW w:w="874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57" w:type="dxa"/>
          <w:bottom w:w="28" w:type="dxa"/>
          <w:right w:w="57" w:type="dxa"/>
        </w:tblCellMar>
      </w:tblPr>
      <w:tblGrid>
        <w:gridCol w:w="1333"/>
        <w:gridCol w:w="467"/>
        <w:gridCol w:w="1013"/>
        <w:gridCol w:w="288"/>
        <w:gridCol w:w="70"/>
        <w:gridCol w:w="656"/>
        <w:gridCol w:w="716"/>
        <w:gridCol w:w="302"/>
        <w:gridCol w:w="831"/>
        <w:gridCol w:w="1320"/>
        <w:gridCol w:w="17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35" w:hRule="atLeast"/>
        </w:trPr>
        <w:tc>
          <w:tcPr>
            <w:tcW w:w="8745" w:type="dxa"/>
            <w:gridSpan w:val="11"/>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bookmarkStart w:id="49" w:name="_Hlk507663809"/>
            <w:r>
              <w:rPr>
                <w:rFonts w:ascii="Times New Roman" w:hAnsi="Times New Roman" w:eastAsia="仿宋_GB2312" w:cs="Times New Roman"/>
                <w:color w:val="auto"/>
                <w:kern w:val="0"/>
                <w:sz w:val="18"/>
                <w:szCs w:val="18"/>
                <w:highlight w:val="none"/>
              </w:rPr>
              <w:t>一、项目的基本情况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项目名称</w:t>
            </w:r>
          </w:p>
        </w:tc>
        <w:tc>
          <w:tcPr>
            <w:tcW w:w="7412" w:type="dxa"/>
            <w:gridSpan w:val="10"/>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德页1井</w:t>
            </w:r>
            <w:r>
              <w:rPr>
                <w:rFonts w:ascii="Times New Roman" w:hAnsi="Times New Roman" w:eastAsia="仿宋_GB2312" w:cs="Times New Roman"/>
                <w:color w:val="auto"/>
                <w:kern w:val="0"/>
                <w:sz w:val="18"/>
                <w:szCs w:val="18"/>
                <w:highlight w:val="none"/>
              </w:rPr>
              <w:t>钻前工程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21"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建设单位</w:t>
            </w:r>
          </w:p>
        </w:tc>
        <w:tc>
          <w:tcPr>
            <w:tcW w:w="7412" w:type="dxa"/>
            <w:gridSpan w:val="10"/>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大庆油田有限责任公司勘探事业部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17"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建设地点</w:t>
            </w:r>
          </w:p>
        </w:tc>
        <w:tc>
          <w:tcPr>
            <w:tcW w:w="7412" w:type="dxa"/>
            <w:gridSpan w:val="10"/>
            <w:vAlign w:val="center"/>
          </w:tcPr>
          <w:p>
            <w:pPr>
              <w:widowControl w:val="0"/>
              <w:kinsoku w:val="0"/>
              <w:overflowPunct w:val="0"/>
              <w:autoSpaceDE w:val="0"/>
              <w:autoSpaceDN w:val="0"/>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lang w:eastAsia="zh-CN"/>
              </w:rPr>
              <w:t>四川省南充市仪陇县日兴镇油坊村5社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13"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工程性质</w:t>
            </w:r>
          </w:p>
        </w:tc>
        <w:tc>
          <w:tcPr>
            <w:tcW w:w="7412" w:type="dxa"/>
            <w:gridSpan w:val="10"/>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新建，建设类项目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55"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建设内容及规模</w:t>
            </w:r>
          </w:p>
        </w:tc>
        <w:tc>
          <w:tcPr>
            <w:tcW w:w="7412" w:type="dxa"/>
            <w:gridSpan w:val="10"/>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德页1井钻前工程位于</w:t>
            </w:r>
            <w:r>
              <w:rPr>
                <w:rFonts w:ascii="Times New Roman" w:hAnsi="Times New Roman" w:eastAsia="仿宋_GB2312" w:cs="Times New Roman"/>
                <w:color w:val="auto"/>
                <w:kern w:val="0"/>
                <w:sz w:val="18"/>
                <w:szCs w:val="18"/>
                <w:highlight w:val="none"/>
              </w:rPr>
              <w:t>四川省四川省</w:t>
            </w:r>
            <w:r>
              <w:rPr>
                <w:rFonts w:hint="eastAsia" w:ascii="Times New Roman" w:hAnsi="Times New Roman" w:eastAsia="仿宋_GB2312" w:cs="Times New Roman"/>
                <w:color w:val="auto"/>
                <w:kern w:val="0"/>
                <w:sz w:val="18"/>
                <w:szCs w:val="18"/>
                <w:highlight w:val="none"/>
              </w:rPr>
              <w:t>南充市仪陇县日兴镇油坊村5社</w:t>
            </w:r>
            <w:r>
              <w:rPr>
                <w:rFonts w:hint="eastAsia" w:ascii="Times New Roman" w:hAnsi="Times New Roman" w:eastAsia="仿宋_GB2312" w:cs="Times New Roman"/>
                <w:color w:val="auto"/>
                <w:kern w:val="0"/>
                <w:sz w:val="18"/>
                <w:szCs w:val="18"/>
                <w:highlight w:val="none"/>
                <w:lang w:val="en-US" w:eastAsia="zh-CN"/>
              </w:rPr>
              <w:t>。德页1井</w:t>
            </w:r>
            <w:r>
              <w:rPr>
                <w:rFonts w:hint="eastAsia" w:ascii="Times New Roman" w:hAnsi="Times New Roman" w:eastAsia="仿宋_GB2312" w:cs="Times New Roman"/>
                <w:color w:val="auto"/>
                <w:kern w:val="0"/>
                <w:sz w:val="18"/>
                <w:szCs w:val="18"/>
                <w:highlight w:val="none"/>
              </w:rPr>
              <w:t>预计井深 5140m，拟采用ZJ50D型钻机进行钻井作业，井场平面尺寸为100m（长）×55m（宽）。应急池500m</w:t>
            </w:r>
            <w:r>
              <w:rPr>
                <w:rFonts w:hint="eastAsia" w:ascii="Times New Roman" w:hAnsi="Times New Roman" w:eastAsia="仿宋_GB2312" w:cs="Times New Roman"/>
                <w:color w:val="auto"/>
                <w:kern w:val="0"/>
                <w:sz w:val="18"/>
                <w:szCs w:val="18"/>
                <w:highlight w:val="none"/>
                <w:vertAlign w:val="superscript"/>
              </w:rPr>
              <w:t>3</w:t>
            </w:r>
            <w:r>
              <w:rPr>
                <w:rFonts w:hint="eastAsia" w:ascii="Times New Roman" w:hAnsi="Times New Roman" w:eastAsia="仿宋_GB2312" w:cs="Times New Roman"/>
                <w:color w:val="auto"/>
                <w:kern w:val="0"/>
                <w:sz w:val="18"/>
                <w:szCs w:val="18"/>
                <w:highlight w:val="none"/>
              </w:rPr>
              <w:t>，泥浆储备罐6个，清洁生产操作平台450m</w:t>
            </w:r>
            <w:r>
              <w:rPr>
                <w:rFonts w:hint="eastAsia" w:ascii="Times New Roman" w:hAnsi="Times New Roman" w:eastAsia="仿宋_GB2312" w:cs="Times New Roman"/>
                <w:color w:val="auto"/>
                <w:kern w:val="0"/>
                <w:sz w:val="18"/>
                <w:szCs w:val="18"/>
                <w:highlight w:val="none"/>
                <w:vertAlign w:val="superscript"/>
              </w:rPr>
              <w:t>2</w:t>
            </w:r>
            <w:r>
              <w:rPr>
                <w:rFonts w:hint="eastAsia" w:ascii="Times New Roman" w:hAnsi="Times New Roman" w:eastAsia="仿宋_GB2312" w:cs="Times New Roman"/>
                <w:color w:val="auto"/>
                <w:kern w:val="0"/>
                <w:sz w:val="18"/>
                <w:szCs w:val="18"/>
                <w:highlight w:val="none"/>
              </w:rPr>
              <w:t>（其中 150m</w:t>
            </w:r>
            <w:r>
              <w:rPr>
                <w:rFonts w:hint="eastAsia" w:ascii="Times New Roman" w:hAnsi="Times New Roman" w:eastAsia="仿宋_GB2312" w:cs="Times New Roman"/>
                <w:color w:val="auto"/>
                <w:kern w:val="0"/>
                <w:sz w:val="18"/>
                <w:szCs w:val="18"/>
                <w:highlight w:val="none"/>
                <w:vertAlign w:val="superscript"/>
              </w:rPr>
              <w:t>2</w:t>
            </w:r>
            <w:r>
              <w:rPr>
                <w:rFonts w:hint="eastAsia" w:ascii="Times New Roman" w:hAnsi="Times New Roman" w:eastAsia="仿宋_GB2312" w:cs="Times New Roman"/>
                <w:color w:val="auto"/>
                <w:kern w:val="0"/>
                <w:sz w:val="18"/>
                <w:szCs w:val="18"/>
                <w:highlight w:val="none"/>
              </w:rPr>
              <w:t>作为岩屑堆放区），井队生活区一套，厕所2座，A类燃烧池1座，新建进场道路0.191km，新建生活区道路0.065km。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70"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建设工期</w:t>
            </w:r>
          </w:p>
        </w:tc>
        <w:tc>
          <w:tcPr>
            <w:tcW w:w="7412" w:type="dxa"/>
            <w:gridSpan w:val="10"/>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计划于2022年</w:t>
            </w:r>
            <w:r>
              <w:rPr>
                <w:rFonts w:hint="eastAsia" w:ascii="Times New Roman" w:hAnsi="Times New Roman" w:eastAsia="仿宋_GB2312" w:cs="Times New Roman"/>
                <w:color w:val="auto"/>
                <w:kern w:val="0"/>
                <w:sz w:val="18"/>
                <w:szCs w:val="18"/>
                <w:highlight w:val="none"/>
                <w:lang w:val="en-US" w:eastAsia="zh-CN"/>
              </w:rPr>
              <w:t>9</w:t>
            </w:r>
            <w:r>
              <w:rPr>
                <w:rFonts w:ascii="Times New Roman" w:hAnsi="Times New Roman" w:eastAsia="仿宋_GB2312" w:cs="Times New Roman"/>
                <w:color w:val="auto"/>
                <w:kern w:val="0"/>
                <w:sz w:val="18"/>
                <w:szCs w:val="18"/>
                <w:highlight w:val="none"/>
              </w:rPr>
              <w:t>月开工建设，于202</w:t>
            </w:r>
            <w:r>
              <w:rPr>
                <w:rFonts w:hint="eastAsia" w:ascii="Times New Roman" w:hAnsi="Times New Roman" w:eastAsia="仿宋_GB2312" w:cs="Times New Roman"/>
                <w:color w:val="auto"/>
                <w:kern w:val="0"/>
                <w:sz w:val="18"/>
                <w:szCs w:val="18"/>
                <w:highlight w:val="none"/>
                <w:lang w:val="en-US" w:eastAsia="zh-CN"/>
              </w:rPr>
              <w:t>3</w:t>
            </w:r>
            <w:r>
              <w:rPr>
                <w:rFonts w:ascii="Times New Roman" w:hAnsi="Times New Roman" w:eastAsia="仿宋_GB2312" w:cs="Times New Roman"/>
                <w:color w:val="auto"/>
                <w:kern w:val="0"/>
                <w:sz w:val="18"/>
                <w:szCs w:val="18"/>
                <w:highlight w:val="none"/>
              </w:rPr>
              <w:t>年</w:t>
            </w:r>
            <w:r>
              <w:rPr>
                <w:rFonts w:hint="eastAsia" w:ascii="Times New Roman" w:hAnsi="Times New Roman" w:eastAsia="仿宋_GB2312" w:cs="Times New Roman"/>
                <w:color w:val="auto"/>
                <w:kern w:val="0"/>
                <w:sz w:val="18"/>
                <w:szCs w:val="18"/>
                <w:highlight w:val="none"/>
                <w:lang w:val="en-US" w:eastAsia="zh-CN"/>
              </w:rPr>
              <w:t>2</w:t>
            </w:r>
            <w:r>
              <w:rPr>
                <w:rFonts w:ascii="Times New Roman" w:hAnsi="Times New Roman" w:eastAsia="仿宋_GB2312" w:cs="Times New Roman"/>
                <w:color w:val="auto"/>
                <w:kern w:val="0"/>
                <w:sz w:val="18"/>
                <w:szCs w:val="18"/>
                <w:highlight w:val="none"/>
              </w:rPr>
              <w:t>月竣工，共6个月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70"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项目投资</w:t>
            </w:r>
          </w:p>
        </w:tc>
        <w:tc>
          <w:tcPr>
            <w:tcW w:w="7412" w:type="dxa"/>
            <w:gridSpan w:val="10"/>
            <w:vAlign w:val="center"/>
          </w:tcPr>
          <w:p>
            <w:pPr>
              <w:widowControl w:val="0"/>
              <w:kinsoku w:val="0"/>
              <w:overflowPunct w:val="0"/>
              <w:autoSpaceDE w:val="0"/>
              <w:autoSpaceDN w:val="0"/>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总投资为</w:t>
            </w:r>
            <w:r>
              <w:rPr>
                <w:rFonts w:hint="eastAsia" w:ascii="Times New Roman" w:hAnsi="Times New Roman" w:eastAsia="仿宋_GB2312" w:cs="Times New Roman"/>
                <w:color w:val="auto"/>
                <w:kern w:val="0"/>
                <w:sz w:val="18"/>
                <w:szCs w:val="18"/>
                <w:highlight w:val="none"/>
                <w:lang w:val="en-US" w:eastAsia="zh-CN"/>
              </w:rPr>
              <w:t>1450</w:t>
            </w:r>
            <w:r>
              <w:rPr>
                <w:rFonts w:hint="eastAsia" w:ascii="Times New Roman" w:hAnsi="Times New Roman" w:eastAsia="仿宋_GB2312" w:cs="Times New Roman"/>
                <w:color w:val="auto"/>
                <w:kern w:val="0"/>
                <w:sz w:val="18"/>
                <w:szCs w:val="18"/>
                <w:highlight w:val="none"/>
                <w:lang w:eastAsia="zh-CN"/>
              </w:rPr>
              <w:t>万元</w:t>
            </w:r>
            <w:r>
              <w:rPr>
                <w:rFonts w:ascii="Times New Roman" w:hAnsi="Times New Roman" w:eastAsia="仿宋_GB2312" w:cs="Times New Roman"/>
                <w:color w:val="auto"/>
                <w:kern w:val="0"/>
                <w:sz w:val="18"/>
                <w:szCs w:val="18"/>
                <w:highlight w:val="none"/>
              </w:rPr>
              <w:t>，其中土建投资</w:t>
            </w:r>
            <w:r>
              <w:rPr>
                <w:rFonts w:hint="eastAsia" w:ascii="Times New Roman" w:hAnsi="Times New Roman" w:eastAsia="仿宋_GB2312" w:cs="Times New Roman"/>
                <w:color w:val="auto"/>
                <w:kern w:val="0"/>
                <w:sz w:val="18"/>
                <w:szCs w:val="18"/>
                <w:highlight w:val="none"/>
                <w:lang w:val="en-US" w:eastAsia="zh-CN"/>
              </w:rPr>
              <w:t>890</w:t>
            </w:r>
            <w:r>
              <w:rPr>
                <w:rFonts w:hint="eastAsia" w:ascii="Times New Roman" w:hAnsi="Times New Roman" w:eastAsia="仿宋_GB2312" w:cs="Times New Roman"/>
                <w:color w:val="auto"/>
                <w:kern w:val="0"/>
                <w:sz w:val="18"/>
                <w:szCs w:val="18"/>
                <w:highlight w:val="none"/>
                <w:lang w:eastAsia="zh-CN"/>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404" w:hRule="atLeast"/>
        </w:trPr>
        <w:tc>
          <w:tcPr>
            <w:tcW w:w="1333" w:type="dxa"/>
            <w:vMerge w:val="restart"/>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项目组成</w:t>
            </w:r>
          </w:p>
        </w:tc>
        <w:tc>
          <w:tcPr>
            <w:tcW w:w="1768"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w:t>
            </w:r>
          </w:p>
        </w:tc>
        <w:tc>
          <w:tcPr>
            <w:tcW w:w="5644" w:type="dxa"/>
            <w:gridSpan w:val="7"/>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井场平面有效尺寸为</w:t>
            </w:r>
            <w:r>
              <w:rPr>
                <w:rFonts w:hint="default" w:ascii="Times New Roman" w:hAnsi="Times New Roman" w:eastAsia="仿宋_GB2312" w:cs="Times New Roman"/>
                <w:color w:val="auto"/>
                <w:kern w:val="0"/>
                <w:sz w:val="18"/>
                <w:szCs w:val="18"/>
                <w:highlight w:val="none"/>
                <w:lang w:val="en-US" w:eastAsia="zh-CN"/>
              </w:rPr>
              <w:t>1</w:t>
            </w:r>
            <w:r>
              <w:rPr>
                <w:rFonts w:hint="eastAsia" w:ascii="Times New Roman" w:hAnsi="Times New Roman" w:eastAsia="仿宋_GB2312" w:cs="Times New Roman"/>
                <w:color w:val="auto"/>
                <w:kern w:val="0"/>
                <w:sz w:val="18"/>
                <w:szCs w:val="18"/>
                <w:highlight w:val="none"/>
                <w:lang w:val="en-US" w:eastAsia="zh-CN"/>
              </w:rPr>
              <w:t>00</w:t>
            </w:r>
            <w:r>
              <w:rPr>
                <w:rFonts w:hint="default" w:ascii="Times New Roman" w:hAnsi="Times New Roman" w:eastAsia="仿宋_GB2312" w:cs="Times New Roman"/>
                <w:color w:val="auto"/>
                <w:kern w:val="0"/>
                <w:sz w:val="18"/>
                <w:szCs w:val="18"/>
                <w:highlight w:val="none"/>
                <w:lang w:val="en-US" w:eastAsia="zh-CN"/>
              </w:rPr>
              <w:t>m×</w:t>
            </w:r>
            <w:r>
              <w:rPr>
                <w:rFonts w:hint="eastAsia" w:ascii="Times New Roman" w:hAnsi="Times New Roman" w:eastAsia="仿宋_GB2312" w:cs="Times New Roman"/>
                <w:color w:val="auto"/>
                <w:kern w:val="0"/>
                <w:sz w:val="18"/>
                <w:szCs w:val="18"/>
                <w:highlight w:val="none"/>
                <w:lang w:val="en-US" w:eastAsia="zh-CN"/>
              </w:rPr>
              <w:t>55</w:t>
            </w:r>
            <w:r>
              <w:rPr>
                <w:rFonts w:hint="default" w:ascii="Times New Roman" w:hAnsi="Times New Roman" w:eastAsia="仿宋_GB2312" w:cs="Times New Roman"/>
                <w:color w:val="auto"/>
                <w:kern w:val="0"/>
                <w:sz w:val="18"/>
                <w:szCs w:val="18"/>
                <w:highlight w:val="none"/>
                <w:lang w:val="en-US" w:eastAsia="zh-CN"/>
              </w:rPr>
              <w:t>m</w:t>
            </w:r>
            <w:r>
              <w:rPr>
                <w:rFonts w:hint="eastAsia" w:ascii="Times New Roman" w:hAnsi="Times New Roman" w:eastAsia="仿宋_GB2312" w:cs="Times New Roman"/>
                <w:color w:val="auto"/>
                <w:kern w:val="0"/>
                <w:sz w:val="18"/>
                <w:szCs w:val="18"/>
                <w:highlight w:val="none"/>
                <w:lang w:val="en-US" w:eastAsia="zh-CN"/>
              </w:rPr>
              <w:t>，泥浆储备罐</w:t>
            </w:r>
            <w:r>
              <w:rPr>
                <w:rFonts w:hint="default" w:ascii="Times New Roman" w:hAnsi="Times New Roman" w:eastAsia="仿宋_GB2312" w:cs="Times New Roman"/>
                <w:color w:val="auto"/>
                <w:kern w:val="0"/>
                <w:sz w:val="18"/>
                <w:szCs w:val="18"/>
                <w:highlight w:val="none"/>
                <w:lang w:val="en-US" w:eastAsia="zh-CN"/>
              </w:rPr>
              <w:t>8</w:t>
            </w:r>
            <w:r>
              <w:rPr>
                <w:rFonts w:hint="eastAsia" w:ascii="Times New Roman" w:hAnsi="Times New Roman" w:eastAsia="仿宋_GB2312" w:cs="Times New Roman"/>
                <w:color w:val="auto"/>
                <w:kern w:val="0"/>
                <w:sz w:val="18"/>
                <w:szCs w:val="18"/>
                <w:highlight w:val="none"/>
                <w:lang w:val="en-US" w:eastAsia="zh-CN"/>
              </w:rPr>
              <w:t>个，</w:t>
            </w:r>
            <w:r>
              <w:rPr>
                <w:rFonts w:hint="default" w:ascii="Times New Roman" w:hAnsi="Times New Roman" w:eastAsia="仿宋_GB2312" w:cs="Times New Roman"/>
                <w:color w:val="auto"/>
                <w:kern w:val="0"/>
                <w:sz w:val="18"/>
                <w:szCs w:val="18"/>
                <w:highlight w:val="none"/>
                <w:lang w:val="en-US" w:eastAsia="zh-CN"/>
              </w:rPr>
              <w:t>A</w:t>
            </w:r>
            <w:r>
              <w:rPr>
                <w:rFonts w:hint="eastAsia" w:ascii="Times New Roman" w:hAnsi="Times New Roman" w:eastAsia="仿宋_GB2312" w:cs="Times New Roman"/>
                <w:color w:val="auto"/>
                <w:kern w:val="0"/>
                <w:sz w:val="18"/>
                <w:szCs w:val="18"/>
                <w:highlight w:val="none"/>
                <w:lang w:val="en-US" w:eastAsia="zh-CN"/>
              </w:rPr>
              <w:t>类燃烧池1座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70" w:hRule="atLeast"/>
        </w:trPr>
        <w:tc>
          <w:tcPr>
            <w:tcW w:w="1333" w:type="dxa"/>
            <w:vMerge w:val="continue"/>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p>
        </w:tc>
        <w:tc>
          <w:tcPr>
            <w:tcW w:w="1768" w:type="dxa"/>
            <w:gridSpan w:val="3"/>
            <w:vAlign w:val="center"/>
          </w:tcPr>
          <w:p>
            <w:pPr>
              <w:widowControl w:val="0"/>
              <w:kinsoku w:val="0"/>
              <w:overflowPunct w:val="0"/>
              <w:autoSpaceDE w:val="0"/>
              <w:autoSpaceDN w:val="0"/>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vertAlign w:val="baseline"/>
                <w:lang w:eastAsia="zh-CN"/>
              </w:rPr>
              <w:t>临时生活区</w:t>
            </w:r>
          </w:p>
        </w:tc>
        <w:tc>
          <w:tcPr>
            <w:tcW w:w="5644" w:type="dxa"/>
            <w:gridSpan w:val="7"/>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主要包括临时房屋（生活区和厕所、厨房等）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13" w:hRule="atLeast"/>
        </w:trPr>
        <w:tc>
          <w:tcPr>
            <w:tcW w:w="1333" w:type="dxa"/>
            <w:vMerge w:val="continue"/>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p>
        </w:tc>
        <w:tc>
          <w:tcPr>
            <w:tcW w:w="1768"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w:t>
            </w:r>
          </w:p>
        </w:tc>
        <w:tc>
          <w:tcPr>
            <w:tcW w:w="5644" w:type="dxa"/>
            <w:gridSpan w:val="7"/>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在</w:t>
            </w:r>
            <w:r>
              <w:rPr>
                <w:rFonts w:hint="eastAsia" w:ascii="Times New Roman" w:hAnsi="Times New Roman" w:eastAsia="仿宋_GB2312" w:cs="Times New Roman"/>
                <w:color w:val="auto"/>
                <w:kern w:val="0"/>
                <w:sz w:val="18"/>
                <w:szCs w:val="18"/>
                <w:highlight w:val="none"/>
                <w:lang w:val="en-US" w:eastAsia="zh-CN"/>
              </w:rPr>
              <w:t>井场平台左侧</w:t>
            </w:r>
            <w:r>
              <w:rPr>
                <w:rFonts w:ascii="Times New Roman" w:hAnsi="Times New Roman" w:eastAsia="仿宋_GB2312" w:cs="Times New Roman"/>
                <w:color w:val="auto"/>
                <w:kern w:val="0"/>
                <w:sz w:val="18"/>
                <w:szCs w:val="18"/>
                <w:highlight w:val="none"/>
              </w:rPr>
              <w:t>布设1处表土堆放场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55" w:hRule="atLeast"/>
        </w:trPr>
        <w:tc>
          <w:tcPr>
            <w:tcW w:w="1333" w:type="dxa"/>
            <w:vMerge w:val="continue"/>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p>
        </w:tc>
        <w:tc>
          <w:tcPr>
            <w:tcW w:w="1768"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w:t>
            </w:r>
          </w:p>
        </w:tc>
        <w:tc>
          <w:tcPr>
            <w:tcW w:w="5644" w:type="dxa"/>
            <w:gridSpan w:val="7"/>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sz w:val="18"/>
                <w:szCs w:val="18"/>
                <w:highlight w:val="none"/>
              </w:rPr>
            </w:pPr>
            <w:r>
              <w:rPr>
                <w:rFonts w:hint="eastAsia" w:ascii="Times New Roman" w:hAnsi="Times New Roman" w:eastAsia="仿宋_GB2312" w:cs="Times New Roman"/>
                <w:color w:val="auto"/>
                <w:kern w:val="0"/>
                <w:sz w:val="18"/>
                <w:szCs w:val="18"/>
                <w:highlight w:val="none"/>
              </w:rPr>
              <w:t>新建进场道路0.191km，新建生活区道路0.065km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9" w:hRule="atLeast"/>
        </w:trPr>
        <w:tc>
          <w:tcPr>
            <w:tcW w:w="133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拆迁安置</w:t>
            </w:r>
          </w:p>
        </w:tc>
        <w:tc>
          <w:tcPr>
            <w:tcW w:w="7412" w:type="dxa"/>
            <w:gridSpan w:val="10"/>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不涉及拆迁安置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09" w:hRule="atLeast"/>
        </w:trPr>
        <w:tc>
          <w:tcPr>
            <w:tcW w:w="8745" w:type="dxa"/>
            <w:gridSpan w:val="11"/>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二、项目占地情况（</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r>
              <w:rPr>
                <w:rFonts w:ascii="Times New Roman" w:hAnsi="Times New Roman" w:eastAsia="仿宋_GB2312" w:cs="Times New Roman"/>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90" w:hRule="atLeast"/>
        </w:trPr>
        <w:tc>
          <w:tcPr>
            <w:tcW w:w="1800"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项目组成</w:t>
            </w:r>
          </w:p>
        </w:tc>
        <w:tc>
          <w:tcPr>
            <w:tcW w:w="1013"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永久占地</w:t>
            </w:r>
          </w:p>
        </w:tc>
        <w:tc>
          <w:tcPr>
            <w:tcW w:w="1014"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临时占地</w:t>
            </w:r>
          </w:p>
        </w:tc>
        <w:tc>
          <w:tcPr>
            <w:tcW w:w="1018"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小计</w:t>
            </w:r>
          </w:p>
        </w:tc>
        <w:tc>
          <w:tcPr>
            <w:tcW w:w="3900"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55" w:hRule="atLeast"/>
        </w:trPr>
        <w:tc>
          <w:tcPr>
            <w:tcW w:w="1800"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w:t>
            </w:r>
          </w:p>
        </w:tc>
        <w:tc>
          <w:tcPr>
            <w:tcW w:w="101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1014" w:type="dxa"/>
            <w:gridSpan w:val="3"/>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c>
          <w:tcPr>
            <w:tcW w:w="1018" w:type="dxa"/>
            <w:gridSpan w:val="2"/>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1.13</w:t>
            </w:r>
          </w:p>
        </w:tc>
        <w:tc>
          <w:tcPr>
            <w:tcW w:w="3900" w:type="dxa"/>
            <w:gridSpan w:val="3"/>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含井场及附属工程用地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70" w:hRule="atLeast"/>
        </w:trPr>
        <w:tc>
          <w:tcPr>
            <w:tcW w:w="1800" w:type="dxa"/>
            <w:gridSpan w:val="2"/>
            <w:vAlign w:val="center"/>
          </w:tcPr>
          <w:p>
            <w:pPr>
              <w:widowControl w:val="0"/>
              <w:kinsoku w:val="0"/>
              <w:overflowPunct w:val="0"/>
              <w:autoSpaceDE w:val="0"/>
              <w:autoSpaceDN w:val="0"/>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vertAlign w:val="baseline"/>
                <w:lang w:eastAsia="zh-CN"/>
              </w:rPr>
              <w:t>临时生活区</w:t>
            </w:r>
          </w:p>
        </w:tc>
        <w:tc>
          <w:tcPr>
            <w:tcW w:w="101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1014" w:type="dxa"/>
            <w:gridSpan w:val="3"/>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0.23</w:t>
            </w:r>
          </w:p>
        </w:tc>
        <w:tc>
          <w:tcPr>
            <w:tcW w:w="1018" w:type="dxa"/>
            <w:gridSpan w:val="2"/>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0.23</w:t>
            </w:r>
          </w:p>
        </w:tc>
        <w:tc>
          <w:tcPr>
            <w:tcW w:w="3900" w:type="dxa"/>
            <w:gridSpan w:val="3"/>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施工</w:t>
            </w:r>
            <w:r>
              <w:rPr>
                <w:rFonts w:hint="eastAsia" w:ascii="Times New Roman" w:hAnsi="Times New Roman" w:eastAsia="仿宋_GB2312" w:cs="Times New Roman"/>
                <w:color w:val="auto"/>
                <w:kern w:val="0"/>
                <w:sz w:val="18"/>
                <w:szCs w:val="18"/>
                <w:highlight w:val="none"/>
                <w:lang w:eastAsia="zh-CN"/>
              </w:rPr>
              <w:t>临时生活区</w:t>
            </w:r>
            <w:r>
              <w:rPr>
                <w:rFonts w:ascii="Times New Roman" w:hAnsi="Times New Roman" w:eastAsia="仿宋_GB2312" w:cs="Times New Roman"/>
                <w:color w:val="auto"/>
                <w:kern w:val="0"/>
                <w:sz w:val="18"/>
                <w:szCs w:val="18"/>
                <w:highlight w:val="none"/>
              </w:rPr>
              <w:t>用地范围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70" w:hRule="atLeast"/>
        </w:trPr>
        <w:tc>
          <w:tcPr>
            <w:tcW w:w="1800"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w:t>
            </w:r>
          </w:p>
        </w:tc>
        <w:tc>
          <w:tcPr>
            <w:tcW w:w="101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1014" w:type="dxa"/>
            <w:gridSpan w:val="3"/>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1018" w:type="dxa"/>
            <w:gridSpan w:val="2"/>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0.10</w:t>
            </w:r>
          </w:p>
        </w:tc>
        <w:tc>
          <w:tcPr>
            <w:tcW w:w="3900" w:type="dxa"/>
            <w:gridSpan w:val="3"/>
            <w:vAlign w:val="center"/>
          </w:tcPr>
          <w:p>
            <w:pPr>
              <w:widowControl w:val="0"/>
              <w:kinsoku w:val="0"/>
              <w:overflowPunct w:val="0"/>
              <w:autoSpaceDE w:val="0"/>
              <w:autoSpaceDN w:val="0"/>
              <w:adjustRightInd w:val="0"/>
              <w:snapToGrid w:val="0"/>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表土堆放场占地范围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13" w:hRule="atLeast"/>
        </w:trPr>
        <w:tc>
          <w:tcPr>
            <w:tcW w:w="1800"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w:t>
            </w:r>
          </w:p>
        </w:tc>
        <w:tc>
          <w:tcPr>
            <w:tcW w:w="101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1014" w:type="dxa"/>
            <w:gridSpan w:val="3"/>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0.30</w:t>
            </w:r>
          </w:p>
        </w:tc>
        <w:tc>
          <w:tcPr>
            <w:tcW w:w="1018" w:type="dxa"/>
            <w:gridSpan w:val="2"/>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0.30</w:t>
            </w:r>
          </w:p>
        </w:tc>
        <w:tc>
          <w:tcPr>
            <w:tcW w:w="3900" w:type="dxa"/>
            <w:gridSpan w:val="3"/>
            <w:vAlign w:val="center"/>
          </w:tcPr>
          <w:p>
            <w:pPr>
              <w:widowControl w:val="0"/>
              <w:kinsoku w:val="0"/>
              <w:overflowPunct w:val="0"/>
              <w:autoSpaceDE w:val="0"/>
              <w:autoSpaceDN w:val="0"/>
              <w:adjustRightInd w:val="0"/>
              <w:snapToGrid w:val="0"/>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新建</w:t>
            </w:r>
            <w:r>
              <w:rPr>
                <w:rFonts w:ascii="Times New Roman" w:hAnsi="Times New Roman" w:eastAsia="仿宋_GB2312" w:cs="Times New Roman"/>
                <w:color w:val="auto"/>
                <w:kern w:val="0"/>
                <w:sz w:val="18"/>
                <w:szCs w:val="18"/>
                <w:highlight w:val="none"/>
              </w:rPr>
              <w:t>进场道路用地</w:t>
            </w:r>
            <w:r>
              <w:rPr>
                <w:rFonts w:hint="eastAsia" w:ascii="Times New Roman" w:hAnsi="Times New Roman" w:eastAsia="仿宋_GB2312" w:cs="Times New Roman"/>
                <w:color w:val="auto"/>
                <w:kern w:val="0"/>
                <w:sz w:val="18"/>
                <w:szCs w:val="18"/>
                <w:highlight w:val="none"/>
                <w:lang w:val="en-US" w:eastAsia="zh-CN"/>
              </w:rPr>
              <w:t>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59" w:hRule="atLeast"/>
        </w:trPr>
        <w:tc>
          <w:tcPr>
            <w:tcW w:w="1800"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合计</w:t>
            </w:r>
          </w:p>
        </w:tc>
        <w:tc>
          <w:tcPr>
            <w:tcW w:w="101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1014" w:type="dxa"/>
            <w:gridSpan w:val="3"/>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1.76</w:t>
            </w:r>
          </w:p>
        </w:tc>
        <w:tc>
          <w:tcPr>
            <w:tcW w:w="1018" w:type="dxa"/>
            <w:gridSpan w:val="2"/>
            <w:vAlign w:val="center"/>
          </w:tcPr>
          <w:p>
            <w:pPr>
              <w:keepNext w:val="0"/>
              <w:keepLines w:val="0"/>
              <w:widowControl/>
              <w:suppressLineNumbers w:val="0"/>
              <w:adjustRightInd w:val="0"/>
              <w:snapToGrid w:val="0"/>
              <w:jc w:val="center"/>
              <w:textAlignment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lang w:val="en-US" w:eastAsia="zh-CN"/>
              </w:rPr>
              <w:t>1.76</w:t>
            </w:r>
          </w:p>
        </w:tc>
        <w:tc>
          <w:tcPr>
            <w:tcW w:w="3900"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55" w:hRule="atLeast"/>
        </w:trPr>
        <w:tc>
          <w:tcPr>
            <w:tcW w:w="8745" w:type="dxa"/>
            <w:gridSpan w:val="11"/>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三、项目土石方工程量（万m</w:t>
            </w:r>
            <w:r>
              <w:rPr>
                <w:rFonts w:ascii="Times New Roman" w:hAnsi="Times New Roman" w:eastAsia="仿宋_GB2312" w:cs="Times New Roman"/>
                <w:color w:val="auto"/>
                <w:kern w:val="0"/>
                <w:sz w:val="18"/>
                <w:szCs w:val="18"/>
                <w:highlight w:val="none"/>
                <w:vertAlign w:val="superscript"/>
              </w:rPr>
              <w:t>3</w:t>
            </w:r>
            <w:r>
              <w:rPr>
                <w:rFonts w:ascii="Times New Roman" w:hAnsi="Times New Roman" w:eastAsia="仿宋_GB2312" w:cs="Times New Roman"/>
                <w:color w:val="auto"/>
                <w:kern w:val="0"/>
                <w:sz w:val="18"/>
                <w:szCs w:val="18"/>
                <w:highlight w:val="none"/>
              </w:rPr>
              <w:t>，自然方）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47" w:hRule="atLeast"/>
        </w:trPr>
        <w:tc>
          <w:tcPr>
            <w:tcW w:w="1800" w:type="dxa"/>
            <w:gridSpan w:val="2"/>
            <w:vMerge w:val="restart"/>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项目组成</w:t>
            </w:r>
          </w:p>
        </w:tc>
        <w:tc>
          <w:tcPr>
            <w:tcW w:w="2743" w:type="dxa"/>
            <w:gridSpan w:val="5"/>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挖方</w:t>
            </w:r>
          </w:p>
        </w:tc>
        <w:tc>
          <w:tcPr>
            <w:tcW w:w="2453"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填方</w:t>
            </w:r>
          </w:p>
        </w:tc>
        <w:tc>
          <w:tcPr>
            <w:tcW w:w="1749" w:type="dxa"/>
            <w:vMerge w:val="restart"/>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余方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255" w:hRule="atLeast"/>
        </w:trPr>
        <w:tc>
          <w:tcPr>
            <w:tcW w:w="1800" w:type="dxa"/>
            <w:gridSpan w:val="2"/>
            <w:vMerge w:val="continue"/>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p>
        </w:tc>
        <w:tc>
          <w:tcPr>
            <w:tcW w:w="1371" w:type="dxa"/>
            <w:gridSpan w:val="3"/>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总量</w:t>
            </w:r>
          </w:p>
        </w:tc>
        <w:tc>
          <w:tcPr>
            <w:tcW w:w="1372"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其中表土剥离</w:t>
            </w:r>
          </w:p>
        </w:tc>
        <w:tc>
          <w:tcPr>
            <w:tcW w:w="1133"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总量</w:t>
            </w:r>
          </w:p>
        </w:tc>
        <w:tc>
          <w:tcPr>
            <w:tcW w:w="1320" w:type="dxa"/>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其中表土利用</w:t>
            </w:r>
          </w:p>
        </w:tc>
        <w:tc>
          <w:tcPr>
            <w:tcW w:w="1749" w:type="dxa"/>
            <w:vMerge w:val="continue"/>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191" w:hRule="atLeast"/>
        </w:trPr>
        <w:tc>
          <w:tcPr>
            <w:tcW w:w="1800" w:type="dxa"/>
            <w:gridSpan w:val="2"/>
            <w:vAlign w:val="center"/>
          </w:tcPr>
          <w:p>
            <w:pPr>
              <w:widowControl w:val="0"/>
              <w:kinsoku w:val="0"/>
              <w:overflowPunct w:val="0"/>
              <w:autoSpaceDE w:val="0"/>
              <w:autoSpaceDN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本项目</w:t>
            </w:r>
          </w:p>
        </w:tc>
        <w:tc>
          <w:tcPr>
            <w:tcW w:w="1371" w:type="dxa"/>
            <w:gridSpan w:val="3"/>
            <w:vAlign w:val="center"/>
          </w:tcPr>
          <w:p>
            <w:pPr>
              <w:widowControl w:val="0"/>
              <w:kinsoku w:val="0"/>
              <w:overflowPunct w:val="0"/>
              <w:autoSpaceDE w:val="0"/>
              <w:autoSpaceDN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2.13</w:t>
            </w:r>
          </w:p>
        </w:tc>
        <w:tc>
          <w:tcPr>
            <w:tcW w:w="1372" w:type="dxa"/>
            <w:gridSpan w:val="2"/>
            <w:vAlign w:val="center"/>
          </w:tcPr>
          <w:p>
            <w:pPr>
              <w:widowControl w:val="0"/>
              <w:kinsoku w:val="0"/>
              <w:overflowPunct w:val="0"/>
              <w:autoSpaceDE w:val="0"/>
              <w:autoSpaceDN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0.54</w:t>
            </w:r>
          </w:p>
        </w:tc>
        <w:tc>
          <w:tcPr>
            <w:tcW w:w="1133" w:type="dxa"/>
            <w:gridSpan w:val="2"/>
            <w:vAlign w:val="center"/>
          </w:tcPr>
          <w:p>
            <w:pPr>
              <w:widowControl w:val="0"/>
              <w:kinsoku w:val="0"/>
              <w:overflowPunct w:val="0"/>
              <w:autoSpaceDE w:val="0"/>
              <w:autoSpaceDN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2.13</w:t>
            </w:r>
          </w:p>
        </w:tc>
        <w:tc>
          <w:tcPr>
            <w:tcW w:w="1320" w:type="dxa"/>
            <w:vAlign w:val="center"/>
          </w:tcPr>
          <w:p>
            <w:pPr>
              <w:widowControl w:val="0"/>
              <w:kinsoku w:val="0"/>
              <w:overflowPunct w:val="0"/>
              <w:autoSpaceDE w:val="0"/>
              <w:autoSpaceDN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0.54</w:t>
            </w:r>
          </w:p>
        </w:tc>
        <w:tc>
          <w:tcPr>
            <w:tcW w:w="1749" w:type="dxa"/>
            <w:vAlign w:val="center"/>
          </w:tcPr>
          <w:p>
            <w:pPr>
              <w:widowControl w:val="0"/>
              <w:kinsoku w:val="0"/>
              <w:overflowPunct w:val="0"/>
              <w:autoSpaceDE w:val="0"/>
              <w:autoSpaceDN w:val="0"/>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w:t>
            </w:r>
          </w:p>
        </w:tc>
      </w:tr>
      <w:bookmarkEnd w:id="49"/>
    </w:tbl>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2.1.3项目组成及工程布置</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本项目分为钻前工程、钻井工程及完井工程三个阶段，其中土建工程主要集中在钻前工程。</w:t>
      </w:r>
    </w:p>
    <w:p>
      <w:pPr>
        <w:widowControl w:val="0"/>
        <w:spacing w:line="360" w:lineRule="auto"/>
        <w:ind w:firstLine="480" w:firstLineChars="200"/>
        <w:rPr>
          <w:rFonts w:ascii="Times New Roman" w:hAnsi="Times New Roman" w:eastAsia="仿宋_GB2312" w:cs="Times New Roman"/>
          <w:b/>
          <w:color w:val="auto"/>
          <w:szCs w:val="21"/>
          <w:highlight w:val="none"/>
        </w:rPr>
      </w:pPr>
      <w:r>
        <w:rPr>
          <w:rFonts w:ascii="Times New Roman" w:hAnsi="Times New Roman" w:eastAsia="仿宋_GB2312" w:cs="Times New Roman"/>
          <w:color w:val="auto"/>
          <w:sz w:val="24"/>
          <w:szCs w:val="24"/>
          <w:highlight w:val="none"/>
        </w:rPr>
        <w:t>项目组成情况详见下表。</w:t>
      </w:r>
    </w:p>
    <w:p>
      <w:pPr>
        <w:widowControl w:val="0"/>
        <w:spacing w:line="360" w:lineRule="auto"/>
        <w:jc w:val="center"/>
        <w:rPr>
          <w:rFonts w:ascii="Times New Roman" w:hAnsi="Times New Roman" w:eastAsia="仿宋_GB2312" w:cs="Times New Roman"/>
          <w:b/>
          <w:color w:val="auto"/>
          <w:szCs w:val="21"/>
          <w:highlight w:val="none"/>
        </w:rPr>
      </w:pPr>
    </w:p>
    <w:p>
      <w:pPr>
        <w:widowControl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表2.1-2项目组成表</w:t>
      </w:r>
    </w:p>
    <w:tbl>
      <w:tblPr>
        <w:tblStyle w:val="115"/>
        <w:tblpPr w:leftFromText="180" w:rightFromText="180" w:vertAnchor="text" w:tblpXSpec="center" w:tblpY="1"/>
        <w:tblW w:w="880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85" w:type="dxa"/>
          <w:bottom w:w="28" w:type="dxa"/>
          <w:right w:w="85" w:type="dxa"/>
        </w:tblCellMar>
      </w:tblPr>
      <w:tblGrid>
        <w:gridCol w:w="1219"/>
        <w:gridCol w:w="1701"/>
        <w:gridCol w:w="5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340" w:hRule="atLeast"/>
          <w:tblHeader/>
        </w:trPr>
        <w:tc>
          <w:tcPr>
            <w:tcW w:w="2920" w:type="dxa"/>
            <w:gridSpan w:val="2"/>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项目组成</w:t>
            </w:r>
          </w:p>
        </w:tc>
        <w:tc>
          <w:tcPr>
            <w:tcW w:w="5881"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建设内容及规模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615" w:hRule="atLeast"/>
        </w:trPr>
        <w:tc>
          <w:tcPr>
            <w:tcW w:w="1219" w:type="dxa"/>
            <w:vMerge w:val="restart"/>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钻前工程</w:t>
            </w:r>
          </w:p>
        </w:tc>
        <w:tc>
          <w:tcPr>
            <w:tcW w:w="1701"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w:t>
            </w:r>
          </w:p>
        </w:tc>
        <w:tc>
          <w:tcPr>
            <w:tcW w:w="5881" w:type="dxa"/>
            <w:vAlign w:val="center"/>
          </w:tcPr>
          <w:p>
            <w:pPr>
              <w:widowControl w:val="0"/>
              <w:kinsoku w:val="0"/>
              <w:overflowPunct w:val="0"/>
              <w:autoSpaceDE w:val="0"/>
              <w:autoSpaceDN w:val="0"/>
              <w:adjustRightInd w:val="0"/>
              <w:snapToGrid w:val="0"/>
              <w:spacing w:line="300" w:lineRule="auto"/>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lang w:val="en-US" w:eastAsia="zh-CN"/>
              </w:rPr>
              <w:t>井场平面有效尺寸为</w:t>
            </w:r>
            <w:r>
              <w:rPr>
                <w:rFonts w:hint="default" w:ascii="Times New Roman" w:hAnsi="Times New Roman" w:eastAsia="仿宋_GB2312" w:cs="Times New Roman"/>
                <w:color w:val="auto"/>
                <w:kern w:val="0"/>
                <w:sz w:val="18"/>
                <w:szCs w:val="18"/>
                <w:highlight w:val="none"/>
                <w:lang w:val="en-US" w:eastAsia="zh-CN"/>
              </w:rPr>
              <w:t>1</w:t>
            </w:r>
            <w:r>
              <w:rPr>
                <w:rFonts w:hint="eastAsia" w:ascii="Times New Roman" w:hAnsi="Times New Roman" w:eastAsia="仿宋_GB2312" w:cs="Times New Roman"/>
                <w:color w:val="auto"/>
                <w:kern w:val="0"/>
                <w:sz w:val="18"/>
                <w:szCs w:val="18"/>
                <w:highlight w:val="none"/>
                <w:lang w:val="en-US" w:eastAsia="zh-CN"/>
              </w:rPr>
              <w:t>00</w:t>
            </w:r>
            <w:r>
              <w:rPr>
                <w:rFonts w:hint="default" w:ascii="Times New Roman" w:hAnsi="Times New Roman" w:eastAsia="仿宋_GB2312" w:cs="Times New Roman"/>
                <w:color w:val="auto"/>
                <w:kern w:val="0"/>
                <w:sz w:val="18"/>
                <w:szCs w:val="18"/>
                <w:highlight w:val="none"/>
                <w:lang w:val="en-US" w:eastAsia="zh-CN"/>
              </w:rPr>
              <w:t>m×</w:t>
            </w:r>
            <w:r>
              <w:rPr>
                <w:rFonts w:hint="eastAsia" w:ascii="Times New Roman" w:hAnsi="Times New Roman" w:eastAsia="仿宋_GB2312" w:cs="Times New Roman"/>
                <w:color w:val="auto"/>
                <w:kern w:val="0"/>
                <w:sz w:val="18"/>
                <w:szCs w:val="18"/>
                <w:highlight w:val="none"/>
                <w:lang w:val="en-US" w:eastAsia="zh-CN"/>
              </w:rPr>
              <w:t>5</w:t>
            </w:r>
            <w:r>
              <w:rPr>
                <w:rFonts w:hint="default" w:ascii="Times New Roman" w:hAnsi="Times New Roman" w:eastAsia="仿宋_GB2312" w:cs="Times New Roman"/>
                <w:color w:val="auto"/>
                <w:kern w:val="0"/>
                <w:sz w:val="18"/>
                <w:szCs w:val="18"/>
                <w:highlight w:val="none"/>
                <w:lang w:val="en-US" w:eastAsia="zh-CN"/>
              </w:rPr>
              <w:t>5m</w:t>
            </w:r>
            <w:r>
              <w:rPr>
                <w:rFonts w:hint="eastAsia" w:ascii="Times New Roman" w:hAnsi="Times New Roman" w:eastAsia="仿宋_GB2312" w:cs="Times New Roman"/>
                <w:color w:val="auto"/>
                <w:kern w:val="0"/>
                <w:sz w:val="18"/>
                <w:szCs w:val="18"/>
                <w:highlight w:val="none"/>
                <w:lang w:val="en-US" w:eastAsia="zh-CN"/>
              </w:rPr>
              <w:t>，池类有效容积</w:t>
            </w:r>
            <w:r>
              <w:rPr>
                <w:rFonts w:hint="default" w:ascii="Times New Roman" w:hAnsi="Times New Roman" w:eastAsia="仿宋_GB2312" w:cs="Times New Roman"/>
                <w:color w:val="auto"/>
                <w:kern w:val="0"/>
                <w:sz w:val="18"/>
                <w:szCs w:val="18"/>
                <w:highlight w:val="none"/>
                <w:lang w:val="en-US" w:eastAsia="zh-CN"/>
              </w:rPr>
              <w:t>500m</w:t>
            </w:r>
            <w:r>
              <w:rPr>
                <w:rFonts w:hint="default" w:ascii="Times New Roman" w:hAnsi="Times New Roman" w:eastAsia="仿宋_GB2312" w:cs="Times New Roman"/>
                <w:color w:val="auto"/>
                <w:kern w:val="0"/>
                <w:sz w:val="18"/>
                <w:szCs w:val="18"/>
                <w:highlight w:val="none"/>
                <w:vertAlign w:val="superscript"/>
                <w:lang w:val="en-US" w:eastAsia="zh-CN"/>
              </w:rPr>
              <w:t>3</w:t>
            </w:r>
            <w:r>
              <w:rPr>
                <w:rFonts w:hint="eastAsia" w:ascii="Times New Roman" w:hAnsi="Times New Roman" w:eastAsia="仿宋_GB2312" w:cs="Times New Roman"/>
                <w:color w:val="auto"/>
                <w:kern w:val="0"/>
                <w:sz w:val="18"/>
                <w:szCs w:val="18"/>
                <w:highlight w:val="none"/>
                <w:lang w:val="en-US" w:eastAsia="zh-CN"/>
              </w:rPr>
              <w:t>，泥浆储备罐6个，</w:t>
            </w:r>
            <w:r>
              <w:rPr>
                <w:rFonts w:hint="default" w:ascii="Times New Roman" w:hAnsi="Times New Roman" w:eastAsia="仿宋_GB2312" w:cs="Times New Roman"/>
                <w:color w:val="auto"/>
                <w:kern w:val="0"/>
                <w:sz w:val="18"/>
                <w:szCs w:val="18"/>
                <w:highlight w:val="none"/>
                <w:lang w:val="en-US" w:eastAsia="zh-CN"/>
              </w:rPr>
              <w:t>A</w:t>
            </w:r>
            <w:r>
              <w:rPr>
                <w:rFonts w:hint="eastAsia" w:ascii="Times New Roman" w:hAnsi="Times New Roman" w:eastAsia="仿宋_GB2312" w:cs="Times New Roman"/>
                <w:color w:val="auto"/>
                <w:kern w:val="0"/>
                <w:sz w:val="18"/>
                <w:szCs w:val="18"/>
                <w:highlight w:val="none"/>
                <w:lang w:val="en-US" w:eastAsia="zh-CN"/>
              </w:rPr>
              <w:t>类燃烧池1座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340" w:hRule="atLeast"/>
        </w:trPr>
        <w:tc>
          <w:tcPr>
            <w:tcW w:w="1219" w:type="dxa"/>
            <w:vMerge w:val="continue"/>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p>
        </w:tc>
        <w:tc>
          <w:tcPr>
            <w:tcW w:w="1701" w:type="dxa"/>
            <w:vAlign w:val="center"/>
          </w:tcPr>
          <w:p>
            <w:pPr>
              <w:widowControl w:val="0"/>
              <w:kinsoku w:val="0"/>
              <w:overflowPunct w:val="0"/>
              <w:autoSpaceDE w:val="0"/>
              <w:autoSpaceDN w:val="0"/>
              <w:adjustRightInd w:val="0"/>
              <w:snapToGrid w:val="0"/>
              <w:spacing w:line="300" w:lineRule="auto"/>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vertAlign w:val="baseline"/>
                <w:lang w:eastAsia="zh-CN"/>
              </w:rPr>
              <w:t>临时生活区</w:t>
            </w:r>
          </w:p>
        </w:tc>
        <w:tc>
          <w:tcPr>
            <w:tcW w:w="5881" w:type="dxa"/>
            <w:vAlign w:val="center"/>
          </w:tcPr>
          <w:p>
            <w:pPr>
              <w:widowControl w:val="0"/>
              <w:kinsoku w:val="0"/>
              <w:overflowPunct w:val="0"/>
              <w:autoSpaceDE w:val="0"/>
              <w:autoSpaceDN w:val="0"/>
              <w:adjustRightInd w:val="0"/>
              <w:snapToGrid w:val="0"/>
              <w:spacing w:line="300" w:lineRule="auto"/>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设置施工</w:t>
            </w:r>
            <w:r>
              <w:rPr>
                <w:rFonts w:hint="eastAsia" w:ascii="Times New Roman" w:hAnsi="Times New Roman" w:eastAsia="仿宋_GB2312" w:cs="Times New Roman"/>
                <w:color w:val="auto"/>
                <w:kern w:val="0"/>
                <w:sz w:val="18"/>
                <w:szCs w:val="18"/>
                <w:highlight w:val="none"/>
                <w:lang w:eastAsia="zh-CN"/>
              </w:rPr>
              <w:t>临时生活区</w:t>
            </w:r>
            <w:r>
              <w:rPr>
                <w:rFonts w:hint="eastAsia" w:ascii="Times New Roman" w:hAnsi="Times New Roman" w:eastAsia="仿宋_GB2312" w:cs="Times New Roman"/>
                <w:color w:val="auto"/>
                <w:kern w:val="0"/>
                <w:sz w:val="18"/>
                <w:szCs w:val="18"/>
                <w:highlight w:val="none"/>
                <w:lang w:val="en-US" w:eastAsia="zh-CN"/>
              </w:rPr>
              <w:t>1</w:t>
            </w:r>
            <w:r>
              <w:rPr>
                <w:rFonts w:ascii="Times New Roman" w:hAnsi="Times New Roman" w:eastAsia="仿宋_GB2312" w:cs="Times New Roman"/>
                <w:color w:val="auto"/>
                <w:kern w:val="0"/>
                <w:sz w:val="18"/>
                <w:szCs w:val="18"/>
                <w:highlight w:val="none"/>
              </w:rPr>
              <w:t>处，临时占地约</w:t>
            </w:r>
            <w:r>
              <w:rPr>
                <w:rFonts w:hint="eastAsia" w:ascii="Times New Roman" w:hAnsi="Times New Roman" w:eastAsia="仿宋_GB2312" w:cs="Times New Roman"/>
                <w:color w:val="auto"/>
                <w:kern w:val="0"/>
                <w:sz w:val="18"/>
                <w:szCs w:val="18"/>
                <w:highlight w:val="none"/>
                <w:lang w:val="en-US" w:eastAsia="zh-CN"/>
              </w:rPr>
              <w:t>0.23</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57" w:hRule="atLeast"/>
        </w:trPr>
        <w:tc>
          <w:tcPr>
            <w:tcW w:w="1219" w:type="dxa"/>
            <w:vMerge w:val="continue"/>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p>
        </w:tc>
        <w:tc>
          <w:tcPr>
            <w:tcW w:w="1701"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w:t>
            </w:r>
          </w:p>
        </w:tc>
        <w:tc>
          <w:tcPr>
            <w:tcW w:w="5881" w:type="dxa"/>
            <w:vAlign w:val="center"/>
          </w:tcPr>
          <w:p>
            <w:pPr>
              <w:widowControl w:val="0"/>
              <w:kinsoku w:val="0"/>
              <w:overflowPunct w:val="0"/>
              <w:autoSpaceDE w:val="0"/>
              <w:autoSpaceDN w:val="0"/>
              <w:adjustRightInd w:val="0"/>
              <w:snapToGrid w:val="0"/>
              <w:spacing w:line="300" w:lineRule="auto"/>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在</w:t>
            </w:r>
            <w:r>
              <w:rPr>
                <w:rFonts w:hint="eastAsia" w:ascii="Times New Roman" w:hAnsi="Times New Roman" w:eastAsia="仿宋_GB2312" w:cs="Times New Roman"/>
                <w:color w:val="auto"/>
                <w:kern w:val="0"/>
                <w:sz w:val="18"/>
                <w:szCs w:val="18"/>
                <w:highlight w:val="none"/>
                <w:lang w:val="en-US" w:eastAsia="zh-CN"/>
              </w:rPr>
              <w:t>新建井场平台左侧</w:t>
            </w:r>
            <w:r>
              <w:rPr>
                <w:rFonts w:ascii="Times New Roman" w:hAnsi="Times New Roman" w:eastAsia="仿宋_GB2312" w:cs="Times New Roman"/>
                <w:color w:val="auto"/>
                <w:kern w:val="0"/>
                <w:sz w:val="18"/>
                <w:szCs w:val="18"/>
                <w:highlight w:val="none"/>
              </w:rPr>
              <w:t>布设1处表土堆放场，用于表土堆放，临时占地约0.</w:t>
            </w:r>
            <w:r>
              <w:rPr>
                <w:rFonts w:hint="eastAsia" w:ascii="Times New Roman" w:hAnsi="Times New Roman" w:eastAsia="仿宋_GB2312" w:cs="Times New Roman"/>
                <w:color w:val="auto"/>
                <w:kern w:val="0"/>
                <w:sz w:val="18"/>
                <w:szCs w:val="18"/>
                <w:highlight w:val="none"/>
                <w:lang w:val="en-US" w:eastAsia="zh-CN"/>
              </w:rPr>
              <w:t>10</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57" w:hRule="atLeast"/>
        </w:trPr>
        <w:tc>
          <w:tcPr>
            <w:tcW w:w="1219" w:type="dxa"/>
            <w:vMerge w:val="continue"/>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p>
        </w:tc>
        <w:tc>
          <w:tcPr>
            <w:tcW w:w="1701"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w:t>
            </w:r>
          </w:p>
        </w:tc>
        <w:tc>
          <w:tcPr>
            <w:tcW w:w="5881" w:type="dxa"/>
            <w:vAlign w:val="center"/>
          </w:tcPr>
          <w:p>
            <w:pPr>
              <w:widowControl w:val="0"/>
              <w:kinsoku w:val="0"/>
              <w:overflowPunct w:val="0"/>
              <w:autoSpaceDE w:val="0"/>
              <w:autoSpaceDN w:val="0"/>
              <w:adjustRightInd w:val="0"/>
              <w:snapToGrid w:val="0"/>
              <w:spacing w:line="300" w:lineRule="auto"/>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rPr>
              <w:t>新建进场道路0.191km，新建生活区道路0.065km</w:t>
            </w:r>
            <w:r>
              <w:rPr>
                <w:rFonts w:hint="eastAsia" w:ascii="Times New Roman" w:hAnsi="Times New Roman" w:eastAsia="仿宋_GB2312" w:cs="Times New Roman"/>
                <w:color w:val="auto"/>
                <w:kern w:val="0"/>
                <w:sz w:val="18"/>
                <w:szCs w:val="18"/>
                <w:highlight w:val="none"/>
                <w:lang w:eastAsia="zh-CN"/>
              </w:rPr>
              <w:t>，</w:t>
            </w:r>
            <w:r>
              <w:rPr>
                <w:rFonts w:hint="eastAsia" w:ascii="Times New Roman" w:hAnsi="Times New Roman" w:eastAsia="仿宋_GB2312" w:cs="Times New Roman"/>
                <w:color w:val="auto"/>
                <w:kern w:val="0"/>
                <w:sz w:val="18"/>
                <w:szCs w:val="18"/>
                <w:highlight w:val="none"/>
                <w:lang w:val="en-US" w:eastAsia="zh-CN"/>
              </w:rPr>
              <w:t>新建道路</w:t>
            </w:r>
            <w:r>
              <w:rPr>
                <w:rFonts w:ascii="Times New Roman" w:hAnsi="Times New Roman" w:eastAsia="仿宋_GB2312" w:cs="Times New Roman"/>
                <w:color w:val="auto"/>
                <w:kern w:val="0"/>
                <w:sz w:val="18"/>
                <w:szCs w:val="18"/>
                <w:highlight w:val="none"/>
              </w:rPr>
              <w:t>采用四级公路标准，占地约</w:t>
            </w:r>
            <w:r>
              <w:rPr>
                <w:rFonts w:hint="eastAsia" w:ascii="Times New Roman" w:hAnsi="Times New Roman" w:eastAsia="仿宋_GB2312" w:cs="Times New Roman"/>
                <w:color w:val="auto"/>
                <w:kern w:val="0"/>
                <w:sz w:val="18"/>
                <w:szCs w:val="18"/>
                <w:highlight w:val="none"/>
                <w:lang w:val="en-US" w:eastAsia="zh-CN"/>
              </w:rPr>
              <w:t>0。30</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57" w:hRule="atLeast"/>
        </w:trPr>
        <w:tc>
          <w:tcPr>
            <w:tcW w:w="1219"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钻井工程</w:t>
            </w:r>
          </w:p>
        </w:tc>
        <w:tc>
          <w:tcPr>
            <w:tcW w:w="1701"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钻井工程</w:t>
            </w:r>
          </w:p>
        </w:tc>
        <w:tc>
          <w:tcPr>
            <w:tcW w:w="5881" w:type="dxa"/>
            <w:vAlign w:val="center"/>
          </w:tcPr>
          <w:p>
            <w:pPr>
              <w:widowControl w:val="0"/>
              <w:kinsoku w:val="0"/>
              <w:overflowPunct w:val="0"/>
              <w:autoSpaceDE w:val="0"/>
              <w:autoSpaceDN w:val="0"/>
              <w:adjustRightInd w:val="0"/>
              <w:snapToGrid w:val="0"/>
              <w:spacing w:line="300" w:lineRule="auto"/>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设备安装、钻井，采用钻机进行钻井作业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113" w:hRule="atLeast"/>
        </w:trPr>
        <w:tc>
          <w:tcPr>
            <w:tcW w:w="1219"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完井工程</w:t>
            </w:r>
          </w:p>
        </w:tc>
        <w:tc>
          <w:tcPr>
            <w:tcW w:w="1701" w:type="dxa"/>
            <w:vAlign w:val="center"/>
          </w:tcPr>
          <w:p>
            <w:pPr>
              <w:widowControl w:val="0"/>
              <w:kinsoku w:val="0"/>
              <w:overflowPunct w:val="0"/>
              <w:autoSpaceDE w:val="0"/>
              <w:autoSpaceDN w:val="0"/>
              <w:adjustRightInd w:val="0"/>
              <w:snapToGrid w:val="0"/>
              <w:spacing w:line="300" w:lineRule="auto"/>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测试及完井后的无害化处理</w:t>
            </w:r>
          </w:p>
        </w:tc>
        <w:tc>
          <w:tcPr>
            <w:tcW w:w="5881" w:type="dxa"/>
            <w:vAlign w:val="center"/>
          </w:tcPr>
          <w:p>
            <w:pPr>
              <w:widowControl w:val="0"/>
              <w:kinsoku w:val="0"/>
              <w:overflowPunct w:val="0"/>
              <w:autoSpaceDE w:val="0"/>
              <w:autoSpaceDN w:val="0"/>
              <w:adjustRightInd w:val="0"/>
              <w:snapToGrid w:val="0"/>
              <w:spacing w:line="300" w:lineRule="auto"/>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钻井至目的层后，对井筒进行酸化及油气测试等。测试完后进行设备搬迁以及钻井产生“三废”的无害化处理</w:t>
            </w:r>
          </w:p>
        </w:tc>
      </w:tr>
    </w:tbl>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2.1.4钻前工程</w:t>
      </w:r>
    </w:p>
    <w:p>
      <w:pPr>
        <w:widowControl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2.1.4.1项目总平面布置</w:t>
      </w:r>
    </w:p>
    <w:p>
      <w:pPr>
        <w:widowControl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德页1井井场位于四川省南充市仪陇县日新镇油房村 5 社。井场平面尺寸为 100m（长）×55m（宽），结合现场地形、地势，井场沿东南--西北方向摆放，井口位于井场纵向轴线 0+050，左场宽 25m，右场宽 30m。</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 xml:space="preserve">清洁生产操作平台位于井场右前场外侧；应急池摆放在井场右后场外侧，油罐基础、水罐基础位于井场右前场外，泥浆储备罐基础位于井场后场右段，燃烧池建议设置在井场后场外距井口 100m 旱地中，耕植土堆放场位于井场左侧外水田中。生活区位于距井口 100m 以外的旱地中。 </w:t>
      </w:r>
    </w:p>
    <w:p>
      <w:pPr>
        <w:widowControl w:val="0"/>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2.1.4.2竖向布置</w:t>
      </w:r>
    </w:p>
    <w:p>
      <w:pPr>
        <w:widowControl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 xml:space="preserve">拟建德页1井井场场面设计标高248.1m。拟建井场区域呈右高左低、后高前低之势。 </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挖方边坡：施工过程中宜采用机械开挖，不得采用爆破作业。边坡坡率按照井场横断面中标注的坡率，如未见明确标注，挖方边坡坡率为1:1。边坡开挖时严禁超挖，大挖方边坡在施工时，每挖深2-3m，就应自上而下进行人工边坡修整，然后再继续向下开挖，再进行人工边坡修整，如此循环进行施工，不得在整个挖方深度完成后才修整边坡。</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填方边坡：为保证填方区的有效压实度，腐殖土、含水量超过最大压实度要求的含水量的土体不得作为填料；施工过程中须分层碾压，分层厚度不大于30cm，基层压实度不小于94%。边坡坡率按照井场横断面中标注的坡率，如未见明确标注，填方边坡坡率按1:1坡率执行。边坡形成后，及时播撒草种。</w:t>
      </w:r>
    </w:p>
    <w:p>
      <w:pPr>
        <w:widowControl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2.1.4.3井场及附属工程</w:t>
      </w:r>
    </w:p>
    <w:p>
      <w:pPr>
        <w:widowControl w:val="0"/>
        <w:spacing w:line="336" w:lineRule="auto"/>
        <w:ind w:firstLine="480" w:firstLineChars="200"/>
        <w:rPr>
          <w:rFonts w:ascii="Times New Roman" w:hAnsi="Times New Roman" w:eastAsia="仿宋_GB2312" w:cs="Times New Roman"/>
          <w:color w:val="auto"/>
          <w:sz w:val="24"/>
          <w:szCs w:val="24"/>
          <w:highlight w:val="none"/>
        </w:rPr>
      </w:pPr>
      <w:bookmarkStart w:id="50" w:name="_Toc5698776"/>
      <w:bookmarkStart w:id="51" w:name="_Toc5725721"/>
      <w:bookmarkStart w:id="52" w:name="_Toc5720132"/>
      <w:bookmarkStart w:id="53" w:name="_Toc5720761"/>
      <w:r>
        <w:rPr>
          <w:rFonts w:ascii="Times New Roman" w:hAnsi="Times New Roman" w:eastAsia="仿宋_GB2312" w:cs="Times New Roman"/>
          <w:color w:val="auto"/>
          <w:sz w:val="24"/>
          <w:szCs w:val="24"/>
          <w:highlight w:val="none"/>
        </w:rPr>
        <w:t>根据主体设计资料，本工程井场及附属工程分为井场工程及附属工程，其中附属工程包括泥浆储备罐及油水罐基础、清洁化操作平台等、应急池、喷放坑等。</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1、井场工程</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拟建</w:t>
      </w:r>
      <w:r>
        <w:rPr>
          <w:rFonts w:hint="eastAsia" w:ascii="Times New Roman" w:hAnsi="Times New Roman" w:eastAsia="仿宋_GB2312" w:cs="Times New Roman"/>
          <w:color w:val="auto"/>
          <w:sz w:val="24"/>
          <w:szCs w:val="24"/>
          <w:highlight w:val="none"/>
          <w:lang w:val="en-US" w:eastAsia="zh-CN"/>
        </w:rPr>
        <w:t>德页1井</w:t>
      </w:r>
      <w:r>
        <w:rPr>
          <w:rFonts w:ascii="Times New Roman" w:hAnsi="Times New Roman" w:eastAsia="仿宋_GB2312" w:cs="Times New Roman"/>
          <w:color w:val="auto"/>
          <w:sz w:val="24"/>
          <w:szCs w:val="24"/>
          <w:highlight w:val="none"/>
        </w:rPr>
        <w:t>钻前工程位于</w:t>
      </w:r>
      <w:r>
        <w:rPr>
          <w:rFonts w:hint="eastAsia" w:ascii="Times New Roman" w:hAnsi="Times New Roman" w:eastAsia="仿宋_GB2312" w:cs="Times New Roman"/>
          <w:color w:val="auto"/>
          <w:sz w:val="24"/>
          <w:szCs w:val="24"/>
          <w:highlight w:val="none"/>
        </w:rPr>
        <w:t>南充市仪陇县日兴镇油坊村5社</w:t>
      </w:r>
      <w:r>
        <w:rPr>
          <w:rFonts w:hint="eastAsia" w:ascii="Times New Roman" w:hAnsi="Times New Roman" w:eastAsia="仿宋_GB2312" w:cs="Times New Roman"/>
          <w:color w:val="auto"/>
          <w:spacing w:val="5"/>
          <w:sz w:val="24"/>
          <w:szCs w:val="24"/>
          <w:highlight w:val="none"/>
          <w:lang w:eastAsia="zh-CN"/>
        </w:rPr>
        <w:t>。</w:t>
      </w:r>
      <w:r>
        <w:rPr>
          <w:rFonts w:ascii="Times New Roman" w:hAnsi="Times New Roman" w:eastAsia="仿宋_GB2312" w:cs="Times New Roman"/>
          <w:color w:val="auto"/>
          <w:sz w:val="24"/>
          <w:szCs w:val="24"/>
          <w:highlight w:val="none"/>
        </w:rPr>
        <w:t>井口数量为</w:t>
      </w:r>
      <w:r>
        <w:rPr>
          <w:rFonts w:hint="eastAsia" w:ascii="Times New Roman" w:hAnsi="Times New Roman" w:eastAsia="仿宋_GB2312" w:cs="Times New Roman"/>
          <w:color w:val="auto"/>
          <w:sz w:val="24"/>
          <w:szCs w:val="24"/>
          <w:highlight w:val="none"/>
          <w:lang w:val="en-US" w:eastAsia="zh-CN"/>
        </w:rPr>
        <w:t>6</w:t>
      </w:r>
      <w:r>
        <w:rPr>
          <w:rFonts w:ascii="Times New Roman" w:hAnsi="Times New Roman" w:eastAsia="仿宋_GB2312" w:cs="Times New Roman"/>
          <w:color w:val="auto"/>
          <w:sz w:val="24"/>
          <w:szCs w:val="24"/>
          <w:highlight w:val="none"/>
        </w:rPr>
        <w:t>个</w:t>
      </w:r>
      <w:r>
        <w:rPr>
          <w:rFonts w:hint="eastAsia" w:ascii="Times New Roman" w:hAnsi="Times New Roman" w:eastAsia="仿宋_GB2312" w:cs="Times New Roman"/>
          <w:color w:val="auto"/>
          <w:sz w:val="24"/>
          <w:szCs w:val="24"/>
          <w:highlight w:val="none"/>
          <w:lang w:eastAsia="zh-CN"/>
        </w:rPr>
        <w:t>，</w:t>
      </w:r>
      <w:r>
        <w:rPr>
          <w:rFonts w:ascii="Times New Roman" w:hAnsi="Times New Roman" w:eastAsia="仿宋_GB2312" w:cs="Times New Roman"/>
          <w:color w:val="auto"/>
          <w:sz w:val="24"/>
          <w:szCs w:val="24"/>
          <w:highlight w:val="none"/>
        </w:rPr>
        <w:t>井场平面尺寸为1</w:t>
      </w:r>
      <w:r>
        <w:rPr>
          <w:rFonts w:hint="eastAsia" w:ascii="Times New Roman" w:hAnsi="Times New Roman" w:eastAsia="仿宋_GB2312" w:cs="Times New Roman"/>
          <w:color w:val="auto"/>
          <w:sz w:val="24"/>
          <w:szCs w:val="24"/>
          <w:highlight w:val="none"/>
          <w:lang w:val="en-US" w:eastAsia="zh-CN"/>
        </w:rPr>
        <w:t>15</w:t>
      </w:r>
      <w:r>
        <w:rPr>
          <w:rFonts w:ascii="Times New Roman" w:hAnsi="Times New Roman" w:eastAsia="仿宋_GB2312" w:cs="Times New Roman"/>
          <w:color w:val="auto"/>
          <w:sz w:val="24"/>
          <w:szCs w:val="24"/>
          <w:highlight w:val="none"/>
        </w:rPr>
        <w:t>m(长)×85m（宽）</w:t>
      </w:r>
      <w:r>
        <w:rPr>
          <w:rFonts w:ascii="Times New Roman" w:hAnsi="Times New Roman" w:eastAsia="仿宋_GB2312" w:cs="Times New Roman"/>
          <w:color w:val="auto"/>
          <w:spacing w:val="5"/>
          <w:sz w:val="24"/>
          <w:highlight w:val="none"/>
        </w:rPr>
        <w:t>。</w:t>
      </w:r>
      <w:r>
        <w:rPr>
          <w:rFonts w:ascii="Times New Roman" w:hAnsi="Times New Roman" w:eastAsia="仿宋_GB2312" w:cs="Times New Roman"/>
          <w:color w:val="auto"/>
          <w:sz w:val="24"/>
          <w:szCs w:val="24"/>
          <w:highlight w:val="none"/>
        </w:rPr>
        <w:t>井场场基主要分为硬化区、少部分设备场地区域及井口四周单独设计区域。硬化区域采用原状地基土、素填土压实度≥93%、20cm厚砂砾（卵）石基层和20cm厚C25碎石砼面层。砼面层伸缩缝间距5m，缩缝宽度7mm，深度70mm，采用沥青灌缝。井场非设备区同样采用20cm厚砂砾（卵）石基层和20cm厚C25碎石砼面层。砼面层伸缩缝间距5m，缩缝宽度7mm，深度70mm，采用沥青灌缝。</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井场挖方边坡底设置排水沟，排出雨水至</w:t>
      </w:r>
      <w:r>
        <w:rPr>
          <w:rFonts w:ascii="Times New Roman" w:hAnsi="Times New Roman" w:eastAsia="仿宋_GB2312" w:cs="Times New Roman"/>
          <w:color w:val="auto"/>
          <w:sz w:val="24"/>
          <w:szCs w:val="24"/>
          <w:highlight w:val="none"/>
        </w:rPr>
        <w:t>自然水系；井场通过场面设置的横坡排水，井场四周设有场内排水沟，并于转角处设置隔油池。场内排水沟为矩形断面</w:t>
      </w:r>
      <w:r>
        <w:rPr>
          <w:rFonts w:hint="eastAsia" w:ascii="Times New Roman" w:hAnsi="Times New Roman" w:eastAsia="仿宋_GB2312" w:cs="Times New Roman"/>
          <w:color w:val="auto"/>
          <w:sz w:val="24"/>
          <w:szCs w:val="24"/>
          <w:highlight w:val="none"/>
          <w:lang w:val="en-US" w:eastAsia="zh-CN"/>
        </w:rPr>
        <w:t>。</w:t>
      </w:r>
      <w:r>
        <w:rPr>
          <w:rFonts w:ascii="Times New Roman" w:hAnsi="Times New Roman" w:eastAsia="仿宋_GB2312" w:cs="Times New Roman"/>
          <w:color w:val="auto"/>
          <w:sz w:val="24"/>
          <w:szCs w:val="24"/>
          <w:highlight w:val="none"/>
        </w:rPr>
        <w:t>经统计共布设排水沟</w:t>
      </w:r>
      <w:r>
        <w:rPr>
          <w:rFonts w:hint="eastAsia" w:ascii="Times New Roman" w:hAnsi="Times New Roman" w:eastAsia="仿宋_GB2312" w:cs="Times New Roman"/>
          <w:color w:val="auto"/>
          <w:sz w:val="24"/>
          <w:szCs w:val="24"/>
          <w:highlight w:val="none"/>
          <w:lang w:val="en-US" w:eastAsia="zh-CN"/>
        </w:rPr>
        <w:t>718</w:t>
      </w:r>
      <w:r>
        <w:rPr>
          <w:rFonts w:ascii="Times New Roman" w:hAnsi="Times New Roman" w:eastAsia="仿宋_GB2312" w:cs="Times New Roman"/>
          <w:color w:val="auto"/>
          <w:sz w:val="24"/>
          <w:szCs w:val="24"/>
          <w:highlight w:val="none"/>
        </w:rPr>
        <w:t>m。</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2、井场附属工程</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本项目井场附属工程包括泥浆储备罐及油水罐基础、清洁化操作平台等、应急池、喷放坑等。</w:t>
      </w:r>
    </w:p>
    <w:p>
      <w:pPr>
        <w:widowControl w:val="0"/>
        <w:numPr>
          <w:ilvl w:val="0"/>
          <w:numId w:val="3"/>
        </w:numPr>
        <w:spacing w:line="336"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泥浆储备罐</w:t>
      </w:r>
    </w:p>
    <w:p>
      <w:pPr>
        <w:widowControl w:val="0"/>
        <w:numPr>
          <w:ilvl w:val="0"/>
          <w:numId w:val="0"/>
        </w:numPr>
        <w:spacing w:line="336"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岩屑堆放区及清洁化操作平台布置在于井场后场右段。</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（2）油水罐基础</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lang w:val="en-US" w:eastAsia="zh-CN"/>
        </w:rPr>
        <w:t>油罐基础、水罐基础位于井场右前场外</w:t>
      </w:r>
      <w:r>
        <w:rPr>
          <w:rFonts w:hint="eastAsia" w:ascii="Times New Roman" w:hAnsi="Times New Roman" w:eastAsia="仿宋_GB2312" w:cs="Times New Roman"/>
          <w:color w:val="auto"/>
          <w:sz w:val="24"/>
          <w:szCs w:val="24"/>
          <w:highlight w:val="none"/>
          <w:lang w:val="en-US" w:eastAsia="zh-CN"/>
        </w:rPr>
        <w:t>。</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（3）清洁化操作平台</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本项目采用清洁化操作，</w:t>
      </w:r>
      <w:r>
        <w:rPr>
          <w:rFonts w:hint="eastAsia" w:ascii="Times New Roman" w:hAnsi="Times New Roman" w:eastAsia="仿宋_GB2312" w:cs="Times New Roman"/>
          <w:color w:val="auto"/>
          <w:sz w:val="24"/>
          <w:szCs w:val="24"/>
          <w:highlight w:val="none"/>
          <w:lang w:val="en-US" w:eastAsia="zh-CN"/>
        </w:rPr>
        <w:t>清洁化中转罐区布置在井场右前场外侧</w:t>
      </w:r>
      <w:r>
        <w:rPr>
          <w:rFonts w:ascii="Times New Roman" w:hAnsi="Times New Roman" w:eastAsia="仿宋_GB2312" w:cs="Times New Roman"/>
          <w:color w:val="auto"/>
          <w:sz w:val="24"/>
          <w:szCs w:val="24"/>
          <w:highlight w:val="none"/>
        </w:rPr>
        <w:t>，主要分为废水预处理区、岩屑临时堆放区和材料区三个区域。</w:t>
      </w:r>
    </w:p>
    <w:p>
      <w:pPr>
        <w:widowControl w:val="0"/>
        <w:spacing w:line="336"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ascii="Times New Roman" w:hAnsi="Times New Roman" w:eastAsia="仿宋_GB2312" w:cs="Times New Roman"/>
          <w:color w:val="auto"/>
          <w:sz w:val="24"/>
          <w:szCs w:val="24"/>
          <w:highlight w:val="none"/>
        </w:rPr>
        <w:t>（4）</w:t>
      </w:r>
      <w:r>
        <w:rPr>
          <w:rFonts w:hint="eastAsia" w:ascii="Times New Roman" w:hAnsi="Times New Roman" w:eastAsia="仿宋_GB2312" w:cs="Times New Roman"/>
          <w:color w:val="auto"/>
          <w:sz w:val="24"/>
          <w:szCs w:val="24"/>
          <w:highlight w:val="none"/>
          <w:lang w:val="en-US" w:eastAsia="zh-CN"/>
        </w:rPr>
        <w:t>应急池</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应急池布置在井场右后场外侧</w:t>
      </w:r>
      <w:r>
        <w:rPr>
          <w:rFonts w:ascii="Times New Roman" w:hAnsi="Times New Roman" w:eastAsia="仿宋_GB2312" w:cs="Times New Roman"/>
          <w:color w:val="auto"/>
          <w:sz w:val="24"/>
          <w:szCs w:val="24"/>
          <w:highlight w:val="none"/>
        </w:rPr>
        <w:t>，有效总容积500m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，有效容积的池墙高度不包含30cm的预留空高。应急池池墙及基础采用C30钢筋砼（抗渗等级 P8）。</w:t>
      </w:r>
      <w:r>
        <w:rPr>
          <w:rFonts w:hint="eastAsia" w:ascii="Times New Roman" w:hAnsi="Times New Roman" w:eastAsia="仿宋_GB2312" w:cs="Times New Roman"/>
          <w:color w:val="auto"/>
          <w:sz w:val="24"/>
          <w:szCs w:val="24"/>
          <w:highlight w:val="none"/>
        </w:rPr>
        <w:t>应急池池壁、池底为C25钢筋混凝土。池底钢筋混凝土浇筑前须先整平地基，然后浇筑100mm厚C15混凝土垫层，然后进行钢筋绑扎等工序</w:t>
      </w:r>
      <w:r>
        <w:rPr>
          <w:rFonts w:ascii="Times New Roman" w:hAnsi="Times New Roman" w:eastAsia="仿宋_GB2312" w:cs="Times New Roman"/>
          <w:color w:val="auto"/>
          <w:sz w:val="24"/>
          <w:szCs w:val="24"/>
          <w:highlight w:val="none"/>
        </w:rPr>
        <w:t>。</w:t>
      </w:r>
    </w:p>
    <w:p>
      <w:pPr>
        <w:widowControl w:val="0"/>
        <w:spacing w:line="336"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（5）放喷坑</w:t>
      </w:r>
    </w:p>
    <w:p>
      <w:pPr>
        <w:widowControl w:val="0"/>
        <w:spacing w:line="336"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燃烧池布置在井场后场外距井口 100m 旱地中。</w:t>
      </w:r>
    </w:p>
    <w:p>
      <w:pPr>
        <w:widowControl w:val="0"/>
        <w:spacing w:line="336" w:lineRule="auto"/>
        <w:ind w:firstLine="480" w:firstLineChars="200"/>
        <w:jc w:val="both"/>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lang w:val="en-US" w:eastAsia="zh-CN"/>
        </w:rPr>
        <w:t>燃烧池墙体及基础均采用页岩标砖砌筑，燃烧池底部采用 C20 碎石砼浇筑</w:t>
      </w:r>
      <w:r>
        <w:rPr>
          <w:rFonts w:hint="eastAsia" w:ascii="Times New Roman" w:hAnsi="Times New Roman" w:eastAsia="仿宋_GB2312" w:cs="Times New Roman"/>
          <w:color w:val="auto"/>
          <w:sz w:val="24"/>
          <w:szCs w:val="24"/>
          <w:highlight w:val="none"/>
          <w:lang w:val="en-US" w:eastAsia="zh-CN"/>
        </w:rPr>
        <w:t>。</w:t>
      </w:r>
      <w:r>
        <w:rPr>
          <w:rFonts w:ascii="Times New Roman" w:hAnsi="Times New Roman" w:eastAsia="仿宋_GB2312" w:cs="Times New Roman"/>
          <w:color w:val="auto"/>
          <w:sz w:val="24"/>
          <w:szCs w:val="24"/>
          <w:highlight w:val="none"/>
          <w:lang w:val="en-US" w:eastAsia="zh-CN"/>
        </w:rPr>
        <w:t xml:space="preserve">池底浇筑、墙体砌筑完成后，采用耐火砂浆进行抹面，耐火砂浆抹面厚度不小于 </w:t>
      </w:r>
      <w:r>
        <w:rPr>
          <w:rFonts w:hint="default" w:ascii="Times New Roman" w:hAnsi="Times New Roman" w:eastAsia="仿宋_GB2312" w:cs="Times New Roman"/>
          <w:color w:val="auto"/>
          <w:sz w:val="24"/>
          <w:szCs w:val="24"/>
          <w:highlight w:val="none"/>
          <w:lang w:val="en-US" w:eastAsia="zh-CN"/>
        </w:rPr>
        <w:t>2cm</w:t>
      </w:r>
      <w:r>
        <w:rPr>
          <w:rFonts w:ascii="Times New Roman" w:hAnsi="Times New Roman" w:eastAsia="仿宋_GB2312" w:cs="Times New Roman"/>
          <w:color w:val="auto"/>
          <w:sz w:val="24"/>
          <w:szCs w:val="24"/>
          <w:highlight w:val="none"/>
          <w:lang w:val="en-US" w:eastAsia="zh-CN"/>
        </w:rPr>
        <w:t>。</w:t>
      </w:r>
    </w:p>
    <w:p>
      <w:pPr>
        <w:widowControl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2.1.4.4道路工程</w:t>
      </w:r>
    </w:p>
    <w:p>
      <w:pPr>
        <w:widowControl w:val="0"/>
        <w:spacing w:line="360" w:lineRule="auto"/>
        <w:ind w:firstLine="480" w:firstLineChars="200"/>
        <w:rPr>
          <w:rFonts w:hint="default" w:ascii="Times New Roman" w:hAnsi="Times New Roman" w:eastAsia="仿宋_GB2312" w:cs="Times New Roman"/>
          <w:color w:val="auto"/>
          <w:spacing w:val="5"/>
          <w:sz w:val="24"/>
          <w:szCs w:val="24"/>
          <w:lang w:val="en-US" w:eastAsia="zh-CN"/>
        </w:rPr>
      </w:pPr>
      <w:r>
        <w:rPr>
          <w:rFonts w:ascii="Times New Roman" w:hAnsi="Times New Roman" w:eastAsia="仿宋_GB2312" w:cs="Times New Roman"/>
          <w:color w:val="auto"/>
          <w:sz w:val="24"/>
          <w:szCs w:val="24"/>
          <w:highlight w:val="none"/>
        </w:rPr>
        <w:t>为</w:t>
      </w:r>
      <w:r>
        <w:rPr>
          <w:rFonts w:hint="eastAsia" w:ascii="Times New Roman" w:hAnsi="Times New Roman" w:eastAsia="仿宋_GB2312" w:cs="Times New Roman"/>
          <w:color w:val="auto"/>
          <w:sz w:val="24"/>
          <w:szCs w:val="24"/>
          <w:highlight w:val="none"/>
          <w:lang w:val="en-US" w:eastAsia="zh-CN"/>
        </w:rPr>
        <w:t>根据现场实际情况</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本项目道路总长 0.256km。道路工程分为新建公路、生活区道路；新建公路 0.191km；生活区道路 0.065km。新建公路长度 0.191km，沿线穿越旱地及水田；全路段为填方。从井场通往生活区的道路为新建道路，长度 0.065km，沿线穿越旱地。路面结构层为 30cm 厚手摆片石基层+10cm 厚泥结碎石面层。 生活区需修建吊装便道，计30cm 厚手摆片石106m（长）×6m（宽）=</w:t>
      </w:r>
      <w:r>
        <w:rPr>
          <w:rFonts w:hint="eastAsia" w:ascii="Times New Roman" w:hAnsi="Times New Roman" w:eastAsia="仿宋_GB2312" w:cs="Times New Roman"/>
          <w:color w:val="auto"/>
          <w:sz w:val="24"/>
          <w:szCs w:val="24"/>
          <w:highlight w:val="green"/>
          <w:lang w:val="en-US" w:eastAsia="zh-CN"/>
        </w:rPr>
        <w:t>636</w:t>
      </w:r>
      <w:r>
        <w:rPr>
          <w:rFonts w:ascii="Times New Roman" w:hAnsi="Times New Roman" w:eastAsia="仿宋_GB2312" w:cs="Times New Roman"/>
          <w:color w:val="auto"/>
          <w:sz w:val="24"/>
          <w:szCs w:val="24"/>
          <w:highlight w:val="green"/>
        </w:rPr>
        <w:t>m</w:t>
      </w:r>
      <w:r>
        <w:rPr>
          <w:rFonts w:hint="eastAsia" w:ascii="Times New Roman" w:hAnsi="Times New Roman" w:eastAsia="仿宋_GB2312" w:cs="Times New Roman"/>
          <w:color w:val="auto"/>
          <w:sz w:val="24"/>
          <w:szCs w:val="24"/>
          <w:highlight w:val="green"/>
          <w:vertAlign w:val="superscript"/>
          <w:lang w:val="en-US" w:eastAsia="zh-CN"/>
        </w:rPr>
        <w:t>2</w:t>
      </w:r>
      <w:r>
        <w:rPr>
          <w:rFonts w:hint="eastAsia" w:ascii="Times New Roman" w:hAnsi="Times New Roman" w:eastAsia="仿宋_GB2312" w:cs="Times New Roman"/>
          <w:color w:val="auto"/>
          <w:sz w:val="24"/>
          <w:szCs w:val="24"/>
          <w:highlight w:val="none"/>
          <w:lang w:val="en-US" w:eastAsia="zh-CN"/>
        </w:rPr>
        <w:t>。</w:t>
      </w:r>
    </w:p>
    <w:p>
      <w:pPr>
        <w:widowControl w:val="0"/>
        <w:spacing w:line="360" w:lineRule="auto"/>
        <w:ind w:firstLine="500" w:firstLineChars="200"/>
        <w:rPr>
          <w:rFonts w:ascii="Times New Roman" w:hAnsi="Times New Roman" w:eastAsia="仿宋_GB2312" w:cs="Times New Roman"/>
          <w:color w:val="auto"/>
          <w:spacing w:val="5"/>
          <w:sz w:val="24"/>
          <w:szCs w:val="24"/>
          <w:highlight w:val="none"/>
        </w:rPr>
      </w:pPr>
      <w:r>
        <w:rPr>
          <w:rFonts w:ascii="Times New Roman" w:hAnsi="Times New Roman" w:eastAsia="仿宋_GB2312" w:cs="Times New Roman"/>
          <w:color w:val="auto"/>
          <w:spacing w:val="5"/>
          <w:sz w:val="24"/>
          <w:szCs w:val="24"/>
          <w:highlight w:val="none"/>
        </w:rPr>
        <w:t>（1）道路主要技术指标</w:t>
      </w:r>
    </w:p>
    <w:p>
      <w:pPr>
        <w:widowControl w:val="0"/>
        <w:spacing w:line="360" w:lineRule="auto"/>
        <w:ind w:firstLine="500" w:firstLineChars="200"/>
        <w:rPr>
          <w:rFonts w:ascii="Times New Roman" w:hAnsi="Times New Roman" w:eastAsia="仿宋_GB2312" w:cs="Times New Roman"/>
          <w:b/>
          <w:color w:val="auto"/>
          <w:szCs w:val="21"/>
          <w:highlight w:val="none"/>
        </w:rPr>
      </w:pPr>
      <w:r>
        <w:rPr>
          <w:rFonts w:ascii="Times New Roman" w:hAnsi="Times New Roman" w:eastAsia="仿宋_GB2312" w:cs="Times New Roman"/>
          <w:color w:val="auto"/>
          <w:spacing w:val="5"/>
          <w:sz w:val="24"/>
          <w:szCs w:val="24"/>
          <w:highlight w:val="none"/>
        </w:rPr>
        <w:t>进场公路主要技术指标详见下表。</w:t>
      </w:r>
    </w:p>
    <w:p>
      <w:pPr>
        <w:widowControl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表2.1-3进场道路主要技术指标表</w:t>
      </w:r>
    </w:p>
    <w:tbl>
      <w:tblPr>
        <w:tblStyle w:val="204"/>
        <w:tblW w:w="86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49"/>
        <w:gridCol w:w="2266"/>
        <w:gridCol w:w="3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349"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项目</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单位</w:t>
            </w: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技术指标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公路等级</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四级公路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设计载荷</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公路-</w:t>
            </w:r>
            <w:r>
              <w:rPr>
                <w:rFonts w:ascii="Times New Roman" w:hAnsi="Times New Roman" w:eastAsia="仿宋" w:cs="Times New Roman"/>
                <w:color w:val="auto"/>
                <w:sz w:val="18"/>
                <w:szCs w:val="18"/>
                <w:highlight w:val="none"/>
              </w:rPr>
              <w:t>Ⅱ</w:t>
            </w:r>
            <w:r>
              <w:rPr>
                <w:rFonts w:ascii="Times New Roman" w:hAnsi="Times New Roman" w:eastAsia="仿宋_GB2312" w:cs="Times New Roman"/>
                <w:color w:val="auto"/>
                <w:sz w:val="18"/>
                <w:szCs w:val="18"/>
                <w:highlight w:val="none"/>
              </w:rPr>
              <w:t>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计算行车速度</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km/h</w:t>
            </w:r>
          </w:p>
        </w:tc>
        <w:tc>
          <w:tcPr>
            <w:tcW w:w="3072" w:type="dxa"/>
            <w:tcMar>
              <w:left w:w="28" w:type="dxa"/>
              <w:right w:w="28" w:type="dxa"/>
            </w:tcMar>
            <w:vAlign w:val="center"/>
          </w:tcPr>
          <w:p>
            <w:pPr>
              <w:widowControl w:val="0"/>
              <w:adjustRightInd w:val="0"/>
              <w:snapToGrid w:val="0"/>
              <w:spacing w:before="40" w:after="40"/>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路基宽度</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m</w:t>
            </w: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4.5（错车道路段6.5）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路面宽度</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m</w:t>
            </w: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3.5（错车道路段 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vMerge w:val="restart"/>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公路路面结构类型</w:t>
            </w: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面层</w:t>
            </w: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20cm厚C25碎石砼面层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49" w:type="dxa"/>
            <w:vMerge w:val="continue"/>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p>
        </w:tc>
        <w:tc>
          <w:tcPr>
            <w:tcW w:w="2266"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基层</w:t>
            </w:r>
          </w:p>
        </w:tc>
        <w:tc>
          <w:tcPr>
            <w:tcW w:w="3072" w:type="dxa"/>
            <w:tcMar>
              <w:left w:w="28" w:type="dxa"/>
              <w:right w:w="28" w:type="dxa"/>
            </w:tcMar>
            <w:vAlign w:val="center"/>
          </w:tcPr>
          <w:p>
            <w:pPr>
              <w:widowControl w:val="0"/>
              <w:adjustRightInd w:val="0"/>
              <w:snapToGrid w:val="0"/>
              <w:spacing w:before="40" w:after="4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20cm厚</w:t>
            </w:r>
            <w:r>
              <w:rPr>
                <w:rFonts w:hint="eastAsia" w:ascii="Times New Roman" w:hAnsi="Times New Roman" w:eastAsia="仿宋_GB2312" w:cs="Times New Roman"/>
                <w:color w:val="auto"/>
                <w:sz w:val="18"/>
                <w:szCs w:val="18"/>
                <w:highlight w:val="none"/>
                <w:lang w:val="en-US" w:eastAsia="zh-CN"/>
              </w:rPr>
              <w:t>级配碎石</w:t>
            </w:r>
            <w:r>
              <w:rPr>
                <w:rFonts w:ascii="Times New Roman" w:hAnsi="Times New Roman" w:eastAsia="仿宋_GB2312" w:cs="Times New Roman"/>
                <w:color w:val="auto"/>
                <w:sz w:val="18"/>
                <w:szCs w:val="18"/>
                <w:highlight w:val="none"/>
              </w:rPr>
              <w:t>基层</w:t>
            </w:r>
          </w:p>
        </w:tc>
      </w:tr>
    </w:tbl>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（2）路基边坡</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lang w:val="en-US" w:eastAsia="zh-CN"/>
        </w:rPr>
        <w:t>路基边坡如在横断面中未明确标示，土质填方路基边坡坡率为 1:1.5，石质填方路</w:t>
      </w:r>
      <w:r>
        <w:rPr>
          <w:rFonts w:hint="eastAsia" w:ascii="Times New Roman" w:hAnsi="Times New Roman" w:eastAsia="仿宋_GB2312" w:cs="Times New Roman"/>
          <w:color w:val="auto"/>
          <w:sz w:val="24"/>
          <w:szCs w:val="24"/>
          <w:highlight w:val="none"/>
          <w:lang w:val="en-US" w:eastAsia="zh-CN"/>
        </w:rPr>
        <w:t>，</w:t>
      </w:r>
      <w:r>
        <w:rPr>
          <w:rFonts w:ascii="Times New Roman" w:hAnsi="Times New Roman" w:eastAsia="仿宋_GB2312" w:cs="Times New Roman"/>
          <w:color w:val="auto"/>
          <w:sz w:val="24"/>
          <w:szCs w:val="24"/>
          <w:highlight w:val="none"/>
          <w:lang w:val="en-US" w:eastAsia="zh-CN"/>
        </w:rPr>
        <w:t xml:space="preserve">基边坡坡率为 </w:t>
      </w:r>
      <w:r>
        <w:rPr>
          <w:rFonts w:hint="default" w:ascii="Times New Roman" w:hAnsi="Times New Roman" w:eastAsia="仿宋_GB2312" w:cs="Times New Roman"/>
          <w:color w:val="auto"/>
          <w:sz w:val="24"/>
          <w:szCs w:val="24"/>
          <w:highlight w:val="none"/>
          <w:lang w:val="en-US" w:eastAsia="zh-CN"/>
        </w:rPr>
        <w:t>1:1</w:t>
      </w:r>
      <w:r>
        <w:rPr>
          <w:rFonts w:ascii="Times New Roman" w:hAnsi="Times New Roman" w:eastAsia="仿宋_GB2312" w:cs="Times New Roman"/>
          <w:color w:val="auto"/>
          <w:sz w:val="24"/>
          <w:szCs w:val="24"/>
          <w:highlight w:val="none"/>
          <w:lang w:val="en-US" w:eastAsia="zh-CN"/>
        </w:rPr>
        <w:t xml:space="preserve">；土质挖方边坡坡率为 </w:t>
      </w:r>
      <w:r>
        <w:rPr>
          <w:rFonts w:hint="default" w:ascii="Times New Roman" w:hAnsi="Times New Roman" w:eastAsia="仿宋_GB2312" w:cs="Times New Roman"/>
          <w:color w:val="auto"/>
          <w:sz w:val="24"/>
          <w:szCs w:val="24"/>
          <w:highlight w:val="none"/>
          <w:lang w:val="en-US" w:eastAsia="zh-CN"/>
        </w:rPr>
        <w:t>1:1</w:t>
      </w:r>
      <w:r>
        <w:rPr>
          <w:rFonts w:ascii="Times New Roman" w:hAnsi="Times New Roman" w:eastAsia="仿宋_GB2312" w:cs="Times New Roman"/>
          <w:color w:val="auto"/>
          <w:sz w:val="24"/>
          <w:szCs w:val="24"/>
          <w:highlight w:val="none"/>
          <w:lang w:val="en-US" w:eastAsia="zh-CN"/>
        </w:rPr>
        <w:t xml:space="preserve">，石质挖方边坡坡率为 </w:t>
      </w:r>
      <w:r>
        <w:rPr>
          <w:rFonts w:hint="default" w:ascii="Times New Roman" w:hAnsi="Times New Roman" w:eastAsia="仿宋_GB2312" w:cs="Times New Roman"/>
          <w:color w:val="auto"/>
          <w:sz w:val="24"/>
          <w:szCs w:val="24"/>
          <w:highlight w:val="none"/>
          <w:lang w:val="en-US" w:eastAsia="zh-CN"/>
        </w:rPr>
        <w:t>1:0.5</w:t>
      </w:r>
      <w:r>
        <w:rPr>
          <w:rFonts w:ascii="Times New Roman" w:hAnsi="Times New Roman" w:eastAsia="仿宋_GB2312" w:cs="Times New Roman"/>
          <w:color w:val="auto"/>
          <w:sz w:val="24"/>
          <w:szCs w:val="24"/>
          <w:highlight w:val="none"/>
          <w:lang w:val="en-US" w:eastAsia="zh-CN"/>
        </w:rPr>
        <w:t xml:space="preserve">。 </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（3）防护及排水工程</w:t>
      </w:r>
    </w:p>
    <w:p>
      <w:pPr>
        <w:widowControl w:val="0"/>
        <w:spacing w:line="360" w:lineRule="auto"/>
        <w:ind w:firstLine="480" w:firstLineChars="200"/>
        <w:rPr>
          <w:rFonts w:hint="default" w:ascii="Times New Roman" w:hAnsi="Times New Roman" w:eastAsia="仿宋_GB2312" w:cs="Times New Roman"/>
          <w:color w:val="auto"/>
          <w:sz w:val="24"/>
          <w:szCs w:val="24"/>
          <w:highlight w:val="none"/>
          <w:lang w:val="en-US" w:eastAsia="zh-CN"/>
        </w:rPr>
      </w:pPr>
      <w:r>
        <w:rPr>
          <w:rFonts w:ascii="Times New Roman" w:hAnsi="Times New Roman" w:eastAsia="仿宋_GB2312" w:cs="Times New Roman"/>
          <w:color w:val="auto"/>
          <w:sz w:val="24"/>
          <w:szCs w:val="24"/>
          <w:highlight w:val="none"/>
        </w:rPr>
        <w:t>新建公路施工过程中，应保证路基范围内排水畅通，以保证路基强度</w:t>
      </w:r>
      <w:r>
        <w:rPr>
          <w:rFonts w:hint="eastAsia" w:ascii="Times New Roman" w:hAnsi="Times New Roman" w:eastAsia="仿宋_GB2312" w:cs="Times New Roman"/>
          <w:color w:val="auto"/>
          <w:sz w:val="24"/>
          <w:szCs w:val="24"/>
          <w:highlight w:val="none"/>
          <w:lang w:eastAsia="zh-CN"/>
        </w:rPr>
        <w:t>，</w:t>
      </w:r>
      <w:r>
        <w:rPr>
          <w:rFonts w:hint="eastAsia" w:ascii="Times New Roman" w:hAnsi="Times New Roman" w:eastAsia="仿宋_GB2312" w:cs="Times New Roman"/>
          <w:color w:val="auto"/>
          <w:sz w:val="24"/>
          <w:szCs w:val="24"/>
          <w:highlight w:val="none"/>
          <w:lang w:val="en-US" w:eastAsia="zh-CN"/>
        </w:rPr>
        <w:t>挖方路段坡底设置浆砌砖排水沟，尺寸为0.4m*0.4m</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rPr>
        <w:t>路基防护工程主要为道路</w:t>
      </w:r>
      <w:r>
        <w:rPr>
          <w:rFonts w:hint="eastAsia" w:ascii="Times New Roman" w:hAnsi="Times New Roman" w:eastAsia="仿宋_GB2312" w:cs="Times New Roman"/>
          <w:color w:val="auto"/>
          <w:sz w:val="24"/>
          <w:szCs w:val="24"/>
          <w:highlight w:val="none"/>
          <w:lang w:val="en-US" w:eastAsia="zh-CN"/>
        </w:rPr>
        <w:t>工程填方路基的护坡及挖方路基的排水沟</w:t>
      </w:r>
      <w:r>
        <w:rPr>
          <w:rFonts w:hint="eastAsia" w:ascii="Times New Roman" w:hAnsi="Times New Roman" w:eastAsia="仿宋_GB2312" w:cs="Times New Roman"/>
          <w:color w:val="auto"/>
          <w:sz w:val="24"/>
          <w:szCs w:val="24"/>
          <w:highlight w:val="none"/>
        </w:rPr>
        <w:t>。</w:t>
      </w:r>
      <w:r>
        <w:rPr>
          <w:rFonts w:ascii="Times New Roman" w:hAnsi="Times New Roman" w:eastAsia="仿宋_GB2312" w:cs="Times New Roman"/>
          <w:color w:val="auto"/>
          <w:sz w:val="24"/>
          <w:szCs w:val="24"/>
          <w:highlight w:val="none"/>
        </w:rPr>
        <w:t>路基土边坡须播撒草种，以防止地面雨水对土边坡造成冲刷</w:t>
      </w:r>
      <w:r>
        <w:rPr>
          <w:rFonts w:hint="eastAsia" w:ascii="Times New Roman" w:hAnsi="Times New Roman" w:eastAsia="仿宋_GB2312" w:cs="Times New Roman"/>
          <w:color w:val="auto"/>
          <w:sz w:val="24"/>
          <w:szCs w:val="24"/>
          <w:highlight w:val="none"/>
          <w:lang w:val="en-US" w:eastAsia="zh-CN"/>
        </w:rPr>
        <w:t>。</w:t>
      </w:r>
    </w:p>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2.1.5钻井工程</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钻井设备安装完成，即进行钻井活动。钻井钻至目的层后，将对气井进行完井作业，以取得该井施工段流体性质、测试产能、地层压力等详细工程资料。完井作业包括洗井、射孔（最后一次固井后）、测试放喷等过程。</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本工程钻井期间将产生钻井岩屑约0.0</w:t>
      </w:r>
      <w:r>
        <w:rPr>
          <w:rFonts w:hint="eastAsia" w:ascii="Times New Roman" w:hAnsi="Times New Roman" w:eastAsia="仿宋_GB2312" w:cs="Times New Roman"/>
          <w:color w:val="auto"/>
          <w:sz w:val="24"/>
          <w:szCs w:val="24"/>
          <w:highlight w:val="none"/>
          <w:lang w:val="en-US" w:eastAsia="zh-CN"/>
        </w:rPr>
        <w:t>1</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。钻井岩屑按法律法规要求、技术标准规范、</w:t>
      </w:r>
      <w:r>
        <w:rPr>
          <w:rFonts w:hint="eastAsia" w:ascii="Times New Roman" w:hAnsi="Times New Roman" w:eastAsia="仿宋_GB2312" w:cs="Times New Roman"/>
          <w:color w:val="auto"/>
          <w:sz w:val="24"/>
          <w:szCs w:val="24"/>
          <w:highlight w:val="none"/>
          <w:lang w:val="en-US" w:eastAsia="zh-CN"/>
        </w:rPr>
        <w:t>大庆油田有限责任公司勘探事业部</w:t>
      </w:r>
      <w:r>
        <w:rPr>
          <w:rFonts w:ascii="Times New Roman" w:hAnsi="Times New Roman" w:eastAsia="仿宋_GB2312" w:cs="Times New Roman"/>
          <w:color w:val="auto"/>
          <w:sz w:val="24"/>
          <w:szCs w:val="24"/>
          <w:highlight w:val="none"/>
        </w:rPr>
        <w:t>等相关规定妥善处置，需外运有处理资质的工厂处理后资源化利用，钻井岩屑最终处理利用对环境无害，满足环保及水土保持要求，运输过程采用全封闭的方式。</w:t>
      </w:r>
    </w:p>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2.1.6完井工程</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完井作业包括洗井、射孔（最后一次固井后）、压裂、装采气树及防喷器等、测试放喷等过程。本项目完井作业主要包括酸化压裂及测试放喷等，经压裂测试放喷定产后搬迁撤离压裂设备等，视测试情况确定后续开发或封井。</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测试结束后，将安装井口装置，搬迁钻井设备，并对临时用地开展土地复垦施工。工程结束后对临时用地进行土地整理，永久占地则用围墙围起。</w:t>
      </w:r>
    </w:p>
    <w:p>
      <w:pPr>
        <w:widowControl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2.1.7后续工程水土保持责任</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本工程钻井结束后，若后期继续开发天然气产品，后续钻井集输工程水土保持责任仍由</w:t>
      </w:r>
      <w:r>
        <w:rPr>
          <w:rFonts w:hint="eastAsia" w:ascii="Times New Roman" w:hAnsi="Times New Roman" w:eastAsia="仿宋_GB2312" w:cs="Times New Roman"/>
          <w:color w:val="auto"/>
          <w:sz w:val="24"/>
          <w:szCs w:val="24"/>
          <w:highlight w:val="none"/>
          <w:lang w:val="en-US" w:eastAsia="zh-CN"/>
        </w:rPr>
        <w:t>大庆油田有限责任公司勘探事业部</w:t>
      </w:r>
      <w:r>
        <w:rPr>
          <w:rFonts w:ascii="Times New Roman" w:hAnsi="Times New Roman" w:eastAsia="仿宋_GB2312" w:cs="Times New Roman"/>
          <w:color w:val="auto"/>
          <w:sz w:val="24"/>
          <w:szCs w:val="24"/>
          <w:highlight w:val="none"/>
        </w:rPr>
        <w:t>承担，后</w:t>
      </w:r>
      <w:r>
        <w:rPr>
          <w:rFonts w:hint="eastAsia" w:ascii="Times New Roman" w:hAnsi="Times New Roman" w:eastAsia="仿宋_GB2312" w:cs="Times New Roman"/>
          <w:color w:val="auto"/>
          <w:sz w:val="24"/>
          <w:szCs w:val="24"/>
          <w:highlight w:val="none"/>
          <w:lang w:val="en-US" w:eastAsia="zh-CN"/>
        </w:rPr>
        <w:t>续钻井</w:t>
      </w:r>
      <w:r>
        <w:rPr>
          <w:rFonts w:ascii="Times New Roman" w:hAnsi="Times New Roman" w:eastAsia="仿宋_GB2312" w:cs="Times New Roman"/>
          <w:color w:val="auto"/>
          <w:sz w:val="24"/>
          <w:szCs w:val="24"/>
          <w:highlight w:val="none"/>
        </w:rPr>
        <w:t>集输工程应另行编报水土保持方案。</w:t>
      </w:r>
    </w:p>
    <w:bookmarkEnd w:id="50"/>
    <w:bookmarkEnd w:id="51"/>
    <w:bookmarkEnd w:id="52"/>
    <w:bookmarkEnd w:id="53"/>
    <w:p>
      <w:pPr>
        <w:widowControl w:val="0"/>
        <w:snapToGrid w:val="0"/>
        <w:spacing w:before="120" w:beforeLines="50" w:after="120" w:afterLines="50" w:line="360" w:lineRule="auto"/>
        <w:outlineLvl w:val="1"/>
        <w:rPr>
          <w:rFonts w:ascii="Times New Roman" w:hAnsi="Times New Roman" w:eastAsia="仿宋_GB2312" w:cs="Times New Roman"/>
          <w:b/>
          <w:color w:val="auto"/>
          <w:sz w:val="30"/>
          <w:szCs w:val="30"/>
          <w:highlight w:val="none"/>
          <w:lang w:val="zh-CN"/>
        </w:rPr>
      </w:pPr>
      <w:bookmarkStart w:id="54" w:name="_Toc74588730"/>
      <w:bookmarkStart w:id="55" w:name="_Toc74588679"/>
      <w:r>
        <w:rPr>
          <w:rFonts w:ascii="Times New Roman" w:hAnsi="Times New Roman" w:eastAsia="仿宋_GB2312" w:cs="Times New Roman"/>
          <w:b/>
          <w:color w:val="auto"/>
          <w:sz w:val="30"/>
          <w:szCs w:val="30"/>
          <w:highlight w:val="none"/>
          <w:lang w:val="zh-CN"/>
        </w:rPr>
        <w:t>2.2 施工组织</w:t>
      </w:r>
      <w:bookmarkEnd w:id="54"/>
      <w:bookmarkEnd w:id="55"/>
    </w:p>
    <w:p>
      <w:pPr>
        <w:widowControl w:val="0"/>
        <w:snapToGrid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2.2.1 施工布置</w:t>
      </w:r>
    </w:p>
    <w:p>
      <w:pPr>
        <w:widowControl w:val="0"/>
        <w:spacing w:before="120" w:beforeLines="50" w:after="120" w:afterLines="50" w:line="360" w:lineRule="auto"/>
        <w:outlineLvl w:val="3"/>
        <w:rPr>
          <w:rFonts w:hint="eastAsia" w:ascii="Times New Roman" w:hAnsi="Times New Roman" w:eastAsia="仿宋_GB2312" w:cs="Times New Roman"/>
          <w:b/>
          <w:bCs/>
          <w:color w:val="auto"/>
          <w:sz w:val="24"/>
          <w:szCs w:val="28"/>
          <w:highlight w:val="none"/>
          <w:lang w:eastAsia="zh-CN"/>
        </w:rPr>
      </w:pPr>
      <w:r>
        <w:rPr>
          <w:rFonts w:ascii="Times New Roman" w:hAnsi="Times New Roman" w:eastAsia="仿宋_GB2312" w:cs="Times New Roman"/>
          <w:b/>
          <w:bCs/>
          <w:color w:val="auto"/>
          <w:sz w:val="24"/>
          <w:szCs w:val="28"/>
          <w:highlight w:val="none"/>
        </w:rPr>
        <w:t>2.2.1.1施工</w:t>
      </w:r>
      <w:r>
        <w:rPr>
          <w:rFonts w:hint="eastAsia" w:ascii="Times New Roman" w:hAnsi="Times New Roman" w:eastAsia="仿宋_GB2312" w:cs="Times New Roman"/>
          <w:b/>
          <w:bCs/>
          <w:color w:val="auto"/>
          <w:sz w:val="24"/>
          <w:szCs w:val="28"/>
          <w:highlight w:val="none"/>
          <w:lang w:eastAsia="zh-CN"/>
        </w:rPr>
        <w:t>临时生活区</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主体设计根据规范要求并结合项目区实际情况将临时生活区布置</w:t>
      </w:r>
      <w:r>
        <w:rPr>
          <w:rFonts w:ascii="Times New Roman" w:hAnsi="Times New Roman" w:eastAsia="仿宋_GB2312" w:cs="Times New Roman"/>
          <w:color w:val="auto"/>
          <w:sz w:val="24"/>
          <w:szCs w:val="24"/>
          <w:highlight w:val="none"/>
          <w:lang w:val="en-US" w:eastAsia="zh-CN"/>
        </w:rPr>
        <w:t xml:space="preserve">井场右前场方 向民房后方旱地中，生活区配置活动房基础共计 42 幢，生产区井场外和生活区各修建 1 幢厕所，共计 </w:t>
      </w:r>
      <w:r>
        <w:rPr>
          <w:rFonts w:hint="default" w:ascii="Times New Roman" w:hAnsi="Times New Roman" w:eastAsia="仿宋_GB2312" w:cs="Times New Roman"/>
          <w:color w:val="auto"/>
          <w:sz w:val="24"/>
          <w:szCs w:val="24"/>
          <w:highlight w:val="none"/>
          <w:lang w:val="en-US" w:eastAsia="zh-CN"/>
        </w:rPr>
        <w:t xml:space="preserve">2 </w:t>
      </w:r>
      <w:r>
        <w:rPr>
          <w:rFonts w:ascii="Times New Roman" w:hAnsi="Times New Roman" w:eastAsia="仿宋_GB2312" w:cs="Times New Roman"/>
          <w:color w:val="auto"/>
          <w:sz w:val="24"/>
          <w:szCs w:val="24"/>
          <w:highlight w:val="none"/>
          <w:lang w:val="en-US" w:eastAsia="zh-CN"/>
        </w:rPr>
        <w:t xml:space="preserve">幢。其位置应在符合 </w:t>
      </w:r>
      <w:r>
        <w:rPr>
          <w:rFonts w:hint="default" w:ascii="Times New Roman" w:hAnsi="Times New Roman" w:eastAsia="仿宋_GB2312" w:cs="Times New Roman"/>
          <w:color w:val="auto"/>
          <w:sz w:val="24"/>
          <w:szCs w:val="24"/>
          <w:highlight w:val="none"/>
          <w:lang w:val="en-US" w:eastAsia="zh-CN"/>
        </w:rPr>
        <w:t>HSE</w:t>
      </w:r>
      <w:r>
        <w:rPr>
          <w:rFonts w:ascii="Times New Roman" w:hAnsi="Times New Roman" w:eastAsia="仿宋_GB2312" w:cs="Times New Roman"/>
          <w:color w:val="auto"/>
          <w:sz w:val="24"/>
          <w:szCs w:val="24"/>
          <w:highlight w:val="none"/>
          <w:lang w:val="en-US" w:eastAsia="zh-CN"/>
        </w:rPr>
        <w:t xml:space="preserve">要求前提下方便井队使用。生活区房屋基础间地坪和活动房屋到公路的人行便道采用预制板，长度按 3m，宽 </w:t>
      </w:r>
      <w:r>
        <w:rPr>
          <w:rFonts w:hint="default" w:ascii="Times New Roman" w:hAnsi="Times New Roman" w:eastAsia="仿宋_GB2312" w:cs="Times New Roman"/>
          <w:color w:val="auto"/>
          <w:sz w:val="24"/>
          <w:szCs w:val="24"/>
          <w:highlight w:val="none"/>
          <w:lang w:val="en-US" w:eastAsia="zh-CN"/>
        </w:rPr>
        <w:t xml:space="preserve">0.5m </w:t>
      </w:r>
      <w:r>
        <w:rPr>
          <w:rFonts w:ascii="Times New Roman" w:hAnsi="Times New Roman" w:eastAsia="仿宋_GB2312" w:cs="Times New Roman"/>
          <w:color w:val="auto"/>
          <w:sz w:val="24"/>
          <w:szCs w:val="24"/>
          <w:highlight w:val="none"/>
          <w:lang w:val="en-US" w:eastAsia="zh-CN"/>
        </w:rPr>
        <w:t xml:space="preserve">计，共计预制板 </w:t>
      </w:r>
      <w:r>
        <w:rPr>
          <w:rFonts w:hint="default" w:ascii="Times New Roman" w:hAnsi="Times New Roman" w:eastAsia="仿宋_GB2312" w:cs="Times New Roman"/>
          <w:color w:val="auto"/>
          <w:sz w:val="24"/>
          <w:szCs w:val="24"/>
          <w:highlight w:val="none"/>
          <w:lang w:val="en-US" w:eastAsia="zh-CN"/>
        </w:rPr>
        <w:t xml:space="preserve">80 </w:t>
      </w:r>
      <w:r>
        <w:rPr>
          <w:rFonts w:ascii="Times New Roman" w:hAnsi="Times New Roman" w:eastAsia="仿宋_GB2312" w:cs="Times New Roman"/>
          <w:color w:val="auto"/>
          <w:sz w:val="24"/>
          <w:szCs w:val="24"/>
          <w:highlight w:val="none"/>
          <w:lang w:val="en-US" w:eastAsia="zh-CN"/>
        </w:rPr>
        <w:t>块。</w:t>
      </w:r>
      <w:r>
        <w:rPr>
          <w:rFonts w:ascii="Times New Roman" w:hAnsi="Times New Roman" w:eastAsia="仿宋_GB2312" w:cs="Times New Roman"/>
          <w:color w:val="auto"/>
          <w:sz w:val="24"/>
          <w:szCs w:val="24"/>
          <w:highlight w:val="none"/>
        </w:rPr>
        <w:t>生活区临时总占地面积</w:t>
      </w:r>
      <w:r>
        <w:rPr>
          <w:rFonts w:hint="eastAsia" w:ascii="Times New Roman" w:hAnsi="Times New Roman" w:eastAsia="仿宋_GB2312" w:cs="Times New Roman"/>
          <w:color w:val="auto"/>
          <w:sz w:val="24"/>
          <w:szCs w:val="24"/>
          <w:highlight w:val="none"/>
          <w:lang w:val="en-US" w:eastAsia="zh-CN"/>
        </w:rPr>
        <w:t>约</w:t>
      </w:r>
      <w:r>
        <w:rPr>
          <w:rFonts w:ascii="Times New Roman" w:hAnsi="Times New Roman" w:eastAsia="仿宋_GB2312" w:cs="Times New Roman"/>
          <w:color w:val="auto"/>
          <w:sz w:val="24"/>
          <w:szCs w:val="24"/>
          <w:highlight w:val="none"/>
        </w:rPr>
        <w:t>0.</w:t>
      </w:r>
      <w:r>
        <w:rPr>
          <w:rFonts w:hint="eastAsia" w:ascii="Times New Roman" w:hAnsi="Times New Roman" w:eastAsia="仿宋_GB2312" w:cs="Times New Roman"/>
          <w:color w:val="auto"/>
          <w:sz w:val="24"/>
          <w:szCs w:val="24"/>
          <w:highlight w:val="none"/>
          <w:lang w:val="en-US" w:eastAsia="zh-CN"/>
        </w:rPr>
        <w:t>23</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w:t>
      </w:r>
    </w:p>
    <w:p>
      <w:pPr>
        <w:widowControl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2.2.1.2表土堆放场</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为满足施工后期迹地恢复覆土要求，保护项目区表土资源，本工程在施工前对项目区部分区域进行表土剥离，剥离的表土集中堆放在表土堆放场内。本项目堆土场占地面积为0.</w:t>
      </w:r>
      <w:r>
        <w:rPr>
          <w:rFonts w:hint="eastAsia" w:ascii="Times New Roman" w:hAnsi="Times New Roman" w:eastAsia="仿宋_GB2312" w:cs="Times New Roman"/>
          <w:color w:val="auto"/>
          <w:sz w:val="24"/>
          <w:szCs w:val="24"/>
          <w:highlight w:val="none"/>
          <w:lang w:val="en-US" w:eastAsia="zh-CN"/>
        </w:rPr>
        <w:t>10</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计划堆放表土0.54万</w:t>
      </w:r>
      <w:r>
        <w:rPr>
          <w:rFonts w:hint="eastAsia" w:ascii="Times New Roman" w:hAnsi="Times New Roman" w:eastAsia="仿宋_GB2312" w:cs="Times New Roman"/>
          <w:color w:val="auto"/>
          <w:sz w:val="24"/>
          <w:szCs w:val="24"/>
          <w:highlight w:val="none"/>
          <w:lang w:eastAsia="zh-CN"/>
        </w:rPr>
        <w:t>m</w:t>
      </w:r>
      <w:r>
        <w:rPr>
          <w:rFonts w:hint="eastAsia" w:ascii="Times New Roman" w:hAnsi="Times New Roman" w:eastAsia="仿宋_GB2312" w:cs="Times New Roman"/>
          <w:color w:val="auto"/>
          <w:sz w:val="24"/>
          <w:szCs w:val="24"/>
          <w:highlight w:val="none"/>
          <w:vertAlign w:val="superscript"/>
          <w:lang w:val="en-US" w:eastAsia="zh-CN"/>
        </w:rPr>
        <w:t>3</w:t>
      </w:r>
      <w:r>
        <w:rPr>
          <w:rFonts w:hint="eastAsia" w:ascii="Times New Roman" w:hAnsi="Times New Roman" w:eastAsia="仿宋_GB2312" w:cs="Times New Roman"/>
          <w:color w:val="auto"/>
          <w:sz w:val="24"/>
          <w:szCs w:val="24"/>
          <w:highlight w:val="none"/>
          <w:lang w:val="en-US" w:eastAsia="zh-CN"/>
        </w:rPr>
        <w:t>（自然方）。</w:t>
      </w:r>
      <w:r>
        <w:rPr>
          <w:rFonts w:ascii="Times New Roman" w:hAnsi="Times New Roman" w:eastAsia="仿宋_GB2312" w:cs="Times New Roman"/>
          <w:color w:val="auto"/>
          <w:sz w:val="24"/>
          <w:szCs w:val="24"/>
          <w:highlight w:val="none"/>
        </w:rPr>
        <w:t>堆土边坡取1：1.</w:t>
      </w:r>
      <w:r>
        <w:rPr>
          <w:rFonts w:hint="eastAsia" w:ascii="Times New Roman" w:hAnsi="Times New Roman" w:eastAsia="仿宋_GB2312" w:cs="Times New Roman"/>
          <w:color w:val="auto"/>
          <w:sz w:val="24"/>
          <w:szCs w:val="24"/>
          <w:highlight w:val="none"/>
          <w:lang w:val="en-US" w:eastAsia="zh-CN"/>
        </w:rPr>
        <w:t>5</w:t>
      </w:r>
      <w:r>
        <w:rPr>
          <w:rFonts w:ascii="Times New Roman" w:hAnsi="Times New Roman" w:eastAsia="仿宋_GB2312" w:cs="Times New Roman"/>
          <w:color w:val="auto"/>
          <w:sz w:val="24"/>
          <w:szCs w:val="24"/>
          <w:highlight w:val="none"/>
        </w:rPr>
        <w:t>，</w:t>
      </w:r>
      <w:r>
        <w:rPr>
          <w:rFonts w:ascii="Times New Roman" w:hAnsi="Times New Roman" w:eastAsia="仿宋_GB2312" w:cs="Times New Roman"/>
          <w:color w:val="auto"/>
          <w:sz w:val="24"/>
          <w:highlight w:val="none"/>
        </w:rPr>
        <w:t>临时堆土采用</w:t>
      </w:r>
      <w:r>
        <w:rPr>
          <w:rFonts w:hint="eastAsia" w:ascii="Times New Roman" w:hAnsi="Times New Roman" w:eastAsia="仿宋_GB2312" w:cs="Times New Roman"/>
          <w:color w:val="auto"/>
          <w:sz w:val="24"/>
          <w:highlight w:val="none"/>
          <w:lang w:val="en-US" w:eastAsia="zh-CN"/>
        </w:rPr>
        <w:t>土袋土墙拦挡</w:t>
      </w:r>
      <w:r>
        <w:rPr>
          <w:rFonts w:ascii="Times New Roman" w:hAnsi="Times New Roman" w:eastAsia="仿宋_GB2312" w:cs="Times New Roman"/>
          <w:color w:val="auto"/>
          <w:sz w:val="24"/>
          <w:highlight w:val="none"/>
        </w:rPr>
        <w:t>，并用彩条布遮盖，</w:t>
      </w:r>
      <w:r>
        <w:rPr>
          <w:rFonts w:ascii="Times New Roman" w:hAnsi="Times New Roman" w:eastAsia="仿宋_GB2312" w:cs="Times New Roman"/>
          <w:color w:val="auto"/>
          <w:sz w:val="24"/>
          <w:szCs w:val="24"/>
          <w:highlight w:val="none"/>
        </w:rPr>
        <w:t>坡面和顶面进行临时植草防护，施工结束后进行复耕。堆土场特性详见下表。</w:t>
      </w:r>
    </w:p>
    <w:p>
      <w:pPr>
        <w:widowControl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表2.1-3表土堆放场特性表</w:t>
      </w:r>
    </w:p>
    <w:tbl>
      <w:tblPr>
        <w:tblStyle w:val="11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235"/>
        <w:gridCol w:w="1753"/>
        <w:gridCol w:w="1610"/>
        <w:gridCol w:w="1462"/>
        <w:gridCol w:w="1318"/>
        <w:gridCol w:w="1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项目名称</w:t>
            </w:r>
          </w:p>
        </w:tc>
        <w:tc>
          <w:tcPr>
            <w:tcW w:w="971"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规划位置</w:t>
            </w:r>
          </w:p>
        </w:tc>
        <w:tc>
          <w:tcPr>
            <w:tcW w:w="892"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占地面积</w:t>
            </w:r>
          </w:p>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r>
              <w:rPr>
                <w:rFonts w:ascii="Times New Roman" w:hAnsi="Times New Roman" w:eastAsia="仿宋_GB2312" w:cs="Times New Roman"/>
                <w:color w:val="auto"/>
                <w:kern w:val="0"/>
                <w:sz w:val="18"/>
                <w:szCs w:val="18"/>
                <w:highlight w:val="none"/>
              </w:rPr>
              <w:t>）</w:t>
            </w:r>
          </w:p>
        </w:tc>
        <w:tc>
          <w:tcPr>
            <w:tcW w:w="810"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最大堆高</w:t>
            </w:r>
          </w:p>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（m）</w:t>
            </w:r>
          </w:p>
        </w:tc>
        <w:tc>
          <w:tcPr>
            <w:tcW w:w="730"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堆放坡比</w:t>
            </w:r>
          </w:p>
        </w:tc>
        <w:tc>
          <w:tcPr>
            <w:tcW w:w="914"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设计堆土量</w:t>
            </w:r>
          </w:p>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（万m</w:t>
            </w:r>
            <w:r>
              <w:rPr>
                <w:rFonts w:ascii="Times New Roman" w:hAnsi="Times New Roman" w:eastAsia="仿宋_GB2312" w:cs="Times New Roman"/>
                <w:color w:val="auto"/>
                <w:kern w:val="0"/>
                <w:sz w:val="18"/>
                <w:szCs w:val="18"/>
                <w:highlight w:val="none"/>
                <w:vertAlign w:val="superscript"/>
              </w:rPr>
              <w:t>3</w:t>
            </w:r>
            <w:r>
              <w:rPr>
                <w:rFonts w:ascii="Times New Roman" w:hAnsi="Times New Roman" w:eastAsia="仿宋_GB2312" w:cs="Times New Roman"/>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84"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w:t>
            </w:r>
          </w:p>
        </w:tc>
        <w:tc>
          <w:tcPr>
            <w:tcW w:w="971" w:type="pct"/>
            <w:vAlign w:val="center"/>
          </w:tcPr>
          <w:p>
            <w:pPr>
              <w:widowControl w:val="0"/>
              <w:kinsoku w:val="0"/>
              <w:overflowPunct w:val="0"/>
              <w:autoSpaceDE w:val="0"/>
              <w:autoSpaceDN w:val="0"/>
              <w:adjustRightInd w:val="0"/>
              <w:snapToGrid w:val="0"/>
              <w:spacing w:line="120" w:lineRule="atLeast"/>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井场左侧</w:t>
            </w:r>
          </w:p>
        </w:tc>
        <w:tc>
          <w:tcPr>
            <w:tcW w:w="892" w:type="pct"/>
            <w:vAlign w:val="center"/>
          </w:tcPr>
          <w:p>
            <w:pPr>
              <w:widowControl w:val="0"/>
              <w:kinsoku w:val="0"/>
              <w:overflowPunct w:val="0"/>
              <w:autoSpaceDE w:val="0"/>
              <w:autoSpaceDN w:val="0"/>
              <w:adjustRightInd w:val="0"/>
              <w:snapToGrid w:val="0"/>
              <w:spacing w:line="120" w:lineRule="atLeast"/>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810" w:type="pct"/>
            <w:vAlign w:val="center"/>
          </w:tcPr>
          <w:p>
            <w:pPr>
              <w:widowControl w:val="0"/>
              <w:kinsoku w:val="0"/>
              <w:overflowPunct w:val="0"/>
              <w:autoSpaceDE w:val="0"/>
              <w:autoSpaceDN w:val="0"/>
              <w:adjustRightInd w:val="0"/>
              <w:snapToGrid w:val="0"/>
              <w:spacing w:line="120" w:lineRule="atLeast"/>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4.0</w:t>
            </w:r>
          </w:p>
        </w:tc>
        <w:tc>
          <w:tcPr>
            <w:tcW w:w="730" w:type="pct"/>
            <w:vAlign w:val="center"/>
          </w:tcPr>
          <w:p>
            <w:pPr>
              <w:widowControl w:val="0"/>
              <w:kinsoku w:val="0"/>
              <w:overflowPunct w:val="0"/>
              <w:autoSpaceDE w:val="0"/>
              <w:autoSpaceDN w:val="0"/>
              <w:adjustRightInd w:val="0"/>
              <w:snapToGrid w:val="0"/>
              <w:spacing w:line="120" w:lineRule="atLeast"/>
              <w:jc w:val="center"/>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1:1.</w:t>
            </w:r>
            <w:r>
              <w:rPr>
                <w:rFonts w:hint="eastAsia" w:ascii="Times New Roman" w:hAnsi="Times New Roman" w:eastAsia="仿宋_GB2312" w:cs="Times New Roman"/>
                <w:color w:val="auto"/>
                <w:kern w:val="0"/>
                <w:sz w:val="18"/>
                <w:szCs w:val="18"/>
                <w:highlight w:val="none"/>
                <w:lang w:val="en-US" w:eastAsia="zh-CN"/>
              </w:rPr>
              <w:t>8</w:t>
            </w:r>
          </w:p>
        </w:tc>
        <w:tc>
          <w:tcPr>
            <w:tcW w:w="914" w:type="pct"/>
            <w:vAlign w:val="center"/>
          </w:tcPr>
          <w:p>
            <w:pPr>
              <w:widowControl w:val="0"/>
              <w:kinsoku w:val="0"/>
              <w:overflowPunct w:val="0"/>
              <w:autoSpaceDE w:val="0"/>
              <w:autoSpaceDN w:val="0"/>
              <w:adjustRightInd w:val="0"/>
              <w:snapToGrid w:val="0"/>
              <w:spacing w:line="120" w:lineRule="atLeast"/>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0.55</w:t>
            </w:r>
          </w:p>
        </w:tc>
      </w:tr>
    </w:tbl>
    <w:p>
      <w:pPr>
        <w:widowControl w:val="0"/>
        <w:snapToGrid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2.2.2 施工条件</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1、运输条件</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拟建</w:t>
      </w:r>
      <w:r>
        <w:rPr>
          <w:rFonts w:hint="eastAsia" w:ascii="Times New Roman" w:hAnsi="Times New Roman" w:eastAsia="仿宋_GB2312" w:cs="Times New Roman"/>
          <w:color w:val="auto"/>
          <w:sz w:val="24"/>
          <w:highlight w:val="none"/>
          <w:lang w:val="en-US" w:eastAsia="zh-CN"/>
        </w:rPr>
        <w:t>德页1井</w:t>
      </w:r>
      <w:r>
        <w:rPr>
          <w:rFonts w:ascii="Times New Roman" w:hAnsi="Times New Roman" w:eastAsia="仿宋_GB2312" w:cs="Times New Roman"/>
          <w:color w:val="auto"/>
          <w:sz w:val="24"/>
          <w:highlight w:val="none"/>
        </w:rPr>
        <w:t>周边有乡村道路，交通较为便利，运输条件较好。</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2、施工用电</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工程生产、生活用电均连接当地电网，且井场设置有发电房，柴油发电机作为备用电源，可满足项目施工生产生活用电。</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3、施工用水</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val="en-US" w:eastAsia="zh-CN"/>
        </w:rPr>
        <w:t>由于工程附近无稳定水源，施工、生活用水取水点位于四川省南充市仪陇县。本工程施工期间施工用水45个台班</w:t>
      </w:r>
      <w:r>
        <w:rPr>
          <w:rFonts w:ascii="Times New Roman" w:hAnsi="Times New Roman" w:eastAsia="仿宋_GB2312" w:cs="Times New Roman"/>
          <w:color w:val="auto"/>
          <w:sz w:val="24"/>
          <w:highlight w:val="none"/>
        </w:rPr>
        <w:t>。</w:t>
      </w:r>
    </w:p>
    <w:p>
      <w:pPr>
        <w:widowControl w:val="0"/>
        <w:snapToGrid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2.2.3 建筑材料</w:t>
      </w:r>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建设期水泥、河沙、钢筋等建筑材料，均就近进行购买，混凝土采用外购商品混凝土。所需石料到手续齐全的砂石料厂进行外购，并在合同中明确水土流失防治责任。</w:t>
      </w:r>
    </w:p>
    <w:p>
      <w:pPr>
        <w:widowControl w:val="0"/>
        <w:snapToGrid w:val="0"/>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2.2.4 施工方法及工艺</w:t>
      </w:r>
    </w:p>
    <w:p>
      <w:pPr>
        <w:widowControl w:val="0"/>
        <w:snapToGrid w:val="0"/>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2.2.5.1挖填方施工工艺</w:t>
      </w:r>
    </w:p>
    <w:p>
      <w:pPr>
        <w:widowControl w:val="0"/>
        <w:adjustRightInd w:val="0"/>
        <w:snapToGrid w:val="0"/>
        <w:spacing w:line="336"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公路和井场挖方边坡在施工时严禁超挖，不论是采用机械开挖还是爆破施工，都应距开挖边线一定的距离，剩余部分由人工自上而下进行边坡修整。</w:t>
      </w:r>
    </w:p>
    <w:p>
      <w:pPr>
        <w:widowControl w:val="0"/>
        <w:adjustRightInd w:val="0"/>
        <w:snapToGrid w:val="0"/>
        <w:spacing w:line="336"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大挖方边坡在施工时，每挖深2~3m，就应自上而下进行人工边坡修整，然后再继续向下开挖，再进行人工边坡修整，如此循环进行施工，不得在整个挖方深度完成后才修整边坡。大挖方在施工时特别应注意边坡坡度，应严格符合边坡坡度的要求，不得使挖方边坡陡于设计边坡坡度，否则，边坡达不到稳定要求，容易造成边坡垮塌而产生大量余土。当井场挖方边坡顶面外设有截水沟时，应特别注意截水沟边线和挖方边线，以避免将截水沟边线当作挖方边坡线进行开挖。</w:t>
      </w:r>
    </w:p>
    <w:p>
      <w:pPr>
        <w:widowControl w:val="0"/>
        <w:adjustRightInd w:val="0"/>
        <w:snapToGrid w:val="0"/>
        <w:spacing w:line="336"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性质不同的填料，应水平分层、分段填筑，逐层碾压。当原地面纵坡大于12%或横坡陡于1:5时，应设置宽度不小于2m的台阶，台阶向内设置5%的坡度。</w:t>
      </w:r>
    </w:p>
    <w:p>
      <w:pPr>
        <w:widowControl w:val="0"/>
        <w:snapToGrid w:val="0"/>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2.2.5.2雨季施工工艺</w:t>
      </w:r>
    </w:p>
    <w:p>
      <w:pPr>
        <w:widowControl w:val="0"/>
        <w:adjustRightInd w:val="0"/>
        <w:snapToGrid w:val="0"/>
        <w:spacing w:line="336"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下雨天或经雨水刚浸泡过的土方，不得进行土方开挖和填筑。场地平整过程中如遇中到大雨或暴雨，应立即用彩条布覆盖裸露地面，以免被雨水冲刷造成水土流失。井场设备基础开挖应尽可能在天气晴朗时施工，尽量避免在雨天施工。不能避免时，应增设临时遮盖措施、排水措施，以及安全保护措施，以保证雨季施工质量。雨季施工时，基坑挖至距设计标高30cm处应停止开挖，待基础施工时再清除剩余的30cm土方，然后立即进行基础施工。</w:t>
      </w:r>
    </w:p>
    <w:p>
      <w:pPr>
        <w:widowControl w:val="0"/>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56" w:name="_Toc74588680"/>
      <w:bookmarkStart w:id="57" w:name="_Toc74588731"/>
      <w:r>
        <w:rPr>
          <w:rFonts w:ascii="Times New Roman" w:hAnsi="Times New Roman" w:eastAsia="仿宋_GB2312" w:cs="Times New Roman"/>
          <w:b/>
          <w:color w:val="auto"/>
          <w:sz w:val="30"/>
          <w:szCs w:val="30"/>
          <w:lang w:val="zh-CN"/>
        </w:rPr>
        <w:t>2.3工程占地</w:t>
      </w:r>
      <w:bookmarkEnd w:id="56"/>
      <w:bookmarkEnd w:id="57"/>
    </w:p>
    <w:p>
      <w:pPr>
        <w:widowControl w:val="0"/>
        <w:adjustRightInd w:val="0"/>
        <w:snapToGrid w:val="0"/>
        <w:spacing w:line="336"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本工程钻井结束后，均进行恢复，经统计，本项目总占地</w:t>
      </w:r>
      <w:r>
        <w:rPr>
          <w:rFonts w:hint="eastAsia" w:ascii="Times New Roman" w:hAnsi="Times New Roman" w:eastAsia="仿宋_GB2312" w:cs="Times New Roman"/>
          <w:color w:val="auto"/>
          <w:sz w:val="24"/>
          <w:highlight w:val="none"/>
          <w:lang w:val="en-US" w:eastAsia="zh-CN"/>
        </w:rPr>
        <w:t>1.76</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全为</w:t>
      </w:r>
      <w:r>
        <w:rPr>
          <w:rFonts w:ascii="Times New Roman" w:hAnsi="Times New Roman" w:eastAsia="仿宋_GB2312" w:cs="Times New Roman"/>
          <w:color w:val="auto"/>
          <w:sz w:val="24"/>
          <w:highlight w:val="none"/>
        </w:rPr>
        <w:t>临时占地</w:t>
      </w:r>
      <w:r>
        <w:rPr>
          <w:rFonts w:hint="eastAsia" w:ascii="Times New Roman" w:hAnsi="Times New Roman" w:eastAsia="仿宋_GB2312" w:cs="Times New Roman"/>
          <w:color w:val="auto"/>
          <w:sz w:val="24"/>
          <w:highlight w:val="none"/>
          <w:vertAlign w:val="baseline"/>
          <w:lang w:val="en-US" w:eastAsia="zh-CN"/>
        </w:rPr>
        <w:t>。</w:t>
      </w:r>
      <w:r>
        <w:rPr>
          <w:rFonts w:hint="eastAsia" w:ascii="Times New Roman" w:hAnsi="Times New Roman" w:eastAsia="仿宋_GB2312" w:cs="Times New Roman"/>
          <w:color w:val="auto"/>
          <w:sz w:val="24"/>
          <w:highlight w:val="none"/>
          <w:lang w:eastAsia="zh-CN"/>
        </w:rPr>
        <w:t>占地类型主要为</w:t>
      </w:r>
      <w:r>
        <w:rPr>
          <w:rFonts w:hint="eastAsia" w:ascii="Times New Roman" w:hAnsi="Times New Roman" w:eastAsia="仿宋_GB2312" w:cs="Times New Roman"/>
          <w:color w:val="auto"/>
          <w:sz w:val="24"/>
          <w:szCs w:val="24"/>
          <w:highlight w:val="none"/>
          <w:lang w:val="en-US" w:eastAsia="zh-CN"/>
        </w:rPr>
        <w:t>耕地（水田、旱地）、林地、交通运输用地</w:t>
      </w:r>
      <w:r>
        <w:rPr>
          <w:rFonts w:ascii="Times New Roman" w:hAnsi="Times New Roman" w:eastAsia="仿宋_GB2312" w:cs="Times New Roman"/>
          <w:color w:val="auto"/>
          <w:sz w:val="24"/>
          <w:highlight w:val="none"/>
        </w:rPr>
        <w:t>。工程占地全部位于</w:t>
      </w:r>
      <w:r>
        <w:rPr>
          <w:rFonts w:hint="eastAsia" w:ascii="Times New Roman" w:hAnsi="Times New Roman" w:eastAsia="仿宋_GB2312" w:cs="Times New Roman"/>
          <w:color w:val="auto"/>
          <w:sz w:val="24"/>
          <w:highlight w:val="none"/>
          <w:lang w:val="en-US" w:eastAsia="zh-CN"/>
        </w:rPr>
        <w:t>仪陇</w:t>
      </w:r>
      <w:r>
        <w:rPr>
          <w:rFonts w:ascii="Times New Roman" w:hAnsi="Times New Roman" w:eastAsia="仿宋_GB2312" w:cs="Times New Roman"/>
          <w:color w:val="auto"/>
          <w:sz w:val="24"/>
          <w:highlight w:val="none"/>
        </w:rPr>
        <w:t>县境内。工程占地类型及占地面积统计情况详见下表。</w:t>
      </w:r>
    </w:p>
    <w:p>
      <w:pPr>
        <w:widowControl w:val="0"/>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表2.3-1工程占地面积统计表</w:t>
      </w:r>
    </w:p>
    <w:tbl>
      <w:tblPr>
        <w:tblStyle w:val="39"/>
        <w:tblW w:w="506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62"/>
        <w:gridCol w:w="669"/>
        <w:gridCol w:w="715"/>
        <w:gridCol w:w="830"/>
        <w:gridCol w:w="1346"/>
        <w:gridCol w:w="1192"/>
        <w:gridCol w:w="1708"/>
        <w:gridCol w:w="121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7" w:hRule="atLeast"/>
          <w:jc w:val="center"/>
        </w:trPr>
        <w:tc>
          <w:tcPr>
            <w:tcW w:w="845" w:type="pct"/>
            <w:vMerge w:val="restar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项目组成</w:t>
            </w:r>
          </w:p>
        </w:tc>
        <w:tc>
          <w:tcPr>
            <w:tcW w:w="1926" w:type="pct"/>
            <w:gridSpan w:val="4"/>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占地类型及面积（</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r>
              <w:rPr>
                <w:rFonts w:ascii="Times New Roman" w:hAnsi="Times New Roman" w:eastAsia="仿宋_GB2312" w:cs="Times New Roman"/>
                <w:color w:val="auto"/>
                <w:kern w:val="0"/>
                <w:sz w:val="18"/>
                <w:szCs w:val="18"/>
                <w:highlight w:val="none"/>
              </w:rPr>
              <w:t>）</w:t>
            </w:r>
          </w:p>
        </w:tc>
        <w:tc>
          <w:tcPr>
            <w:tcW w:w="2228" w:type="pct"/>
            <w:gridSpan w:val="3"/>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占地性质（</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r>
              <w:rPr>
                <w:rFonts w:ascii="Times New Roman" w:hAnsi="Times New Roman" w:eastAsia="仿宋_GB2312" w:cs="Times New Roman"/>
                <w:color w:val="auto"/>
                <w:kern w:val="0"/>
                <w:sz w:val="18"/>
                <w:szCs w:val="18"/>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45" w:type="pct"/>
            <w:vMerge w:val="continue"/>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749" w:type="pct"/>
            <w:gridSpan w:val="2"/>
            <w:tcBorders>
              <w:tl2br w:val="nil"/>
              <w:tr2bl w:val="nil"/>
            </w:tcBorders>
            <w:shd w:val="clear" w:color="auto" w:fill="auto"/>
            <w:noWrap/>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耕地</w:t>
            </w:r>
          </w:p>
        </w:tc>
        <w:tc>
          <w:tcPr>
            <w:tcW w:w="449" w:type="pct"/>
            <w:vMerge w:val="restart"/>
            <w:tcBorders>
              <w:tl2br w:val="nil"/>
              <w:tr2bl w:val="nil"/>
            </w:tcBorders>
            <w:shd w:val="clear" w:color="auto" w:fill="auto"/>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林地</w:t>
            </w:r>
          </w:p>
        </w:tc>
        <w:tc>
          <w:tcPr>
            <w:tcW w:w="727" w:type="pct"/>
            <w:vMerge w:val="restart"/>
            <w:tcBorders>
              <w:tl2br w:val="nil"/>
              <w:tr2bl w:val="nil"/>
            </w:tcBorders>
            <w:shd w:val="clear" w:color="auto" w:fill="auto"/>
            <w:vAlign w:val="center"/>
          </w:tcPr>
          <w:p>
            <w:pPr>
              <w:adjustRightInd w:val="0"/>
              <w:snapToGrid w:val="0"/>
              <w:jc w:val="center"/>
              <w:rPr>
                <w:rFonts w:hint="default"/>
                <w:color w:val="auto"/>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公路用地</w:t>
            </w:r>
          </w:p>
        </w:tc>
        <w:tc>
          <w:tcPr>
            <w:tcW w:w="645" w:type="pct"/>
            <w:vMerge w:val="restart"/>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永久占地</w:t>
            </w:r>
          </w:p>
        </w:tc>
        <w:tc>
          <w:tcPr>
            <w:tcW w:w="924" w:type="pct"/>
            <w:vMerge w:val="restart"/>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临时占地</w:t>
            </w:r>
          </w:p>
        </w:tc>
        <w:tc>
          <w:tcPr>
            <w:tcW w:w="658" w:type="pct"/>
            <w:vMerge w:val="restart"/>
            <w:tcBorders>
              <w:tl2br w:val="nil"/>
              <w:tr2bl w:val="nil"/>
            </w:tcBorders>
            <w:shd w:val="clear" w:color="auto" w:fill="auto"/>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合计</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5" w:hRule="atLeast"/>
          <w:jc w:val="center"/>
        </w:trPr>
        <w:tc>
          <w:tcPr>
            <w:tcW w:w="845" w:type="pct"/>
            <w:vMerge w:val="continue"/>
            <w:tcBorders>
              <w:tl2br w:val="nil"/>
              <w:tr2bl w:val="nil"/>
            </w:tcBorders>
            <w:shd w:val="clear" w:color="auto" w:fill="auto"/>
            <w:noWrap/>
            <w:vAlign w:val="center"/>
          </w:tcPr>
          <w:p>
            <w:pPr>
              <w:adjustRightInd w:val="0"/>
              <w:snapToGrid w:val="0"/>
              <w:jc w:val="center"/>
              <w:rPr>
                <w:color w:val="auto"/>
                <w:highlight w:val="none"/>
              </w:rPr>
            </w:pPr>
          </w:p>
        </w:tc>
        <w:tc>
          <w:tcPr>
            <w:tcW w:w="362"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水田</w:t>
            </w:r>
          </w:p>
        </w:tc>
        <w:tc>
          <w:tcPr>
            <w:tcW w:w="386"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旱地</w:t>
            </w:r>
          </w:p>
        </w:tc>
        <w:tc>
          <w:tcPr>
            <w:tcW w:w="449" w:type="pct"/>
            <w:vMerge w:val="continue"/>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727" w:type="pct"/>
            <w:vMerge w:val="continue"/>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45" w:type="pct"/>
            <w:vMerge w:val="continue"/>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924" w:type="pct"/>
            <w:vMerge w:val="continue"/>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58" w:type="pct"/>
            <w:vMerge w:val="continue"/>
            <w:tcBorders>
              <w:tl2br w:val="nil"/>
              <w:tr2bl w:val="nil"/>
            </w:tcBorders>
            <w:shd w:val="clear" w:color="auto" w:fill="auto"/>
            <w:vAlign w:val="center"/>
          </w:tcPr>
          <w:p>
            <w:pPr>
              <w:adjustRightInd w:val="0"/>
              <w:snapToGrid w:val="0"/>
              <w:jc w:val="center"/>
              <w:rPr>
                <w:rFonts w:ascii="Times New Roman" w:hAnsi="Times New Roman" w:eastAsia="仿宋_GB2312" w:cs="Times New Roman"/>
                <w:color w:val="auto"/>
                <w:kern w:val="0"/>
                <w:sz w:val="18"/>
                <w:szCs w:val="18"/>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845"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w:t>
            </w:r>
          </w:p>
        </w:tc>
        <w:tc>
          <w:tcPr>
            <w:tcW w:w="362"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c>
          <w:tcPr>
            <w:tcW w:w="386"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449"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727"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645"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924"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c>
          <w:tcPr>
            <w:tcW w:w="658"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45"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临时生活场地</w:t>
            </w:r>
          </w:p>
        </w:tc>
        <w:tc>
          <w:tcPr>
            <w:tcW w:w="362"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0.08</w:t>
            </w:r>
          </w:p>
        </w:tc>
        <w:tc>
          <w:tcPr>
            <w:tcW w:w="386"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0.08</w:t>
            </w:r>
          </w:p>
        </w:tc>
        <w:tc>
          <w:tcPr>
            <w:tcW w:w="449"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0.06</w:t>
            </w:r>
          </w:p>
        </w:tc>
        <w:tc>
          <w:tcPr>
            <w:tcW w:w="727"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0.01</w:t>
            </w:r>
          </w:p>
        </w:tc>
        <w:tc>
          <w:tcPr>
            <w:tcW w:w="645"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924"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0.23</w:t>
            </w:r>
          </w:p>
        </w:tc>
        <w:tc>
          <w:tcPr>
            <w:tcW w:w="658"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845"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w:t>
            </w:r>
          </w:p>
        </w:tc>
        <w:tc>
          <w:tcPr>
            <w:tcW w:w="362"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386"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449"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727"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645"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924"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658"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845"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w:t>
            </w:r>
          </w:p>
        </w:tc>
        <w:tc>
          <w:tcPr>
            <w:tcW w:w="362"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0.30</w:t>
            </w:r>
          </w:p>
        </w:tc>
        <w:tc>
          <w:tcPr>
            <w:tcW w:w="386"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449"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727"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645"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924"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0.30</w:t>
            </w:r>
          </w:p>
        </w:tc>
        <w:tc>
          <w:tcPr>
            <w:tcW w:w="658"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1" w:hRule="atLeast"/>
          <w:jc w:val="center"/>
        </w:trPr>
        <w:tc>
          <w:tcPr>
            <w:tcW w:w="845" w:type="pct"/>
            <w:tcBorders>
              <w:tl2br w:val="nil"/>
              <w:tr2bl w:val="nil"/>
            </w:tcBorders>
            <w:shd w:val="clear" w:color="auto" w:fill="auto"/>
            <w:noWrap/>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合计</w:t>
            </w:r>
          </w:p>
        </w:tc>
        <w:tc>
          <w:tcPr>
            <w:tcW w:w="362"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1.61</w:t>
            </w:r>
          </w:p>
        </w:tc>
        <w:tc>
          <w:tcPr>
            <w:tcW w:w="386"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0.08</w:t>
            </w:r>
          </w:p>
        </w:tc>
        <w:tc>
          <w:tcPr>
            <w:tcW w:w="449"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0.06</w:t>
            </w:r>
          </w:p>
        </w:tc>
        <w:tc>
          <w:tcPr>
            <w:tcW w:w="727"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0.01</w:t>
            </w:r>
          </w:p>
        </w:tc>
        <w:tc>
          <w:tcPr>
            <w:tcW w:w="645"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p>
        </w:tc>
        <w:tc>
          <w:tcPr>
            <w:tcW w:w="924"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1.76</w:t>
            </w:r>
          </w:p>
        </w:tc>
        <w:tc>
          <w:tcPr>
            <w:tcW w:w="658" w:type="pct"/>
            <w:tcBorders>
              <w:tl2br w:val="nil"/>
              <w:tr2bl w:val="nil"/>
            </w:tcBorders>
            <w:shd w:val="clear" w:color="auto" w:fill="auto"/>
            <w:noWrap/>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1.76</w:t>
            </w:r>
          </w:p>
        </w:tc>
      </w:tr>
    </w:tbl>
    <w:p>
      <w:pPr>
        <w:widowControl w:val="0"/>
        <w:spacing w:before="120" w:beforeLines="50" w:after="120" w:afterLines="50" w:line="360" w:lineRule="auto"/>
        <w:jc w:val="left"/>
        <w:outlineLvl w:val="1"/>
        <w:rPr>
          <w:rFonts w:ascii="Times New Roman" w:hAnsi="Times New Roman" w:eastAsia="仿宋_GB2312" w:cs="Times New Roman"/>
          <w:b/>
          <w:color w:val="auto"/>
          <w:sz w:val="30"/>
          <w:szCs w:val="30"/>
          <w:highlight w:val="none"/>
        </w:rPr>
      </w:pPr>
      <w:bookmarkStart w:id="58" w:name="_Toc5698781"/>
      <w:bookmarkStart w:id="59" w:name="_Toc74588681"/>
      <w:bookmarkStart w:id="60" w:name="_Toc8379060"/>
      <w:bookmarkStart w:id="61" w:name="_Toc74588732"/>
      <w:bookmarkStart w:id="62" w:name="_Toc5725726"/>
      <w:r>
        <w:rPr>
          <w:rFonts w:ascii="Times New Roman" w:hAnsi="Times New Roman" w:eastAsia="仿宋_GB2312" w:cs="Times New Roman"/>
          <w:b/>
          <w:color w:val="auto"/>
          <w:sz w:val="30"/>
          <w:szCs w:val="30"/>
          <w:highlight w:val="none"/>
        </w:rPr>
        <w:t>2.4</w:t>
      </w:r>
      <w:r>
        <w:rPr>
          <w:rFonts w:ascii="Times New Roman" w:hAnsi="Times New Roman" w:eastAsia="仿宋_GB2312" w:cs="Times New Roman"/>
          <w:b/>
          <w:color w:val="auto"/>
          <w:sz w:val="30"/>
          <w:szCs w:val="30"/>
          <w:highlight w:val="none"/>
          <w:lang w:val="zh-CN"/>
        </w:rPr>
        <w:t>土石方平衡</w:t>
      </w:r>
      <w:bookmarkEnd w:id="58"/>
      <w:bookmarkEnd w:id="59"/>
      <w:bookmarkEnd w:id="60"/>
      <w:bookmarkEnd w:id="61"/>
      <w:bookmarkEnd w:id="62"/>
    </w:p>
    <w:p>
      <w:pPr>
        <w:widowControl w:val="0"/>
        <w:snapToGrid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2.4.1 表土平衡</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1、主体工程已有表土剥离量</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主体工程设计中，对井场及附属工程</w:t>
      </w:r>
      <w:r>
        <w:rPr>
          <w:rFonts w:hint="eastAsia" w:ascii="Times New Roman" w:hAnsi="Times New Roman" w:eastAsia="仿宋_GB2312" w:cs="Times New Roman"/>
          <w:color w:val="auto"/>
          <w:sz w:val="24"/>
          <w:szCs w:val="24"/>
          <w:highlight w:val="none"/>
          <w:lang w:val="en-US" w:eastAsia="zh-CN"/>
        </w:rPr>
        <w:t>区及道路工程区</w:t>
      </w:r>
      <w:r>
        <w:rPr>
          <w:rFonts w:ascii="Times New Roman" w:hAnsi="Times New Roman" w:eastAsia="仿宋_GB2312" w:cs="Times New Roman"/>
          <w:color w:val="auto"/>
          <w:sz w:val="24"/>
          <w:szCs w:val="24"/>
          <w:highlight w:val="none"/>
        </w:rPr>
        <w:t>占用的耕地</w:t>
      </w:r>
      <w:r>
        <w:rPr>
          <w:rFonts w:hint="eastAsia" w:ascii="Times New Roman" w:hAnsi="Times New Roman" w:eastAsia="仿宋_GB2312" w:cs="Times New Roman"/>
          <w:color w:val="auto"/>
          <w:sz w:val="24"/>
          <w:szCs w:val="24"/>
          <w:highlight w:val="none"/>
          <w:lang w:val="en-US" w:eastAsia="zh-CN"/>
        </w:rPr>
        <w:t>、林地</w:t>
      </w:r>
      <w:r>
        <w:rPr>
          <w:rFonts w:ascii="Times New Roman" w:hAnsi="Times New Roman" w:eastAsia="仿宋_GB2312" w:cs="Times New Roman"/>
          <w:color w:val="auto"/>
          <w:sz w:val="24"/>
          <w:szCs w:val="24"/>
          <w:highlight w:val="none"/>
        </w:rPr>
        <w:t>区域进行了表土剥离</w:t>
      </w:r>
      <w:r>
        <w:rPr>
          <w:rFonts w:hint="eastAsia" w:ascii="Times New Roman" w:hAnsi="Times New Roman" w:eastAsia="仿宋_GB2312" w:cs="Times New Roman"/>
          <w:color w:val="auto"/>
          <w:sz w:val="24"/>
          <w:szCs w:val="24"/>
          <w:highlight w:val="none"/>
          <w:lang w:eastAsia="zh-CN"/>
        </w:rPr>
        <w:t>（</w:t>
      </w:r>
      <w:r>
        <w:rPr>
          <w:rFonts w:hint="eastAsia" w:ascii="Times New Roman" w:hAnsi="Times New Roman" w:eastAsia="仿宋_GB2312" w:cs="Times New Roman"/>
          <w:color w:val="auto"/>
          <w:sz w:val="24"/>
          <w:szCs w:val="24"/>
          <w:highlight w:val="none"/>
          <w:lang w:val="en-US" w:eastAsia="zh-CN"/>
        </w:rPr>
        <w:t>主要为耕植土</w:t>
      </w:r>
      <w:r>
        <w:rPr>
          <w:rFonts w:hint="eastAsia" w:ascii="Times New Roman" w:hAnsi="Times New Roman" w:eastAsia="仿宋_GB2312" w:cs="Times New Roman"/>
          <w:color w:val="auto"/>
          <w:sz w:val="24"/>
          <w:szCs w:val="24"/>
          <w:highlight w:val="none"/>
          <w:lang w:eastAsia="zh-CN"/>
        </w:rPr>
        <w:t>）</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根据现场实际情况，</w:t>
      </w:r>
      <w:r>
        <w:rPr>
          <w:rFonts w:ascii="Times New Roman" w:hAnsi="Times New Roman" w:eastAsia="仿宋_GB2312" w:cs="Times New Roman"/>
          <w:color w:val="auto"/>
          <w:sz w:val="24"/>
          <w:szCs w:val="24"/>
          <w:highlight w:val="none"/>
        </w:rPr>
        <w:t>井场及附属工程</w:t>
      </w:r>
      <w:r>
        <w:rPr>
          <w:rFonts w:hint="eastAsia" w:ascii="Times New Roman" w:hAnsi="Times New Roman" w:eastAsia="仿宋_GB2312" w:cs="Times New Roman"/>
          <w:color w:val="auto"/>
          <w:sz w:val="24"/>
          <w:szCs w:val="24"/>
          <w:highlight w:val="none"/>
          <w:lang w:val="en-US" w:eastAsia="zh-CN"/>
        </w:rPr>
        <w:t>区</w:t>
      </w:r>
      <w:r>
        <w:rPr>
          <w:rFonts w:ascii="Times New Roman" w:hAnsi="Times New Roman" w:eastAsia="仿宋_GB2312" w:cs="Times New Roman"/>
          <w:color w:val="auto"/>
          <w:sz w:val="24"/>
          <w:szCs w:val="24"/>
          <w:highlight w:val="none"/>
        </w:rPr>
        <w:t>剥离厚度</w:t>
      </w:r>
      <w:r>
        <w:rPr>
          <w:rFonts w:hint="eastAsia" w:ascii="Times New Roman" w:hAnsi="Times New Roman" w:eastAsia="仿宋_GB2312" w:cs="Times New Roman"/>
          <w:color w:val="auto"/>
          <w:sz w:val="24"/>
          <w:szCs w:val="24"/>
          <w:highlight w:val="none"/>
          <w:lang w:val="en-US" w:eastAsia="zh-CN"/>
        </w:rPr>
        <w:t>均取</w:t>
      </w:r>
      <w:r>
        <w:rPr>
          <w:rFonts w:ascii="Times New Roman" w:hAnsi="Times New Roman" w:eastAsia="仿宋_GB2312" w:cs="Times New Roman"/>
          <w:color w:val="auto"/>
          <w:sz w:val="24"/>
          <w:szCs w:val="24"/>
          <w:highlight w:val="none"/>
        </w:rPr>
        <w:t>0.3</w:t>
      </w:r>
      <w:r>
        <w:rPr>
          <w:rFonts w:hint="eastAsia" w:ascii="Times New Roman" w:hAnsi="Times New Roman" w:eastAsia="仿宋_GB2312" w:cs="Times New Roman"/>
          <w:color w:val="auto"/>
          <w:sz w:val="24"/>
          <w:szCs w:val="24"/>
          <w:highlight w:val="none"/>
          <w:lang w:val="en-US" w:eastAsia="zh-CN"/>
        </w:rPr>
        <w:t>m~0.5</w:t>
      </w:r>
      <w:r>
        <w:rPr>
          <w:rFonts w:ascii="Times New Roman" w:hAnsi="Times New Roman" w:eastAsia="仿宋_GB2312" w:cs="Times New Roman"/>
          <w:color w:val="auto"/>
          <w:sz w:val="24"/>
          <w:szCs w:val="24"/>
          <w:highlight w:val="none"/>
        </w:rPr>
        <w:t>m，剥离量</w:t>
      </w:r>
      <w:r>
        <w:rPr>
          <w:rFonts w:hint="eastAsia" w:ascii="Times New Roman" w:hAnsi="Times New Roman" w:eastAsia="仿宋_GB2312" w:cs="Times New Roman"/>
          <w:color w:val="auto"/>
          <w:sz w:val="24"/>
          <w:szCs w:val="24"/>
          <w:highlight w:val="none"/>
          <w:lang w:val="en-US" w:eastAsia="zh-CN"/>
        </w:rPr>
        <w:t>约</w:t>
      </w:r>
      <w:r>
        <w:rPr>
          <w:rFonts w:ascii="Times New Roman" w:hAnsi="Times New Roman" w:eastAsia="仿宋_GB2312" w:cs="Times New Roman"/>
          <w:color w:val="auto"/>
          <w:sz w:val="24"/>
          <w:szCs w:val="24"/>
          <w:highlight w:val="none"/>
        </w:rPr>
        <w:t>为</w:t>
      </w:r>
      <w:r>
        <w:rPr>
          <w:rFonts w:hint="eastAsia" w:ascii="Times New Roman" w:hAnsi="Times New Roman" w:eastAsia="仿宋_GB2312" w:cs="Times New Roman"/>
          <w:color w:val="auto"/>
          <w:sz w:val="24"/>
          <w:szCs w:val="24"/>
          <w:highlight w:val="none"/>
          <w:lang w:val="en-US" w:eastAsia="zh-CN"/>
        </w:rPr>
        <w:t>0.45</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hint="eastAsia" w:ascii="Times New Roman" w:hAnsi="Times New Roman" w:eastAsia="仿宋_GB2312" w:cs="Times New Roman"/>
          <w:color w:val="auto"/>
          <w:sz w:val="24"/>
          <w:szCs w:val="24"/>
          <w:highlight w:val="none"/>
          <w:vertAlign w:val="baseline"/>
          <w:lang w:val="en-US" w:eastAsia="zh-CN"/>
        </w:rPr>
        <w:t>。</w:t>
      </w:r>
      <w:r>
        <w:rPr>
          <w:rFonts w:hint="eastAsia" w:ascii="Times New Roman" w:hAnsi="Times New Roman" w:eastAsia="仿宋_GB2312" w:cs="Times New Roman"/>
          <w:color w:val="auto"/>
          <w:sz w:val="24"/>
          <w:szCs w:val="24"/>
          <w:highlight w:val="none"/>
          <w:lang w:val="en-US" w:eastAsia="zh-CN"/>
        </w:rPr>
        <w:t>其中水田的表土主要为淤泥，首先将水田内的水放干，放置1~2天后通过人工或者机械的方式对水田内的树根、杂草、石块等进行清理，清理后装车运至表土堆放场集中堆放。在表土堆放场的坡面及坡脚开挖临时排水沟，并做好遮盖及拦挡措施。</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2、优化后表土平衡量</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vertAlign w:val="baseline"/>
          <w:lang w:val="en-US" w:eastAsia="zh-CN"/>
        </w:rPr>
        <w:t>方案补充</w:t>
      </w:r>
      <w:r>
        <w:rPr>
          <w:rFonts w:hint="eastAsia" w:ascii="Times New Roman" w:hAnsi="Times New Roman" w:eastAsia="仿宋_GB2312" w:cs="Times New Roman"/>
          <w:sz w:val="24"/>
          <w:szCs w:val="24"/>
          <w:highlight w:val="none"/>
        </w:rPr>
        <w:t>道路工程占用耕地表土剥离</w:t>
      </w:r>
      <w:r>
        <w:rPr>
          <w:rFonts w:hint="eastAsia" w:ascii="Times New Roman" w:hAnsi="Times New Roman" w:eastAsia="仿宋_GB2312" w:cs="Times New Roman"/>
          <w:sz w:val="24"/>
          <w:szCs w:val="24"/>
          <w:highlight w:val="none"/>
          <w:lang w:val="en-US" w:eastAsia="zh-CN"/>
        </w:rPr>
        <w:t>0.30</w:t>
      </w:r>
      <w:r>
        <w:rPr>
          <w:rFonts w:hint="eastAsia" w:ascii="Times New Roman" w:hAnsi="Times New Roman" w:eastAsia="仿宋_GB2312" w:cs="Times New Roman"/>
          <w:sz w:val="24"/>
          <w:szCs w:val="24"/>
          <w:highlight w:val="none"/>
        </w:rPr>
        <w:t>hm</w:t>
      </w:r>
      <w:r>
        <w:rPr>
          <w:rFonts w:ascii="Times New Roman" w:hAnsi="Times New Roman" w:eastAsia="仿宋_GB2312" w:cs="Times New Roman"/>
          <w:sz w:val="24"/>
          <w:szCs w:val="24"/>
          <w:highlight w:val="none"/>
          <w:vertAlign w:val="superscript"/>
        </w:rPr>
        <w:t>2</w:t>
      </w:r>
      <w:r>
        <w:rPr>
          <w:rFonts w:hint="eastAsia" w:ascii="Times New Roman" w:hAnsi="Times New Roman" w:eastAsia="仿宋_GB2312" w:cs="Times New Roman"/>
          <w:sz w:val="24"/>
          <w:szCs w:val="24"/>
          <w:highlight w:val="none"/>
        </w:rPr>
        <w:t>，剥离厚度</w:t>
      </w:r>
      <w:r>
        <w:rPr>
          <w:rFonts w:hint="eastAsia" w:ascii="Times New Roman" w:hAnsi="Times New Roman" w:eastAsia="仿宋_GB2312" w:cs="Times New Roman"/>
          <w:sz w:val="24"/>
          <w:szCs w:val="24"/>
          <w:highlight w:val="none"/>
          <w:lang w:val="en-US" w:eastAsia="zh-CN"/>
        </w:rPr>
        <w:t>3</w:t>
      </w:r>
      <w:r>
        <w:rPr>
          <w:rFonts w:ascii="Times New Roman" w:hAnsi="Times New Roman" w:eastAsia="仿宋_GB2312" w:cs="Times New Roman"/>
          <w:sz w:val="24"/>
          <w:szCs w:val="24"/>
          <w:highlight w:val="none"/>
        </w:rPr>
        <w:t>0</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sz w:val="24"/>
          <w:szCs w:val="24"/>
          <w:highlight w:val="none"/>
        </w:rPr>
        <w:t>50cm，剥离量为</w:t>
      </w:r>
      <w:r>
        <w:rPr>
          <w:rFonts w:hint="eastAsia" w:ascii="Times New Roman" w:hAnsi="Times New Roman" w:eastAsia="仿宋_GB2312" w:cs="Times New Roman"/>
          <w:sz w:val="24"/>
          <w:szCs w:val="24"/>
          <w:highlight w:val="none"/>
        </w:rPr>
        <w:t>0.0</w:t>
      </w:r>
      <w:r>
        <w:rPr>
          <w:rFonts w:hint="eastAsia" w:ascii="Times New Roman" w:hAnsi="Times New Roman" w:eastAsia="仿宋_GB2312" w:cs="Times New Roman"/>
          <w:sz w:val="24"/>
          <w:szCs w:val="24"/>
          <w:highlight w:val="none"/>
          <w:lang w:val="en-US" w:eastAsia="zh-CN"/>
        </w:rPr>
        <w:t>9</w:t>
      </w:r>
      <w:r>
        <w:rPr>
          <w:rFonts w:hint="eastAsia" w:ascii="Times New Roman" w:hAnsi="Times New Roman" w:eastAsia="仿宋_GB2312" w:cs="Times New Roman"/>
          <w:sz w:val="24"/>
          <w:szCs w:val="24"/>
          <w:highlight w:val="none"/>
        </w:rPr>
        <w:t>万m</w:t>
      </w:r>
      <w:r>
        <w:rPr>
          <w:rFonts w:hint="eastAsia" w:ascii="Times New Roman" w:hAnsi="Times New Roman" w:eastAsia="仿宋_GB2312" w:cs="Times New Roman"/>
          <w:sz w:val="24"/>
          <w:szCs w:val="24"/>
          <w:highlight w:val="none"/>
          <w:vertAlign w:val="superscript"/>
        </w:rPr>
        <w:t>3</w:t>
      </w:r>
      <w:r>
        <w:rPr>
          <w:rFonts w:hint="eastAsia" w:ascii="Times New Roman" w:hAnsi="Times New Roman" w:eastAsia="仿宋_GB2312" w:cs="Times New Roman"/>
          <w:sz w:val="24"/>
          <w:szCs w:val="24"/>
          <w:highlight w:val="none"/>
        </w:rPr>
        <w:t>。</w:t>
      </w:r>
      <w:r>
        <w:rPr>
          <w:rFonts w:ascii="Times New Roman" w:hAnsi="Times New Roman" w:eastAsia="仿宋_GB2312" w:cs="Times New Roman"/>
          <w:color w:val="auto"/>
          <w:sz w:val="24"/>
          <w:szCs w:val="24"/>
          <w:highlight w:val="none"/>
        </w:rPr>
        <w:t>按照《生产建设项目水土保持技术标准》（GB50433-2018）中对于表土保护措施相关要求，对于临时占地范围内扰动深度小于20cm的表土可不剥离，本工程</w:t>
      </w:r>
      <w:r>
        <w:rPr>
          <w:rFonts w:hint="eastAsia" w:ascii="Times New Roman" w:hAnsi="Times New Roman" w:eastAsia="仿宋_GB2312" w:cs="Times New Roman"/>
          <w:color w:val="auto"/>
          <w:sz w:val="24"/>
          <w:szCs w:val="24"/>
          <w:highlight w:val="none"/>
          <w:lang w:val="en-US" w:eastAsia="zh-CN"/>
        </w:rPr>
        <w:t>施工临时生活场地和</w:t>
      </w:r>
      <w:r>
        <w:rPr>
          <w:rFonts w:ascii="Times New Roman" w:hAnsi="Times New Roman" w:eastAsia="仿宋_GB2312" w:cs="Times New Roman"/>
          <w:color w:val="auto"/>
          <w:sz w:val="24"/>
          <w:szCs w:val="24"/>
          <w:highlight w:val="none"/>
        </w:rPr>
        <w:t>表土堆放场</w:t>
      </w:r>
      <w:r>
        <w:rPr>
          <w:rFonts w:hint="eastAsia" w:ascii="Times New Roman" w:hAnsi="Times New Roman" w:eastAsia="仿宋_GB2312" w:cs="Times New Roman"/>
          <w:color w:val="auto"/>
          <w:sz w:val="24"/>
          <w:szCs w:val="24"/>
          <w:highlight w:val="none"/>
          <w:lang w:val="en-US" w:eastAsia="zh-CN"/>
        </w:rPr>
        <w:t>对占地范围内的扰动深度小于20cm，故</w:t>
      </w:r>
      <w:r>
        <w:rPr>
          <w:rFonts w:ascii="Times New Roman" w:hAnsi="Times New Roman" w:eastAsia="仿宋_GB2312" w:cs="Times New Roman"/>
          <w:color w:val="auto"/>
          <w:sz w:val="24"/>
          <w:szCs w:val="24"/>
          <w:highlight w:val="none"/>
        </w:rPr>
        <w:t>不进行表土剥离，后期</w:t>
      </w:r>
      <w:r>
        <w:rPr>
          <w:rFonts w:hint="eastAsia" w:ascii="Times New Roman" w:hAnsi="Times New Roman" w:eastAsia="仿宋_GB2312" w:cs="Times New Roman"/>
          <w:color w:val="auto"/>
          <w:sz w:val="24"/>
          <w:szCs w:val="24"/>
          <w:highlight w:val="none"/>
          <w:lang w:val="en-US" w:eastAsia="zh-CN"/>
        </w:rPr>
        <w:t>可</w:t>
      </w:r>
      <w:r>
        <w:rPr>
          <w:rFonts w:ascii="Times New Roman" w:hAnsi="Times New Roman" w:eastAsia="仿宋_GB2312" w:cs="Times New Roman"/>
          <w:color w:val="auto"/>
          <w:sz w:val="24"/>
          <w:szCs w:val="24"/>
          <w:highlight w:val="none"/>
        </w:rPr>
        <w:t>将其他区域多余的表土调入并恢复原地貌。</w:t>
      </w:r>
    </w:p>
    <w:p>
      <w:pPr>
        <w:widowControl w:val="0"/>
        <w:spacing w:line="360" w:lineRule="auto"/>
        <w:ind w:firstLine="460" w:firstLineChars="192"/>
        <w:jc w:val="both"/>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剥离的表土全部堆放于耕植土堆放区，后期井场及附属工程复垦覆土面积</w:t>
      </w:r>
      <w:r>
        <w:rPr>
          <w:rFonts w:hint="eastAsia" w:ascii="Times New Roman" w:hAnsi="Times New Roman" w:eastAsia="仿宋_GB2312" w:cs="Times New Roman"/>
          <w:color w:val="auto"/>
          <w:sz w:val="24"/>
          <w:szCs w:val="24"/>
          <w:highlight w:val="none"/>
          <w:lang w:val="en-US" w:eastAsia="zh-CN"/>
        </w:rPr>
        <w:t>1.13</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，覆土量</w:t>
      </w:r>
      <w:r>
        <w:rPr>
          <w:rFonts w:hint="eastAsia" w:ascii="Times New Roman" w:hAnsi="Times New Roman" w:eastAsia="仿宋_GB2312" w:cs="Times New Roman"/>
          <w:color w:val="auto"/>
          <w:sz w:val="24"/>
          <w:szCs w:val="24"/>
          <w:highlight w:val="none"/>
          <w:lang w:val="en-US" w:eastAsia="zh-CN"/>
        </w:rPr>
        <w:t>0.44</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；道路工程</w:t>
      </w:r>
      <w:r>
        <w:rPr>
          <w:rFonts w:hint="eastAsia" w:ascii="Times New Roman" w:hAnsi="Times New Roman" w:eastAsia="仿宋_GB2312" w:cs="Times New Roman"/>
          <w:color w:val="auto"/>
          <w:sz w:val="24"/>
          <w:szCs w:val="24"/>
          <w:highlight w:val="none"/>
          <w:lang w:val="en-US" w:eastAsia="zh-CN"/>
        </w:rPr>
        <w:t>挖填方边坡面</w:t>
      </w:r>
      <w:r>
        <w:rPr>
          <w:rFonts w:ascii="Times New Roman" w:hAnsi="Times New Roman" w:eastAsia="仿宋_GB2312" w:cs="Times New Roman"/>
          <w:color w:val="auto"/>
          <w:sz w:val="24"/>
          <w:szCs w:val="24"/>
          <w:highlight w:val="none"/>
        </w:rPr>
        <w:t>植草绿化前覆表土</w:t>
      </w:r>
      <w:r>
        <w:rPr>
          <w:rFonts w:hint="eastAsia" w:ascii="Times New Roman" w:hAnsi="Times New Roman" w:eastAsia="仿宋_GB2312" w:cs="Times New Roman"/>
          <w:color w:val="auto"/>
          <w:sz w:val="24"/>
          <w:szCs w:val="24"/>
          <w:highlight w:val="none"/>
          <w:lang w:val="en-US" w:eastAsia="zh-CN"/>
        </w:rPr>
        <w:t>0.10</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w:t>
      </w:r>
    </w:p>
    <w:p>
      <w:pPr>
        <w:widowControl w:val="0"/>
        <w:spacing w:line="360" w:lineRule="auto"/>
        <w:ind w:firstLine="460" w:firstLineChars="192"/>
        <w:rPr>
          <w:rFonts w:ascii="Times New Roman" w:hAnsi="Times New Roman" w:eastAsia="仿宋_GB2312" w:cs="Times New Roman"/>
          <w:b/>
          <w:bCs/>
          <w:color w:val="auto"/>
          <w:szCs w:val="21"/>
          <w:highlight w:val="none"/>
        </w:rPr>
      </w:pPr>
      <w:r>
        <w:rPr>
          <w:rFonts w:ascii="Times New Roman" w:hAnsi="Times New Roman" w:eastAsia="仿宋_GB2312" w:cs="Times New Roman"/>
          <w:color w:val="auto"/>
          <w:sz w:val="24"/>
          <w:szCs w:val="24"/>
          <w:highlight w:val="none"/>
        </w:rPr>
        <w:t>经优化后，项目表土剥离总量为</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，表土回覆总量</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。本项目表土平衡情况详见下表。</w:t>
      </w:r>
    </w:p>
    <w:p>
      <w:pPr>
        <w:widowControl w:val="0"/>
        <w:spacing w:line="360" w:lineRule="auto"/>
        <w:jc w:val="center"/>
        <w:rPr>
          <w:rFonts w:ascii="Times New Roman" w:hAnsi="Times New Roman" w:eastAsia="仿宋_GB2312" w:cs="Times New Roman"/>
          <w:b/>
          <w:bCs/>
          <w:color w:val="auto"/>
          <w:szCs w:val="21"/>
          <w:highlight w:val="none"/>
        </w:rPr>
      </w:pPr>
      <w:r>
        <w:rPr>
          <w:rFonts w:ascii="Times New Roman" w:hAnsi="Times New Roman" w:eastAsia="仿宋_GB2312" w:cs="Times New Roman"/>
          <w:b/>
          <w:bCs/>
          <w:color w:val="auto"/>
          <w:szCs w:val="21"/>
          <w:highlight w:val="none"/>
        </w:rPr>
        <w:t>表2.4-1 项目表土平衡表</w:t>
      </w:r>
    </w:p>
    <w:tbl>
      <w:tblPr>
        <w:tblStyle w:val="11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564"/>
        <w:gridCol w:w="1423"/>
        <w:gridCol w:w="1135"/>
        <w:gridCol w:w="812"/>
        <w:gridCol w:w="812"/>
        <w:gridCol w:w="812"/>
        <w:gridCol w:w="812"/>
        <w:gridCol w:w="743"/>
        <w:gridCol w:w="676"/>
        <w:gridCol w:w="553"/>
        <w:gridCol w:w="6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4"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序号</w:t>
            </w:r>
          </w:p>
        </w:tc>
        <w:tc>
          <w:tcPr>
            <w:tcW w:w="791"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项目组成</w:t>
            </w:r>
          </w:p>
        </w:tc>
        <w:tc>
          <w:tcPr>
            <w:tcW w:w="631"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剥离表土面积</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剥离厚度</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剥离表土量</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覆土面积</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覆土量</w:t>
            </w:r>
          </w:p>
        </w:tc>
        <w:tc>
          <w:tcPr>
            <w:tcW w:w="791"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调入（万m</w:t>
            </w:r>
            <w:r>
              <w:rPr>
                <w:rFonts w:ascii="Times New Roman" w:hAnsi="Times New Roman" w:eastAsia="仿宋" w:cs="Times New Roman"/>
                <w:color w:val="auto"/>
                <w:kern w:val="0"/>
                <w:sz w:val="18"/>
                <w:szCs w:val="18"/>
                <w:highlight w:val="none"/>
                <w:vertAlign w:val="superscript"/>
              </w:rPr>
              <w:t>3</w:t>
            </w:r>
            <w:r>
              <w:rPr>
                <w:rFonts w:ascii="Times New Roman" w:hAnsi="Times New Roman" w:eastAsia="仿宋" w:cs="Times New Roman"/>
                <w:color w:val="auto"/>
                <w:kern w:val="0"/>
                <w:sz w:val="18"/>
                <w:szCs w:val="18"/>
                <w:highlight w:val="none"/>
              </w:rPr>
              <w:t>）</w:t>
            </w:r>
          </w:p>
        </w:tc>
        <w:tc>
          <w:tcPr>
            <w:tcW w:w="68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调出（万m</w:t>
            </w:r>
            <w:r>
              <w:rPr>
                <w:rFonts w:ascii="Times New Roman" w:hAnsi="Times New Roman" w:eastAsia="仿宋" w:cs="Times New Roman"/>
                <w:color w:val="auto"/>
                <w:kern w:val="0"/>
                <w:sz w:val="18"/>
                <w:szCs w:val="18"/>
                <w:highlight w:val="none"/>
                <w:vertAlign w:val="superscript"/>
              </w:rPr>
              <w:t>3</w:t>
            </w:r>
            <w:r>
              <w:rPr>
                <w:rFonts w:ascii="Times New Roman" w:hAnsi="Times New Roman" w:eastAsia="仿宋" w:cs="Times New Roman"/>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4"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91"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31"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w:t>
            </w: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r>
              <w:rPr>
                <w:rFonts w:ascii="Times New Roman" w:hAnsi="Times New Roman" w:eastAsia="仿宋" w:cs="Times New Roman"/>
                <w:color w:val="auto"/>
                <w:kern w:val="0"/>
                <w:sz w:val="18"/>
                <w:szCs w:val="18"/>
                <w:highlight w:val="none"/>
              </w:rPr>
              <w:t>)</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(cm)</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(万m</w:t>
            </w:r>
            <w:r>
              <w:rPr>
                <w:rFonts w:ascii="Times New Roman" w:hAnsi="Times New Roman" w:eastAsia="仿宋" w:cs="Times New Roman"/>
                <w:color w:val="auto"/>
                <w:kern w:val="0"/>
                <w:sz w:val="18"/>
                <w:szCs w:val="18"/>
                <w:highlight w:val="none"/>
                <w:vertAlign w:val="superscript"/>
              </w:rPr>
              <w:t>3</w:t>
            </w:r>
            <w:r>
              <w:rPr>
                <w:rFonts w:ascii="Times New Roman" w:hAnsi="Times New Roman" w:eastAsia="仿宋" w:cs="Times New Roman"/>
                <w:color w:val="auto"/>
                <w:kern w:val="0"/>
                <w:sz w:val="18"/>
                <w:szCs w:val="18"/>
                <w:highlight w:val="none"/>
              </w:rPr>
              <w:t>)</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w:t>
            </w: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r>
              <w:rPr>
                <w:rFonts w:ascii="Times New Roman" w:hAnsi="Times New Roman" w:eastAsia="仿宋" w:cs="Times New Roman"/>
                <w:color w:val="auto"/>
                <w:kern w:val="0"/>
                <w:sz w:val="18"/>
                <w:szCs w:val="18"/>
                <w:highlight w:val="none"/>
              </w:rPr>
              <w:t>)</w:t>
            </w: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(万m</w:t>
            </w:r>
            <w:r>
              <w:rPr>
                <w:rFonts w:ascii="Times New Roman" w:hAnsi="Times New Roman" w:eastAsia="仿宋" w:cs="Times New Roman"/>
                <w:color w:val="auto"/>
                <w:kern w:val="0"/>
                <w:sz w:val="18"/>
                <w:szCs w:val="18"/>
                <w:highlight w:val="none"/>
                <w:vertAlign w:val="superscript"/>
              </w:rPr>
              <w:t>3</w:t>
            </w:r>
            <w:r>
              <w:rPr>
                <w:rFonts w:ascii="Times New Roman" w:hAnsi="Times New Roman" w:eastAsia="仿宋" w:cs="Times New Roman"/>
                <w:color w:val="auto"/>
                <w:kern w:val="0"/>
                <w:sz w:val="18"/>
                <w:szCs w:val="18"/>
                <w:highlight w:val="none"/>
              </w:rPr>
              <w:t>)</w:t>
            </w:r>
          </w:p>
        </w:tc>
        <w:tc>
          <w:tcPr>
            <w:tcW w:w="41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377"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来源</w:t>
            </w:r>
          </w:p>
        </w:tc>
        <w:tc>
          <w:tcPr>
            <w:tcW w:w="30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378"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(1)</w:t>
            </w:r>
          </w:p>
        </w:tc>
        <w:tc>
          <w:tcPr>
            <w:tcW w:w="791"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井场及附属工程</w:t>
            </w:r>
          </w:p>
        </w:tc>
        <w:tc>
          <w:tcPr>
            <w:tcW w:w="631"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1.13</w:t>
            </w: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30~50</w:t>
            </w: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0.45</w:t>
            </w:r>
          </w:p>
        </w:tc>
        <w:tc>
          <w:tcPr>
            <w:tcW w:w="812" w:type="dxa"/>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1.13</w:t>
            </w:r>
          </w:p>
        </w:tc>
        <w:tc>
          <w:tcPr>
            <w:tcW w:w="812" w:type="dxa"/>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0.44</w:t>
            </w:r>
          </w:p>
        </w:tc>
        <w:tc>
          <w:tcPr>
            <w:tcW w:w="414"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0.01</w:t>
            </w:r>
          </w:p>
        </w:tc>
        <w:tc>
          <w:tcPr>
            <w:tcW w:w="377" w:type="pct"/>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w:t>
            </w:r>
          </w:p>
        </w:tc>
        <w:tc>
          <w:tcPr>
            <w:tcW w:w="309"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378"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74" w:hRule="atLeast"/>
        </w:trPr>
        <w:tc>
          <w:tcPr>
            <w:tcW w:w="28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(2)</w:t>
            </w:r>
          </w:p>
        </w:tc>
        <w:tc>
          <w:tcPr>
            <w:tcW w:w="791" w:type="pct"/>
            <w:noWrap/>
            <w:vAlign w:val="center"/>
          </w:tcPr>
          <w:p>
            <w:pPr>
              <w:adjustRightInd w:val="0"/>
              <w:snapToGrid w:val="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道路工程</w:t>
            </w:r>
          </w:p>
        </w:tc>
        <w:tc>
          <w:tcPr>
            <w:tcW w:w="631"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0.30</w:t>
            </w: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30~50</w:t>
            </w: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0.09</w:t>
            </w:r>
          </w:p>
        </w:tc>
        <w:tc>
          <w:tcPr>
            <w:tcW w:w="812" w:type="dxa"/>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0.30</w:t>
            </w:r>
          </w:p>
        </w:tc>
        <w:tc>
          <w:tcPr>
            <w:tcW w:w="812" w:type="dxa"/>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414"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77"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309"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0.01</w:t>
            </w:r>
          </w:p>
        </w:tc>
        <w:tc>
          <w:tcPr>
            <w:tcW w:w="378"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w:t>
            </w:r>
            <w:r>
              <w:rPr>
                <w:rFonts w:hint="eastAsia" w:ascii="Times New Roman" w:hAnsi="Times New Roman" w:eastAsia="仿宋" w:cs="Times New Roman"/>
                <w:color w:val="auto"/>
                <w:kern w:val="0"/>
                <w:sz w:val="18"/>
                <w:szCs w:val="18"/>
                <w:highlight w:val="none"/>
                <w:lang w:val="en-US" w:eastAsia="zh-CN"/>
              </w:rPr>
              <w:t>1</w:t>
            </w:r>
            <w:r>
              <w:rPr>
                <w:rFonts w:ascii="Times New Roman" w:hAnsi="Times New Roman" w:eastAsia="仿宋" w:cs="Times New Roman"/>
                <w:color w:val="auto"/>
                <w:kern w:val="0"/>
                <w:sz w:val="18"/>
                <w:szCs w:val="18"/>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（3）</w:t>
            </w:r>
          </w:p>
        </w:tc>
        <w:tc>
          <w:tcPr>
            <w:tcW w:w="79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表土堆放场</w:t>
            </w:r>
          </w:p>
        </w:tc>
        <w:tc>
          <w:tcPr>
            <w:tcW w:w="631"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52"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812" w:type="dxa"/>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812"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414"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377"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30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78"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(4)</w:t>
            </w:r>
          </w:p>
        </w:tc>
        <w:tc>
          <w:tcPr>
            <w:tcW w:w="791" w:type="pct"/>
            <w:noWrap/>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sz w:val="18"/>
                <w:szCs w:val="18"/>
                <w:highlight w:val="none"/>
                <w:vertAlign w:val="baseline"/>
                <w:lang w:eastAsia="zh-CN"/>
              </w:rPr>
              <w:t>临时生活区</w:t>
            </w:r>
          </w:p>
        </w:tc>
        <w:tc>
          <w:tcPr>
            <w:tcW w:w="631"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p>
        </w:tc>
        <w:tc>
          <w:tcPr>
            <w:tcW w:w="812" w:type="dxa"/>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rPr>
            </w:pPr>
          </w:p>
        </w:tc>
        <w:tc>
          <w:tcPr>
            <w:tcW w:w="812" w:type="dxa"/>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kern w:val="0"/>
                <w:sz w:val="18"/>
                <w:szCs w:val="18"/>
                <w:highlight w:val="none"/>
              </w:rPr>
            </w:pPr>
          </w:p>
        </w:tc>
        <w:tc>
          <w:tcPr>
            <w:tcW w:w="414" w:type="pct"/>
            <w:vAlign w:val="center"/>
          </w:tcPr>
          <w:p>
            <w:pPr>
              <w:keepNext w:val="0"/>
              <w:keepLines w:val="0"/>
              <w:widowControl/>
              <w:suppressLineNumbers w:val="0"/>
              <w:adjustRightInd w:val="0"/>
              <w:snapToGrid w:val="0"/>
              <w:jc w:val="center"/>
              <w:textAlignment w:val="center"/>
              <w:rPr>
                <w:rFonts w:hint="eastAsia" w:ascii="Times New Roman" w:hAnsi="Times New Roman" w:eastAsia="仿宋_GB2312" w:cs="Times New Roman"/>
                <w:color w:val="auto"/>
                <w:kern w:val="0"/>
                <w:sz w:val="18"/>
                <w:szCs w:val="18"/>
                <w:highlight w:val="none"/>
                <w:lang w:eastAsia="zh-CN"/>
              </w:rPr>
            </w:pPr>
          </w:p>
        </w:tc>
        <w:tc>
          <w:tcPr>
            <w:tcW w:w="377"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30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78"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28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(5)</w:t>
            </w:r>
          </w:p>
        </w:tc>
        <w:tc>
          <w:tcPr>
            <w:tcW w:w="791"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sz w:val="18"/>
                <w:szCs w:val="18"/>
                <w:highlight w:val="none"/>
              </w:rPr>
              <w:t>合计</w:t>
            </w:r>
          </w:p>
        </w:tc>
        <w:tc>
          <w:tcPr>
            <w:tcW w:w="631"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1.43</w:t>
            </w:r>
          </w:p>
        </w:tc>
        <w:tc>
          <w:tcPr>
            <w:tcW w:w="452" w:type="pct"/>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0.54</w:t>
            </w:r>
          </w:p>
        </w:tc>
        <w:tc>
          <w:tcPr>
            <w:tcW w:w="452"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2.37</w:t>
            </w:r>
          </w:p>
        </w:tc>
        <w:tc>
          <w:tcPr>
            <w:tcW w:w="812" w:type="dxa"/>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0.54</w:t>
            </w:r>
          </w:p>
        </w:tc>
        <w:tc>
          <w:tcPr>
            <w:tcW w:w="414"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377"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09"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378"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bl>
    <w:p>
      <w:pPr>
        <w:widowControl w:val="0"/>
        <w:snapToGrid w:val="0"/>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2.4.2 土石方平衡</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本项目位于丘陵区，根据主体工程设计资料，结合现场勘查，方案复核了主体工程设计的土石方平衡情况。经土石方平衡分析，本工程挖方总量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（自然方，下同，含表土剥离</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），总填方量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（含表土利用</w:t>
      </w:r>
      <w:r>
        <w:rPr>
          <w:rFonts w:hint="eastAsia" w:ascii="Times New Roman" w:hAnsi="Times New Roman" w:eastAsia="仿宋_GB2312" w:cs="Times New Roman"/>
          <w:color w:val="auto"/>
          <w:sz w:val="24"/>
          <w:szCs w:val="24"/>
          <w:highlight w:val="none"/>
          <w:lang w:val="en-US" w:eastAsia="zh-CN"/>
        </w:rPr>
        <w:t>0.54万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w:t>
      </w:r>
      <w:r>
        <w:rPr>
          <w:rFonts w:ascii="Times New Roman" w:hAnsi="Times New Roman" w:eastAsia="仿宋_GB2312" w:cs="Times New Roman"/>
          <w:color w:val="auto"/>
          <w:sz w:val="24"/>
          <w:szCs w:val="24"/>
          <w:highlight w:val="none"/>
        </w:rPr>
        <w:t>工程建设无</w:t>
      </w:r>
      <w:r>
        <w:rPr>
          <w:rFonts w:hint="eastAsia" w:ascii="Times New Roman" w:hAnsi="Times New Roman" w:eastAsia="仿宋_GB2312" w:cs="Times New Roman"/>
          <w:color w:val="auto"/>
          <w:sz w:val="24"/>
          <w:szCs w:val="24"/>
          <w:highlight w:val="none"/>
          <w:lang w:val="en-US" w:eastAsia="zh-CN"/>
        </w:rPr>
        <w:t>借方，最终无弃方产生</w:t>
      </w:r>
      <w:r>
        <w:rPr>
          <w:rFonts w:ascii="Times New Roman" w:hAnsi="Times New Roman" w:eastAsia="仿宋_GB2312" w:cs="Times New Roman"/>
          <w:color w:val="auto"/>
          <w:sz w:val="24"/>
          <w:szCs w:val="24"/>
          <w:highlight w:val="none"/>
        </w:rPr>
        <w:t>。项目土石方平衡表详见表2.4-2。</w:t>
      </w:r>
    </w:p>
    <w:p>
      <w:pPr>
        <w:widowControl w:val="0"/>
        <w:snapToGrid w:val="0"/>
        <w:jc w:val="center"/>
        <w:rPr>
          <w:rFonts w:ascii="Times New Roman" w:hAnsi="Times New Roman" w:eastAsia="仿宋_GB2312" w:cs="Times New Roman"/>
          <w:b/>
          <w:bCs/>
          <w:color w:val="auto"/>
          <w:szCs w:val="21"/>
          <w:highlight w:val="none"/>
        </w:rPr>
      </w:pPr>
      <w:r>
        <w:rPr>
          <w:rFonts w:ascii="Times New Roman" w:hAnsi="Times New Roman" w:eastAsia="仿宋_GB2312" w:cs="Times New Roman"/>
          <w:b/>
          <w:bCs/>
          <w:color w:val="auto"/>
          <w:szCs w:val="21"/>
          <w:highlight w:val="none"/>
        </w:rPr>
        <w:t>表2.4-2 项目土石方平衡表</w:t>
      </w:r>
    </w:p>
    <w:p>
      <w:pPr>
        <w:widowControl w:val="0"/>
        <w:snapToGrid w:val="0"/>
        <w:jc w:val="center"/>
        <w:rPr>
          <w:rFonts w:ascii="Times New Roman" w:hAnsi="Times New Roman" w:eastAsia="仿宋_GB2312" w:cs="Times New Roman"/>
          <w:b/>
          <w:bCs/>
          <w:color w:val="auto"/>
          <w:szCs w:val="21"/>
          <w:highlight w:val="none"/>
        </w:rPr>
      </w:pPr>
    </w:p>
    <w:tbl>
      <w:tblPr>
        <w:tblStyle w:val="115"/>
        <w:tblpPr w:leftFromText="180" w:rightFromText="180" w:vertAnchor="text" w:horzAnchor="margin" w:tblpXSpec="center" w:tblpY="-28"/>
        <w:tblOverlap w:val="never"/>
        <w:tblW w:w="532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66"/>
        <w:gridCol w:w="882"/>
        <w:gridCol w:w="633"/>
        <w:gridCol w:w="428"/>
        <w:gridCol w:w="602"/>
        <w:gridCol w:w="557"/>
        <w:gridCol w:w="671"/>
        <w:gridCol w:w="507"/>
        <w:gridCol w:w="541"/>
        <w:gridCol w:w="483"/>
        <w:gridCol w:w="562"/>
        <w:gridCol w:w="518"/>
        <w:gridCol w:w="566"/>
        <w:gridCol w:w="438"/>
        <w:gridCol w:w="388"/>
        <w:gridCol w:w="474"/>
        <w:gridCol w:w="399"/>
        <w:gridCol w:w="4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 w:type="pct"/>
            <w:vMerge w:val="restart"/>
            <w:tcBorders>
              <w:tl2br w:val="nil"/>
              <w:tr2bl w:val="nil"/>
            </w:tcBorders>
            <w:vAlign w:val="center"/>
          </w:tcPr>
          <w:p>
            <w:pPr>
              <w:tabs>
                <w:tab w:val="left" w:pos="3479"/>
              </w:tabs>
              <w:bidi w:val="0"/>
              <w:adjustRightInd w:val="0"/>
              <w:snapToGrid w:val="0"/>
              <w:jc w:val="left"/>
              <w:rPr>
                <w:rFonts w:ascii="Times New Roman" w:hAnsi="Times New Roman" w:eastAsia="仿宋" w:cs="Times New Roman"/>
                <w:color w:val="auto"/>
                <w:kern w:val="0"/>
                <w:sz w:val="18"/>
                <w:szCs w:val="18"/>
                <w:highlight w:val="none"/>
              </w:rPr>
            </w:pPr>
            <w:r>
              <w:rPr>
                <w:rFonts w:hint="eastAsia"/>
                <w:color w:val="auto"/>
                <w:highlight w:val="none"/>
                <w:lang w:val="en-US" w:eastAsia="zh-CN"/>
              </w:rPr>
              <w:tab/>
            </w:r>
            <w:r>
              <w:rPr>
                <w:rFonts w:ascii="Times New Roman" w:hAnsi="Times New Roman" w:eastAsia="仿宋" w:cs="Times New Roman"/>
                <w:color w:val="auto"/>
                <w:kern w:val="0"/>
                <w:sz w:val="18"/>
                <w:szCs w:val="18"/>
                <w:highlight w:val="none"/>
              </w:rPr>
              <w:t>序号</w:t>
            </w:r>
          </w:p>
        </w:tc>
        <w:tc>
          <w:tcPr>
            <w:tcW w:w="461" w:type="pct"/>
            <w:vMerge w:val="restar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项目组成</w:t>
            </w:r>
          </w:p>
        </w:tc>
        <w:tc>
          <w:tcPr>
            <w:tcW w:w="870" w:type="pct"/>
            <w:gridSpan w:val="3"/>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挖方</w:t>
            </w:r>
          </w:p>
        </w:tc>
        <w:tc>
          <w:tcPr>
            <w:tcW w:w="908" w:type="pct"/>
            <w:gridSpan w:val="3"/>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填方</w:t>
            </w:r>
          </w:p>
        </w:tc>
        <w:tc>
          <w:tcPr>
            <w:tcW w:w="830" w:type="pct"/>
            <w:gridSpan w:val="3"/>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调入</w:t>
            </w:r>
          </w:p>
        </w:tc>
        <w:tc>
          <w:tcPr>
            <w:tcW w:w="567" w:type="pct"/>
            <w:gridSpan w:val="2"/>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调出</w:t>
            </w:r>
          </w:p>
        </w:tc>
        <w:tc>
          <w:tcPr>
            <w:tcW w:w="22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51" w:type="pct"/>
            <w:gridSpan w:val="2"/>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借方</w:t>
            </w:r>
          </w:p>
        </w:tc>
        <w:tc>
          <w:tcPr>
            <w:tcW w:w="437" w:type="pct"/>
            <w:gridSpan w:val="2"/>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余方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 w:type="pct"/>
            <w:vMerge w:val="continue"/>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61" w:type="pct"/>
            <w:vMerge w:val="continue"/>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3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一般</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土石方</w:t>
            </w:r>
          </w:p>
        </w:tc>
        <w:tc>
          <w:tcPr>
            <w:tcW w:w="224"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表土剥离</w:t>
            </w:r>
          </w:p>
        </w:tc>
        <w:tc>
          <w:tcPr>
            <w:tcW w:w="315"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29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一般</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土石方</w:t>
            </w:r>
          </w:p>
        </w:tc>
        <w:tc>
          <w:tcPr>
            <w:tcW w:w="35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表土利用</w:t>
            </w:r>
          </w:p>
        </w:tc>
        <w:tc>
          <w:tcPr>
            <w:tcW w:w="265"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28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一般</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土石方</w:t>
            </w:r>
          </w:p>
        </w:tc>
        <w:tc>
          <w:tcPr>
            <w:tcW w:w="252"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表土利用</w:t>
            </w:r>
          </w:p>
        </w:tc>
        <w:tc>
          <w:tcPr>
            <w:tcW w:w="294"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来源</w:t>
            </w:r>
          </w:p>
        </w:tc>
        <w:tc>
          <w:tcPr>
            <w:tcW w:w="27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一般土石方</w:t>
            </w:r>
          </w:p>
        </w:tc>
        <w:tc>
          <w:tcPr>
            <w:tcW w:w="296"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表土利用</w:t>
            </w:r>
          </w:p>
        </w:tc>
        <w:tc>
          <w:tcPr>
            <w:tcW w:w="22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去向</w:t>
            </w:r>
          </w:p>
        </w:tc>
        <w:tc>
          <w:tcPr>
            <w:tcW w:w="20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24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来源</w:t>
            </w:r>
          </w:p>
        </w:tc>
        <w:tc>
          <w:tcPr>
            <w:tcW w:w="20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22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46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井场及附属工程</w:t>
            </w:r>
          </w:p>
        </w:tc>
        <w:tc>
          <w:tcPr>
            <w:tcW w:w="33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1.08</w:t>
            </w:r>
          </w:p>
        </w:tc>
        <w:tc>
          <w:tcPr>
            <w:tcW w:w="428"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0.45</w:t>
            </w:r>
          </w:p>
        </w:tc>
        <w:tc>
          <w:tcPr>
            <w:tcW w:w="315"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1.53</w:t>
            </w:r>
          </w:p>
        </w:tc>
        <w:tc>
          <w:tcPr>
            <w:tcW w:w="29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1.37</w:t>
            </w:r>
          </w:p>
        </w:tc>
        <w:tc>
          <w:tcPr>
            <w:tcW w:w="671"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0.44</w:t>
            </w:r>
          </w:p>
        </w:tc>
        <w:tc>
          <w:tcPr>
            <w:tcW w:w="265"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1.81</w:t>
            </w:r>
          </w:p>
        </w:tc>
        <w:tc>
          <w:tcPr>
            <w:tcW w:w="283"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0.29</w:t>
            </w:r>
          </w:p>
        </w:tc>
        <w:tc>
          <w:tcPr>
            <w:tcW w:w="252"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94"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r>
              <w:rPr>
                <w:rFonts w:hint="eastAsia" w:ascii="Times New Roman" w:hAnsi="Times New Roman" w:eastAsia="宋体" w:cs="Times New Roman"/>
                <w:i w:val="0"/>
                <w:iCs w:val="0"/>
                <w:color w:val="auto"/>
                <w:kern w:val="0"/>
                <w:sz w:val="18"/>
                <w:szCs w:val="18"/>
                <w:highlight w:val="none"/>
                <w:u w:val="none"/>
                <w:lang w:val="en-US" w:eastAsia="zh-CN" w:bidi="ar"/>
              </w:rPr>
              <w:t>，3，4</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71"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96"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0.01</w:t>
            </w:r>
          </w:p>
        </w:tc>
        <w:tc>
          <w:tcPr>
            <w:tcW w:w="229"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203"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48"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9"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28"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46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道路工程</w:t>
            </w:r>
          </w:p>
        </w:tc>
        <w:tc>
          <w:tcPr>
            <w:tcW w:w="33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0.46</w:t>
            </w:r>
          </w:p>
        </w:tc>
        <w:tc>
          <w:tcPr>
            <w:tcW w:w="428"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0.09</w:t>
            </w:r>
          </w:p>
        </w:tc>
        <w:tc>
          <w:tcPr>
            <w:tcW w:w="315"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0.55</w:t>
            </w:r>
          </w:p>
        </w:tc>
        <w:tc>
          <w:tcPr>
            <w:tcW w:w="29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0.20</w:t>
            </w:r>
          </w:p>
        </w:tc>
        <w:tc>
          <w:tcPr>
            <w:tcW w:w="671"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0.10</w:t>
            </w:r>
          </w:p>
        </w:tc>
        <w:tc>
          <w:tcPr>
            <w:tcW w:w="265"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0.30</w:t>
            </w:r>
          </w:p>
        </w:tc>
        <w:tc>
          <w:tcPr>
            <w:tcW w:w="283"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52"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0.01</w:t>
            </w:r>
          </w:p>
        </w:tc>
        <w:tc>
          <w:tcPr>
            <w:tcW w:w="294"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71"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0.26</w:t>
            </w:r>
          </w:p>
        </w:tc>
        <w:tc>
          <w:tcPr>
            <w:tcW w:w="296"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29"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03"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48"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9"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2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（3）</w:t>
            </w:r>
          </w:p>
        </w:tc>
        <w:tc>
          <w:tcPr>
            <w:tcW w:w="461"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表土堆放场</w:t>
            </w:r>
          </w:p>
        </w:tc>
        <w:tc>
          <w:tcPr>
            <w:tcW w:w="33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0.01</w:t>
            </w:r>
          </w:p>
        </w:tc>
        <w:tc>
          <w:tcPr>
            <w:tcW w:w="428" w:type="dxa"/>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15"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0.01</w:t>
            </w:r>
          </w:p>
        </w:tc>
        <w:tc>
          <w:tcPr>
            <w:tcW w:w="291" w:type="pct"/>
            <w:tcBorders>
              <w:tl2br w:val="nil"/>
              <w:tr2bl w:val="nil"/>
            </w:tcBorders>
            <w:vAlign w:val="center"/>
          </w:tcPr>
          <w:p>
            <w:pPr>
              <w:keepNext w:val="0"/>
              <w:keepLines w:val="0"/>
              <w:widowControl/>
              <w:suppressLineNumbers w:val="0"/>
              <w:adjustRightInd w:val="0"/>
              <w:snapToGrid w:val="0"/>
              <w:jc w:val="center"/>
              <w:textAlignment w:val="center"/>
              <w:rPr>
                <w:rFonts w:hint="eastAsia" w:ascii="Times New Roman" w:hAnsi="Times New Roman" w:eastAsia="仿宋" w:cs="Times New Roman"/>
                <w:color w:val="auto"/>
                <w:kern w:val="0"/>
                <w:sz w:val="18"/>
                <w:szCs w:val="18"/>
                <w:highlight w:val="none"/>
                <w:lang w:val="en-US" w:eastAsia="zh-CN"/>
              </w:rPr>
            </w:pPr>
          </w:p>
        </w:tc>
        <w:tc>
          <w:tcPr>
            <w:tcW w:w="671" w:type="dxa"/>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5"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83"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52"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94"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71"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0.01</w:t>
            </w:r>
          </w:p>
        </w:tc>
        <w:tc>
          <w:tcPr>
            <w:tcW w:w="296"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29"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03"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48"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09" w:type="pct"/>
            <w:tcBorders>
              <w:tl2br w:val="nil"/>
              <w:tr2bl w:val="nil"/>
            </w:tcBorders>
            <w:vAlign w:val="center"/>
          </w:tcPr>
          <w:p>
            <w:pPr>
              <w:adjustRightInd w:val="0"/>
              <w:snapToGrid w:val="0"/>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22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4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(4)</w:t>
            </w:r>
          </w:p>
        </w:tc>
        <w:tc>
          <w:tcPr>
            <w:tcW w:w="461" w:type="pct"/>
            <w:tcBorders>
              <w:tl2br w:val="nil"/>
              <w:tr2bl w:val="nil"/>
            </w:tcBorders>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临时生活区</w:t>
            </w:r>
          </w:p>
        </w:tc>
        <w:tc>
          <w:tcPr>
            <w:tcW w:w="33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0.04</w:t>
            </w:r>
          </w:p>
        </w:tc>
        <w:tc>
          <w:tcPr>
            <w:tcW w:w="428"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p>
        </w:tc>
        <w:tc>
          <w:tcPr>
            <w:tcW w:w="315" w:type="pct"/>
            <w:tcBorders>
              <w:tl2br w:val="nil"/>
              <w:tr2bl w:val="nil"/>
            </w:tcBorders>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仿宋" w:cs="Times New Roman"/>
                <w:color w:val="auto"/>
                <w:kern w:val="0"/>
                <w:sz w:val="18"/>
                <w:szCs w:val="18"/>
                <w:highlight w:val="none"/>
                <w:lang w:val="en-US" w:eastAsia="zh-CN"/>
              </w:rPr>
              <w:t>0.04</w:t>
            </w:r>
          </w:p>
        </w:tc>
        <w:tc>
          <w:tcPr>
            <w:tcW w:w="29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0.02</w:t>
            </w:r>
          </w:p>
        </w:tc>
        <w:tc>
          <w:tcPr>
            <w:tcW w:w="671"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p>
        </w:tc>
        <w:tc>
          <w:tcPr>
            <w:tcW w:w="265" w:type="pct"/>
            <w:tcBorders>
              <w:tl2br w:val="nil"/>
              <w:tr2bl w:val="nil"/>
            </w:tcBorders>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0.02</w:t>
            </w:r>
          </w:p>
        </w:tc>
        <w:tc>
          <w:tcPr>
            <w:tcW w:w="28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52"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p>
        </w:tc>
        <w:tc>
          <w:tcPr>
            <w:tcW w:w="294"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71"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0.02</w:t>
            </w:r>
          </w:p>
        </w:tc>
        <w:tc>
          <w:tcPr>
            <w:tcW w:w="296"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2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Times New Roman" w:hAnsi="Times New Roman" w:eastAsia="宋体" w:cs="Times New Roman"/>
                <w:i w:val="0"/>
                <w:iCs w:val="0"/>
                <w:color w:val="auto"/>
                <w:kern w:val="0"/>
                <w:sz w:val="18"/>
                <w:szCs w:val="18"/>
                <w:highlight w:val="none"/>
                <w:u w:val="none"/>
                <w:lang w:val="en-US" w:eastAsia="zh-CN" w:bidi="ar"/>
              </w:rPr>
              <w:t>1</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20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4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0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2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05" w:type="pct"/>
            <w:gridSpan w:val="2"/>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合  计</w:t>
            </w:r>
          </w:p>
        </w:tc>
        <w:tc>
          <w:tcPr>
            <w:tcW w:w="33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1.59</w:t>
            </w:r>
          </w:p>
        </w:tc>
        <w:tc>
          <w:tcPr>
            <w:tcW w:w="428"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0.54</w:t>
            </w:r>
          </w:p>
        </w:tc>
        <w:tc>
          <w:tcPr>
            <w:tcW w:w="315"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2.13</w:t>
            </w:r>
          </w:p>
        </w:tc>
        <w:tc>
          <w:tcPr>
            <w:tcW w:w="291"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1.59</w:t>
            </w:r>
          </w:p>
        </w:tc>
        <w:tc>
          <w:tcPr>
            <w:tcW w:w="671" w:type="dxa"/>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0.54</w:t>
            </w:r>
          </w:p>
        </w:tc>
        <w:tc>
          <w:tcPr>
            <w:tcW w:w="265"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仿宋" w:cs="Times New Roman"/>
                <w:color w:val="auto"/>
                <w:kern w:val="0"/>
                <w:sz w:val="18"/>
                <w:szCs w:val="18"/>
                <w:highlight w:val="none"/>
                <w:lang w:val="en-US" w:eastAsia="zh-CN"/>
              </w:rPr>
              <w:t>2.13</w:t>
            </w:r>
          </w:p>
        </w:tc>
        <w:tc>
          <w:tcPr>
            <w:tcW w:w="283"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0.29</w:t>
            </w:r>
          </w:p>
        </w:tc>
        <w:tc>
          <w:tcPr>
            <w:tcW w:w="252"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294"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71" w:type="pct"/>
            <w:tcBorders>
              <w:tl2br w:val="nil"/>
              <w:tr2bl w:val="nil"/>
            </w:tcBorders>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0.29</w:t>
            </w:r>
          </w:p>
        </w:tc>
        <w:tc>
          <w:tcPr>
            <w:tcW w:w="296" w:type="pct"/>
            <w:tcBorders>
              <w:tl2br w:val="nil"/>
              <w:tr2bl w:val="nil"/>
            </w:tcBorders>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0.0</w:t>
            </w: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22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03"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48"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09" w:type="pct"/>
            <w:tcBorders>
              <w:tl2br w:val="nil"/>
              <w:tr2bl w:val="nil"/>
            </w:tcBorders>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28" w:type="pct"/>
            <w:tcBorders>
              <w:tl2br w:val="nil"/>
              <w:tr2bl w:val="nil"/>
            </w:tcBorders>
            <w:vAlign w:val="center"/>
          </w:tcPr>
          <w:p>
            <w:pPr>
              <w:adjustRightInd w:val="0"/>
              <w:snapToGrid w:val="0"/>
              <w:rPr>
                <w:rFonts w:ascii="Times New Roman" w:hAnsi="Times New Roman" w:eastAsia="仿宋" w:cs="Times New Roman"/>
                <w:color w:val="auto"/>
                <w:kern w:val="0"/>
                <w:sz w:val="18"/>
                <w:szCs w:val="18"/>
                <w:highlight w:val="none"/>
              </w:rPr>
            </w:pPr>
          </w:p>
        </w:tc>
      </w:tr>
    </w:tbl>
    <w:p>
      <w:pPr>
        <w:rPr>
          <w:rFonts w:ascii="Times New Roman" w:hAnsi="Times New Roman" w:cs="Times New Roman"/>
          <w:color w:val="auto"/>
          <w:highlight w:val="none"/>
          <w:lang w:val="zh-CN"/>
        </w:rPr>
        <w:sectPr>
          <w:headerReference r:id="rId7" w:type="default"/>
          <w:pgSz w:w="11920" w:h="16845"/>
          <w:pgMar w:top="1418" w:right="1588" w:bottom="1418" w:left="1701" w:header="850" w:footer="850" w:gutter="0"/>
          <w:pgBorders>
            <w:top w:val="none" w:sz="0" w:space="0"/>
            <w:left w:val="none" w:sz="0" w:space="0"/>
            <w:bottom w:val="none" w:sz="0" w:space="0"/>
            <w:right w:val="none" w:sz="0" w:space="0"/>
          </w:pgBorders>
          <w:pgNumType w:fmt="decimal"/>
          <w:cols w:equalWidth="0" w:num="1">
            <w:col w:w="8912"/>
          </w:cols>
          <w:docGrid w:linePitch="360" w:charSpace="0"/>
        </w:sectPr>
      </w:pPr>
      <w:bookmarkStart w:id="63" w:name="_Toc5725727"/>
      <w:bookmarkStart w:id="64" w:name="_Toc8379061"/>
      <w:bookmarkStart w:id="65" w:name="_Toc74588682"/>
      <w:bookmarkStart w:id="66" w:name="_Toc5698782"/>
      <w:bookmarkStart w:id="67" w:name="_Toc74588733"/>
    </w:p>
    <w:p>
      <w:pPr>
        <w:widowControl w:val="0"/>
        <w:adjustRightInd w:val="0"/>
        <w:snapToGrid w:val="0"/>
        <w:spacing w:line="360" w:lineRule="auto"/>
        <w:ind w:firstLine="422" w:firstLineChars="200"/>
        <w:jc w:val="center"/>
        <w:rPr>
          <w:rFonts w:ascii="Times New Roman" w:hAnsi="Times New Roman" w:eastAsia="仿宋_GB2312" w:cs="Times New Roman"/>
          <w:b/>
          <w:bCs/>
          <w:color w:val="auto"/>
          <w:szCs w:val="21"/>
        </w:rPr>
      </w:pPr>
      <w:r>
        <w:rPr>
          <w:rFonts w:ascii="Times New Roman" w:hAnsi="Times New Roman" w:eastAsia="仿宋_GB2312" w:cs="Times New Roman"/>
          <w:b/>
          <w:bCs/>
          <w:color w:val="auto"/>
          <w:szCs w:val="21"/>
        </w:rPr>
        <w:t>图2-2 土石方流向框图</w:t>
      </w:r>
    </w:p>
    <w:p>
      <w:pPr>
        <w:spacing w:line="360" w:lineRule="auto"/>
        <w:rPr>
          <w:rFonts w:ascii="Times New Roman" w:hAnsi="Times New Roman" w:eastAsia="仿宋_GB2312" w:cs="Times New Roman"/>
          <w:color w:val="auto"/>
          <w:sz w:val="24"/>
          <w:szCs w:val="24"/>
        </w:rPr>
      </w:pPr>
      <w:r>
        <w:rPr>
          <w:rFonts w:ascii="Times New Roman" w:hAnsi="Times New Roman"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6967855</wp:posOffset>
                </wp:positionH>
                <wp:positionV relativeFrom="paragraph">
                  <wp:posOffset>195580</wp:posOffset>
                </wp:positionV>
                <wp:extent cx="1197610" cy="685800"/>
                <wp:effectExtent l="6350" t="6350" r="15240" b="8890"/>
                <wp:wrapNone/>
                <wp:docPr id="21" name="圆角矩形 21"/>
                <wp:cNvGraphicFramePr/>
                <a:graphic xmlns:a="http://schemas.openxmlformats.org/drawingml/2006/main">
                  <a:graphicData uri="http://schemas.microsoft.com/office/word/2010/wordprocessingShape">
                    <wps:wsp>
                      <wps:cNvSpPr/>
                      <wps:spPr>
                        <a:xfrm>
                          <a:off x="0" y="0"/>
                          <a:ext cx="1197610" cy="685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仿宋" w:cs="Times New Roman"/>
                                <w:kern w:val="0"/>
                                <w:sz w:val="18"/>
                                <w:szCs w:val="18"/>
                                <w:vertAlign w:val="baseline"/>
                                <w:lang w:val="en-US" w:eastAsia="zh-CN"/>
                              </w:rPr>
                            </w:pPr>
                            <w:r>
                              <w:rPr>
                                <w:rFonts w:hint="eastAsia" w:ascii="Times New Roman" w:hAnsi="Times New Roman" w:eastAsia="仿宋" w:cs="Times New Roman"/>
                                <w:kern w:val="0"/>
                                <w:sz w:val="18"/>
                                <w:szCs w:val="18"/>
                              </w:rPr>
                              <w:t>余方</w:t>
                            </w:r>
                            <w:r>
                              <w:rPr>
                                <w:rFonts w:hint="eastAsia" w:ascii="Times New Roman" w:hAnsi="Times New Roman" w:eastAsia="仿宋" w:cs="Times New Roman"/>
                                <w:kern w:val="0"/>
                                <w:sz w:val="18"/>
                                <w:szCs w:val="18"/>
                                <w:lang w:val="en-US" w:eastAsia="zh-CN"/>
                              </w:rPr>
                              <w:t>0万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48.65pt;margin-top:15.4pt;height:54pt;width:94.3pt;z-index:251667456;v-text-anchor:middle;mso-width-relative:page;mso-height-relative:page;" fillcolor="#FFFFFF [3201]" filled="t" stroked="t" coordsize="21600,21600" arcsize="0.166666666666667" o:gfxdata="UEsDBAoAAAAAAIdO4kAAAAAAAAAAAAAAAAAEAAAAZHJzL1BLAwQUAAAACACHTuJAwC2yzdgAAAAM&#10;AQAADwAAAGRycy9kb3ducmV2LnhtbE2PPU/DMBCGdyT+g3VIbNROo9I0jdOhEhJIXWiRWN3YjSPs&#10;c7DdNvx7rhNs9+oevR/NZvKOXUxMQ0AJxUwAM9gFPWAv4ePw8lQBS1mhVi6gkfBjEmza+7tG1Tpc&#10;8d1c9rlnZIKpVhJszmPNeeqs8SrNwmiQfqcQvcokY891VFcy947PhXjmXg1ICVaNZmtN97U/ewkx&#10;T8VycvYbF/nVb9+63Scvd1I+PhRiDSybKf/BcKtP1aGlTsdwRp2YIy1Wy5JYCaWgDTdiXi1WwI50&#10;lVUFvG34/xHtL1BLAwQUAAAACACHTuJA99I8eYgCAAAMBQAADgAAAGRycy9lMm9Eb2MueG1srVRL&#10;bhQxEN0jcQfLe9LTo3xH6YlGGQ1CikhEQKw9bve0Jf+wPZ9wAA7AGikSG8QhOE4Ex+DZ3UkmIYss&#10;8MJd5SpX1Xuu6uOTjVZkJXyQ1lS03BlQIgy3tTSLin54P3t1SEmIzNRMWSMqeiUCPRm/fHG8diMx&#10;tK1VtfAEQUwYrV1F2xjdqCgCb4VmYcc6YWBsrNcsQvWLovZsjehaFcPBYL9YW187b7kIAafTzkj7&#10;iP45AW3TSC6mli+1MLGL6oViEZBCK12g41xt0wgez5smiEhURYE05h1JIM/TXoyP2WjhmWsl70tg&#10;zynhESbNpEHSu1BTFhlZevlPKC25t8E2cYdbXXRAMiNAUQ4ecXPZMicyFlAd3B3p4f+F5W9XF57I&#10;uqLDkhLDNF785tuXPz++/r7+efPrO8ExOFq7MILrpbvwvRYgJsCbxuv0BRSyybxe3fEqNpFwHJbl&#10;0cF+Cco5bPuHe4eDTHxxf9v5EF8Lq0kSKurt0tTv8HiZU7Y6CxFp4X/rlzIGq2Q9k0plxS/mp8qT&#10;FcNDz/JKdePKAzdlyBr1DA9QAeEM7dugbSBqBwqCWVDC1AJzwaPPuR/cDttJBnk9lSQVOWWh7YrJ&#10;EZIbG2kZMTpK6oqCAqz+tjKoNFHckZqkuJlveqbntr7CG3nbNW9wfCaR4YyFeME8uhVQMM/xHFuj&#10;LPDZXqKktf7zU+fJH00EKyVrdD+wf1oyLyhRbwza66jc3UXYmJXdvYMhFL9tmW9bzFKfWvCODkJ1&#10;WUz+Ud2Kjbf6I8Z+krLCxAxH7o7lXjmN3VTix8HFZJLdMCKOxTNz6XgKnig0drKMtpG5HxJRHTs9&#10;fxiS/Ob9QKcp3Naz1/1PbPw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C2yzdgAAAAMAQAADwAA&#10;AAAAAAABACAAAAAiAAAAZHJzL2Rvd25yZXYueG1sUEsBAhQAFAAAAAgAh07iQPfSPHmIAgAADAUA&#10;AA4AAAAAAAAAAQAgAAAAJwEAAGRycy9lMm9Eb2MueG1sUEsFBgAAAAAGAAYAWQEAACEGAAAAAA==&#10;">
                <v:fill on="t" focussize="0,0"/>
                <v:stroke weight="1pt" color="#000000 [3213]" miterlimit="8" joinstyle="miter"/>
                <v:imagedata o:title=""/>
                <o:lock v:ext="edit" aspectratio="f"/>
                <v:textbox>
                  <w:txbxContent>
                    <w:p>
                      <w:pPr>
                        <w:jc w:val="center"/>
                        <w:rPr>
                          <w:rFonts w:hint="default" w:ascii="Times New Roman" w:hAnsi="Times New Roman" w:eastAsia="仿宋" w:cs="Times New Roman"/>
                          <w:kern w:val="0"/>
                          <w:sz w:val="18"/>
                          <w:szCs w:val="18"/>
                          <w:vertAlign w:val="baseline"/>
                          <w:lang w:val="en-US" w:eastAsia="zh-CN"/>
                        </w:rPr>
                      </w:pPr>
                      <w:r>
                        <w:rPr>
                          <w:rFonts w:hint="eastAsia" w:ascii="Times New Roman" w:hAnsi="Times New Roman" w:eastAsia="仿宋" w:cs="Times New Roman"/>
                          <w:kern w:val="0"/>
                          <w:sz w:val="18"/>
                          <w:szCs w:val="18"/>
                        </w:rPr>
                        <w:t>余方</w:t>
                      </w:r>
                      <w:r>
                        <w:rPr>
                          <w:rFonts w:hint="eastAsia" w:ascii="Times New Roman" w:hAnsi="Times New Roman" w:eastAsia="仿宋" w:cs="Times New Roman"/>
                          <w:kern w:val="0"/>
                          <w:sz w:val="18"/>
                          <w:szCs w:val="18"/>
                          <w:lang w:val="en-US" w:eastAsia="zh-CN"/>
                        </w:rPr>
                        <w:t>0万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72576" behindDoc="0" locked="0" layoutInCell="1" allowOverlap="1">
                <wp:simplePos x="0" y="0"/>
                <wp:positionH relativeFrom="column">
                  <wp:posOffset>241935</wp:posOffset>
                </wp:positionH>
                <wp:positionV relativeFrom="paragraph">
                  <wp:posOffset>113030</wp:posOffset>
                </wp:positionV>
                <wp:extent cx="998855" cy="462915"/>
                <wp:effectExtent l="6350" t="4445" r="23495" b="8890"/>
                <wp:wrapNone/>
                <wp:docPr id="36" name="波形 36"/>
                <wp:cNvGraphicFramePr/>
                <a:graphic xmlns:a="http://schemas.openxmlformats.org/drawingml/2006/main">
                  <a:graphicData uri="http://schemas.microsoft.com/office/word/2010/wordprocessingShape">
                    <wps:wsp>
                      <wps:cNvSpPr/>
                      <wps:spPr>
                        <a:xfrm>
                          <a:off x="0" y="0"/>
                          <a:ext cx="998855" cy="462915"/>
                        </a:xfrm>
                        <a:prstGeom prst="wav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adjustRightInd w:val="0"/>
                              <w:snapToGri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项目组成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4" type="#_x0000_t64" style="position:absolute;left:0pt;margin-left:19.05pt;margin-top:8.9pt;height:36.45pt;width:78.65pt;z-index:251672576;v-text-anchor:middle;mso-width-relative:page;mso-height-relative:page;" fillcolor="#FFFFFF [3201]" filled="t" stroked="t" coordsize="21600,21600" o:gfxdata="UEsDBAoAAAAAAIdO4kAAAAAAAAAAAAAAAAAEAAAAZHJzL1BLAwQUAAAACACHTuJAXY10jNYAAAAI&#10;AQAADwAAAGRycy9kb3ducmV2LnhtbE2PzW7CMBCE75X6DtZW6q3YaUuBEAdVSDxA0wquJt7GAf9E&#10;tgnQp+9yao87M5r9plpdnGUjxtQHL6GYCGDo26B730n4+tw8zYGlrLxWNniUcMUEq/r+rlKlDmf/&#10;gWOTO0YlPpVKgsl5KDlPrUGn0iQM6Mn7DtGpTGfsuI7qTOXO8mch3rhTvacPRg24Ntgem5OTcFhv&#10;7PSn2Qlx2Lrt+7gz19gbKR8fCrEElvGS/8Jwwyd0qIlpH05eJ2YlvMwLSpI+owU3fzF9BbaXsBAz&#10;4HXF/w+ofwFQSwMEFAAAAAgAh07iQOcj8kl2AgAAAAUAAA4AAABkcnMvZTJvRG9jLnhtbK1US27b&#10;MBDdF+gdCO4b2a6d2ELkwIjhokDQGEiLrscUaRHgryRtOT1OrtB1j5Oeo0NKSZw0iyyqhTTDGb3h&#10;e5zh+cVBK7LnPkhrKjo8GVDCDbO1NNuKfvu6+jClJEQwNShreEVveaAX8/fvzltX8pFtrKq5Jwhi&#10;Qtm6ijYxurIoAmu4hnBiHTcYFNZriOj6bVF7aBFdq2I0GJwWrfW185bxEHB12QVpj+jfAmiFkIwv&#10;LdtpbmKH6rmCiJRCI12g87xbITiL10IEHomqKDKN+Y1F0N6kdzE/h3LrwTWS9VuAt2zhBScN0mDR&#10;R6glRCA7L/+B0pJ5G6yIJ8zqoiOSFUEWw8ELbW4acDxzQamDexQ9/D9Y9mW/9kTWFf14SokBjSf+&#10;59fd/e87gguoTutCiUk3bu17L6CZqB6E1+mLJMghK3r7qCg/RMJwcTabTicTShiGxqej2XCSMIun&#10;n50P8RO3miSjoi3sE2EoYX8VYpf6kJKWg1WyXkmlsuO3m0vlyR7wcFf56dGfpSlDWmz00dkAD50B&#10;tqzAVkFTO6QdzJYSUFucBRZ9rv3s73BcZJCf14qkTS4hNN1mMkJKg1LLiOOipK7o9PhvZVCHJG4n&#10;Z7LiYXPoNd7Y+hbPxduuYYNjK4kVriDENXjsUKSCMxyv8SWURX62tyhprP/52nrKx8bBKCUtdjxy&#10;/7EDzylRnw221Gw4HqcRyc54cjZCxx9HNscRs9OXFnUf4m3hWDZTflQPpvBWf8dRX6SqGALDsHan&#10;cu9cxm4S8bJgfLHIaTgWDuKVuXEsgScJjV3sohUy90MSqlOn1w8HI3dUP8Rp8o79nPV0cc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F2NdIzWAAAACAEAAA8AAAAAAAAAAQAgAAAAIgAAAGRycy9k&#10;b3ducmV2LnhtbFBLAQIUABQAAAAIAIdO4kDnI/JJdgIAAAAFAAAOAAAAAAAAAAEAIAAAACUBAABk&#10;cnMvZTJvRG9jLnhtbFBLBQYAAAAABgAGAFkBAAANBgAAAAA=&#10;" adj="2700,10800">
                <v:fill on="t" focussize="0,0"/>
                <v:stroke weight="1pt" color="#000000 [3213]" miterlimit="8" joinstyle="miter"/>
                <v:imagedata o:title=""/>
                <o:lock v:ext="edit" aspectratio="f"/>
                <v:textbox>
                  <w:txbxContent>
                    <w:p>
                      <w:pPr>
                        <w:adjustRightInd w:val="0"/>
                        <w:snapToGrid w:val="0"/>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项目组成</w:t>
                      </w:r>
                    </w:p>
                  </w:txbxContent>
                </v:textbox>
              </v:shape>
            </w:pict>
          </mc:Fallback>
        </mc:AlternateContent>
      </w:r>
      <w:r>
        <w:rPr>
          <w:rFonts w:ascii="Times New Roman" w:hAnsi="Times New Roman" w:cs="Times New Roman"/>
          <w:color w:val="auto"/>
          <w:sz w:val="24"/>
        </w:rPr>
        <mc:AlternateContent>
          <mc:Choice Requires="wps">
            <w:drawing>
              <wp:anchor distT="0" distB="0" distL="114300" distR="114300" simplePos="0" relativeHeight="251674624" behindDoc="0" locked="0" layoutInCell="1" allowOverlap="1">
                <wp:simplePos x="0" y="0"/>
                <wp:positionH relativeFrom="column">
                  <wp:posOffset>4890770</wp:posOffset>
                </wp:positionH>
                <wp:positionV relativeFrom="paragraph">
                  <wp:posOffset>157480</wp:posOffset>
                </wp:positionV>
                <wp:extent cx="1373505" cy="511175"/>
                <wp:effectExtent l="6350" t="6350" r="10795" b="15875"/>
                <wp:wrapNone/>
                <wp:docPr id="16" name="圆角矩形 16"/>
                <wp:cNvGraphicFramePr/>
                <a:graphic xmlns:a="http://schemas.openxmlformats.org/drawingml/2006/main">
                  <a:graphicData uri="http://schemas.microsoft.com/office/word/2010/wordprocessingShape">
                    <wps:wsp>
                      <wps:cNvSpPr/>
                      <wps:spPr>
                        <a:xfrm>
                          <a:off x="0" y="0"/>
                          <a:ext cx="1373505" cy="5111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总回填利用</w:t>
                            </w:r>
                            <w:r>
                              <w:rPr>
                                <w:rFonts w:hint="eastAsia" w:ascii="Times New Roman" w:hAnsi="Times New Roman" w:eastAsia="仿宋" w:cs="Times New Roman"/>
                                <w:kern w:val="0"/>
                                <w:sz w:val="18"/>
                                <w:szCs w:val="18"/>
                                <w:lang w:val="en-US" w:eastAsia="zh-CN"/>
                              </w:rPr>
                              <w:t>2.13万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w:t>
                            </w:r>
                            <w:r>
                              <w:rPr>
                                <w:rFonts w:hint="eastAsia" w:ascii="Times New Roman" w:hAnsi="Times New Roman" w:eastAsia="仿宋" w:cs="Times New Roman"/>
                                <w:kern w:val="0"/>
                                <w:sz w:val="18"/>
                                <w:szCs w:val="18"/>
                                <w:lang w:val="en-US" w:eastAsia="zh-CN"/>
                              </w:rPr>
                              <w:t>0.54万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p>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5.1pt;margin-top:12.4pt;height:40.25pt;width:108.15pt;z-index:251674624;v-text-anchor:middle;mso-width-relative:page;mso-height-relative:page;" fillcolor="#FFFFFF [3201]" filled="t" stroked="t" coordsize="21600,21600" arcsize="0.166666666666667" o:gfxdata="UEsDBAoAAAAAAIdO4kAAAAAAAAAAAAAAAAAEAAAAZHJzL1BLAwQUAAAACACHTuJAu8iPiNgAAAAK&#10;AQAADwAAAGRycy9kb3ducmV2LnhtbE2PwU7DMBBE70j8g7VI3KidlDQlxOmhEhJIvVCQuLqxiSPs&#10;dbDdNvw9y4keV/s086bdzN6xk4lpDCihWAhgBvugRxwkvL893a2BpaxQKxfQSPgxCTbd9VWrGh3O&#10;+GpO+zwwCsHUKAk256nhPPXWeJUWYTJIv88Qvcp0xoHrqM4U7h0vhVhxr0akBqsms7Wm/9ofvYSY&#10;56Kenf3GKj/77Uu/++DLnZS3N4V4BJbNnP9h+NMndejI6RCOqBNzEupalIRKKO9pAgEP61UF7ECk&#10;qJbAu5ZfTuh+AVBLAwQUAAAACACHTuJA/KR1bYcCAAAMBQAADgAAAGRycy9lMm9Eb2MueG1srVTN&#10;bhMxEL4j8Q6W73R306QpUTdVlCgIqaIVBXF2vN6sJf8xdrIpD8ADcEZC4oJ4CB6ngsdg7N22aemh&#10;B/bgnfGM5+fzNz453WlFtgK8tKakxUFOiTDcVtKsS/r+3fLFMSU+MFMxZY0o6ZXw9HT6/NlJ6yZi&#10;YBurKgEEgxg/aV1JmxDcJMs8b4Rm/sA6YdBYW9AsoArrrALWYnStskGeH2WthcqB5cJ73F10RtpH&#10;hKcEtHUtuVhYvtHChC4qCMUCtuQb6TydpmrrWvBwXtdeBKJKip2GtGISlFdxzaYnbLIG5hrJ+xLY&#10;U0p40JNm0mDS21ALFhjZgPwnlJYcrLd1OOBWZ10jCRHsosgfYHPZMCdSLwi1d7eg+/8Xlr/ZXgCR&#10;FTLhiBLDNN749dfPf358+f3t5/Wv7wS3EaPW+Qm6XroL6DWPYmx4V4OOf2yF7BKuV7e4il0gHDeL&#10;w/HhKB9RwtE2KopiPIpBs7vTDnx4JawmUSgp2I2p3uLlJUzZ9syHzv/GL2b0VslqKZVKCqxXcwVk&#10;y/Cil+nrU9xzU4a0WM9gnCMBOEP61kgbFLVDCLxZU8LUGueCB0i57532+0ny9D2WJBa5YL7pikkR&#10;ohubaBlwdJTUJT3eP60MghEh7kCNUtitdj3SK1td4R2B7cjrHV9KzHDGfLhggGzFVnCewzkutbLY&#10;n+0lShoLnx7bj/5IIrRS0iL7sfePGwaCEvXaIL1eFsNhHJekDEfjASqwb1ntW8xGzy3iXuDL4XgS&#10;o39QN2INVn/AsZ/FrGhihmPuDuVemYduKvHh4GI2S244Io6FM3PpeAweITR2tgm2lokPEagOnR4/&#10;HJJEq36g4xTu68nr7hGb/g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7yI+I2AAAAAoBAAAPAAAA&#10;AAAAAAEAIAAAACIAAABkcnMvZG93bnJldi54bWxQSwECFAAUAAAACACHTuJA/KR1bYcCAAAMBQAA&#10;DgAAAAAAAAABACAAAAAnAQAAZHJzL2Uyb0RvYy54bWxQSwUGAAAAAAYABgBZAQAAIAY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总回填利用</w:t>
                      </w:r>
                      <w:r>
                        <w:rPr>
                          <w:rFonts w:hint="eastAsia" w:ascii="Times New Roman" w:hAnsi="Times New Roman" w:eastAsia="仿宋" w:cs="Times New Roman"/>
                          <w:kern w:val="0"/>
                          <w:sz w:val="18"/>
                          <w:szCs w:val="18"/>
                          <w:lang w:val="en-US" w:eastAsia="zh-CN"/>
                        </w:rPr>
                        <w:t>2.13万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w:t>
                      </w:r>
                      <w:r>
                        <w:rPr>
                          <w:rFonts w:hint="eastAsia" w:ascii="Times New Roman" w:hAnsi="Times New Roman" w:eastAsia="仿宋" w:cs="Times New Roman"/>
                          <w:kern w:val="0"/>
                          <w:sz w:val="18"/>
                          <w:szCs w:val="18"/>
                          <w:lang w:val="en-US" w:eastAsia="zh-CN"/>
                        </w:rPr>
                        <w:t>0.54万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p>
                      <w:pPr>
                        <w:jc w:val="center"/>
                        <w:rPr>
                          <w:rFonts w:ascii="Times New Roman" w:hAnsi="Times New Roman"/>
                        </w:rPr>
                      </w:pP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2323465</wp:posOffset>
                </wp:positionH>
                <wp:positionV relativeFrom="paragraph">
                  <wp:posOffset>128270</wp:posOffset>
                </wp:positionV>
                <wp:extent cx="1278890" cy="502920"/>
                <wp:effectExtent l="6350" t="6350" r="10160" b="24130"/>
                <wp:wrapNone/>
                <wp:docPr id="11" name="圆角矩形 11"/>
                <wp:cNvGraphicFramePr/>
                <a:graphic xmlns:a="http://schemas.openxmlformats.org/drawingml/2006/main">
                  <a:graphicData uri="http://schemas.microsoft.com/office/word/2010/wordprocessingShape">
                    <wps:wsp>
                      <wps:cNvSpPr/>
                      <wps:spPr>
                        <a:xfrm>
                          <a:off x="0" y="0"/>
                          <a:ext cx="1278890" cy="5029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w:t>
                            </w:r>
                            <w:r>
                              <w:rPr>
                                <w:rFonts w:ascii="Times New Roman" w:hAnsi="Times New Roman" w:eastAsia="仿宋" w:cs="Times New Roman"/>
                                <w:kern w:val="0"/>
                                <w:sz w:val="18"/>
                                <w:szCs w:val="18"/>
                              </w:rPr>
                              <w:t>挖方</w:t>
                            </w:r>
                            <w:r>
                              <w:rPr>
                                <w:rFonts w:hint="eastAsia" w:ascii="Times New Roman" w:hAnsi="Times New Roman" w:eastAsia="仿宋" w:cs="Times New Roman"/>
                                <w:kern w:val="0"/>
                                <w:sz w:val="18"/>
                                <w:szCs w:val="18"/>
                                <w:lang w:val="en-US" w:eastAsia="zh-CN"/>
                              </w:rPr>
                              <w:t>2.13万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0.54万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2.95pt;margin-top:10.1pt;height:39.6pt;width:100.7pt;z-index:251673600;v-text-anchor:middle;mso-width-relative:page;mso-height-relative:page;" fillcolor="#FFFFFF [3201]" filled="t" stroked="t" coordsize="21600,21600" arcsize="0.166666666666667" o:gfxdata="UEsDBAoAAAAAAIdO4kAAAAAAAAAAAAAAAAAEAAAAZHJzL1BLAwQUAAAACACHTuJAg8CDntgAAAAJ&#10;AQAADwAAAGRycy9kb3ducmV2LnhtbE2PwU7DMBBE70j8g7VI3KidhKQkZNNDJSSQeqEgcXVjE0fY&#10;6xC7bfh7zIkeV/M087bdLM6yk57D6AkhWwlgmnqvRhoQ3t+e7h6AhShJSetJI/zoAJvu+qqVjfJn&#10;etWnfRxYKqHQSAQT49RwHnqjnQwrP2lK2aefnYzpnAeuZnlO5c7yXIiKOzlSWjBy0luj+6/90SHM&#10;ccnWizXfVMZnt33pdx+82CHe3mTiEVjUS/yH4U8/qUOXnA7+SCowi1BUZZ1QhFzkwBJQVusC2AGh&#10;ru+Bdy2//KD7BVBLAwQUAAAACACHTuJAQwih+4YCAAAMBQAADgAAAGRycy9lMm9Eb2MueG1srVTN&#10;btQwEL4j8Q6W7zTZVUu3q2arVVeLkCpaURBnr+NsLPkP2/tTHoAH4IyExAXxEDxOBY/BZydtt6WH&#10;HsghmfGMZ+b7ZibHJ1utyFr4IK2p6GCvpEQYbmtplhV9/27+YkRJiMzUTFkjKnolAj2ZPH92vHFj&#10;MbStVbXwBEFMGG9cRdsY3bgoAm+FZmHPOmFgbKzXLEL1y6L2bIPoWhXDsnxZbKyvnbdchIDTWWek&#10;fUT/lIC2aSQXM8tXWpjYRfVCsQhIoZUu0EmutmkEj+dNE0QkqqJAGvMbSSAv0ruYHLPx0jPXSt6X&#10;wJ5SwgNMmkmDpLehZiwysvLyn1Bacm+DbeIet7rogGRGgGJQPuDmsmVOZCygOrhb0sP/C8vfrC88&#10;kTUmYUCJYRodv/76+c+PL7+//bz+9Z3gGBxtXBjD9dJd+F4LEBPgbeN1+gIK2WZer255FdtIOA4H&#10;w8PR6AiUc9gOyuHRMBNf3N12PsRXwmqShIp6uzL1WzQvc8rWZyEiLfxv/FLGYJWs51KprPjl4lR5&#10;smZo9Dw/qW5cueemDNnkespUDcP4NhgbiNqBgmCWlDC1xF7w6HPue7fDbpIyP48lSUXOWGi7YnKE&#10;5MbGWkasjpK6oqPd28qg0kRxR2qS4nax7Zle2PoKPfK2G97g+FwiwxkL8YJ5TCugYJ/jOV6NssBn&#10;e4mS1vpPj50nfwwRrJRsMP3A/nHFvKBEvTYYr6PB/j7CxqzsHxyiYcTvWha7FrPSpxa8Y4JQXRaT&#10;f1Q3YuOt/oC1n6asMDHDkbtjuVdOY7eV+HFwMZ1mN6yIY/HMXDqegicKjZ2uom1knodEVMdOzx+W&#10;JPe8X+i0hbt69rr7iU3+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PAg57YAAAACQEAAA8AAAAA&#10;AAAAAQAgAAAAIgAAAGRycy9kb3ducmV2LnhtbFBLAQIUABQAAAAIAIdO4kBDCKH7hgIAAAwFAAAO&#10;AAAAAAAAAAEAIAAAACcBAABkcnMvZTJvRG9jLnhtbFBLBQYAAAAABgAGAFkBAAAfBg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w:t>
                      </w:r>
                      <w:r>
                        <w:rPr>
                          <w:rFonts w:ascii="Times New Roman" w:hAnsi="Times New Roman" w:eastAsia="仿宋" w:cs="Times New Roman"/>
                          <w:kern w:val="0"/>
                          <w:sz w:val="18"/>
                          <w:szCs w:val="18"/>
                        </w:rPr>
                        <w:t>挖方</w:t>
                      </w:r>
                      <w:r>
                        <w:rPr>
                          <w:rFonts w:hint="eastAsia" w:ascii="Times New Roman" w:hAnsi="Times New Roman" w:eastAsia="仿宋" w:cs="Times New Roman"/>
                          <w:kern w:val="0"/>
                          <w:sz w:val="18"/>
                          <w:szCs w:val="18"/>
                          <w:lang w:val="en-US" w:eastAsia="zh-CN"/>
                        </w:rPr>
                        <w:t>2.13万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0.54万</w:t>
                      </w:r>
                      <w:r>
                        <w:rPr>
                          <w:rFonts w:hint="eastAsia" w:ascii="Times New Roman" w:hAnsi="Times New Roman" w:eastAsia="仿宋" w:cs="Times New Roman"/>
                          <w:kern w:val="0"/>
                          <w:sz w:val="18"/>
                          <w:szCs w:val="18"/>
                        </w:rPr>
                        <w:t>m</w:t>
                      </w:r>
                      <w:r>
                        <w:rPr>
                          <w:rFonts w:hint="eastAsia" w:ascii="Times New Roman" w:hAnsi="Times New Roman" w:eastAsia="仿宋" w:cs="Times New Roman"/>
                          <w:kern w:val="0"/>
                          <w:sz w:val="18"/>
                          <w:szCs w:val="18"/>
                          <w:vertAlign w:val="superscript"/>
                        </w:rPr>
                        <w:t>3</w:t>
                      </w:r>
                    </w:p>
                  </w:txbxContent>
                </v:textbox>
              </v:roundrect>
            </w:pict>
          </mc:Fallback>
        </mc:AlternateContent>
      </w:r>
    </w:p>
    <w:p>
      <w:pPr>
        <w:spacing w:line="360" w:lineRule="auto"/>
        <w:rPr>
          <w:rFonts w:ascii="Times New Roman" w:hAnsi="Times New Roman" w:eastAsia="仿宋_GB2312" w:cs="Times New Roman"/>
          <w:color w:val="auto"/>
          <w:sz w:val="24"/>
          <w:szCs w:val="24"/>
        </w:rPr>
      </w:pPr>
      <w:r>
        <w:rPr>
          <w:rFonts w:ascii="Times New Roman" w:hAnsi="Times New Roman" w:cs="Times New Roman"/>
          <w:color w:val="auto"/>
          <w:sz w:val="24"/>
        </w:rPr>
        <mc:AlternateContent>
          <mc:Choice Requires="wps">
            <w:drawing>
              <wp:anchor distT="0" distB="0" distL="114300" distR="114300" simplePos="0" relativeHeight="251676672" behindDoc="0" locked="0" layoutInCell="1" allowOverlap="1">
                <wp:simplePos x="0" y="0"/>
                <wp:positionH relativeFrom="column">
                  <wp:posOffset>3566795</wp:posOffset>
                </wp:positionH>
                <wp:positionV relativeFrom="paragraph">
                  <wp:posOffset>90170</wp:posOffset>
                </wp:positionV>
                <wp:extent cx="1261110" cy="1905"/>
                <wp:effectExtent l="0" t="50800" r="3810" b="53975"/>
                <wp:wrapNone/>
                <wp:docPr id="12" name="直接箭头连接符 12"/>
                <wp:cNvGraphicFramePr/>
                <a:graphic xmlns:a="http://schemas.openxmlformats.org/drawingml/2006/main">
                  <a:graphicData uri="http://schemas.microsoft.com/office/word/2010/wordprocessingShape">
                    <wps:wsp>
                      <wps:cNvCnPr/>
                      <wps:spPr>
                        <a:xfrm flipV="1">
                          <a:off x="0" y="0"/>
                          <a:ext cx="1261110" cy="19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280.85pt;margin-top:7.1pt;height:0.15pt;width:99.3pt;z-index:251676672;mso-width-relative:page;mso-height-relative:page;" filled="f" stroked="t" coordsize="21600,21600" o:gfxdata="UEsDBAoAAAAAAIdO4kAAAAAAAAAAAAAAAAAEAAAAZHJzL1BLAwQUAAAACACHTuJAmZmQBNoAAAAJ&#10;AQAADwAAAGRycy9kb3ducmV2LnhtbE2PwUrEMBCG74LvEEbw5iatbldq00UqwuKuiKsg3rJNbIvN&#10;pCRpt769syc9zvwf/3xTrGfbs8n40DmUkCwEMIO10x02Et7fHq9ugYWoUKveoZHwYwKsy/OzQuXa&#10;HfHVTPvYMCrBkCsJbYxDznmoW2NVWLjBIGVfzlsVafQN114dqdz2PBUi41Z1SBdaNZiqNfX3frQS&#10;Nn26e9ruqo+HpNqMz1v/8nk/T1JeXiTiDlg0c/yD4aRP6lCS08GNqAPrJSyzZEUoBTcpMAJWmbgG&#10;djgtlsDLgv//oPwFUEsDBBQAAAAIAIdO4kC9fu7HFgIAAAAEAAAOAAAAZHJzL2Uyb0RvYy54bWyt&#10;U72O1DAQ7pF4B8s9m2QljiPa7BW7HA2Ck/jpZx0nseQ/jX2b3ZfgBZCogAquup6ngeMxGDvLAkdz&#10;BSmiscffN/N9Hi/OdkazrcSgnG14NSs5k1a4Vtm+4a9fnT845SxEsC1oZ2XD9zLws+X9e4vR13Lu&#10;BqdbiYxIbKhH3/AhRl8XRRCDNBBmzktLyc6hgUhL7IsWYSR2o4t5WZ4Uo8PWoxMyBNpdT0l+YMS7&#10;ELquU0Kunbg00saJFaWGSJLCoHzgy9xt10kRX3RdkJHphpPSmP9UhOJN+hfLBdQ9gh+UOLQAd2nh&#10;liYDylLRI9UaIrBLVP9QGSXQBdfFmXCmmIRkR0hFVd7y5uUAXmYtZHXwR9PD/6MVz7cXyFRLkzDn&#10;zIKhG795d/397cebqy/fPlz/+Po+xZ8/McqTWaMPNWFW9gIPq+AvMCnfdWhYp5V/Q1zZC1LHdtnq&#10;/dFquYtM0GY1P6mqim5BUK56XD5M5MXEktg8hvhUOsNS0PAQEVQ/xJWzlu7U4VQBts9CnIC/AAls&#10;3bnSmvah1paNqdqjMtUCmteO5oRC40lzsD1noHt6CCJibjo4rdoET+iA/WalkW0hjU/+Dn3+dSzV&#10;XkMYpnM5lY5BbVSkt6KVafjpEQ11BKWf2JbFvSe7AdGNPLVpZMuZltRNiiZd2pIvyfXJ5xRtXLvP&#10;9ud9Gozs3GGI0+T9uc7o3w93+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mZAE2gAAAAkBAAAP&#10;AAAAAAAAAAEAIAAAACIAAABkcnMvZG93bnJldi54bWxQSwECFAAUAAAACACHTuJAvX7uxxYCAAAA&#10;BAAADgAAAAAAAAABACAAAAApAQAAZHJzL2Uyb0RvYy54bWxQSwUGAAAAAAYABgBZAQAAsQUAAAAA&#10;">
                <v:fill on="f" focussize="0,0"/>
                <v:stroke weight="1pt" color="#000000 [3200]" miterlimit="8" joinstyle="miter" endarrow="open"/>
                <v:imagedata o:title=""/>
                <o:lock v:ext="edit" aspectratio="f"/>
              </v:shape>
            </w:pict>
          </mc:Fallback>
        </mc:AlternateContent>
      </w:r>
      <w:r>
        <w:rPr>
          <w:rFonts w:ascii="Times New Roman" w:hAnsi="Times New Roman" w:cs="Times New Roman"/>
          <w:color w:val="auto"/>
          <w:sz w:val="24"/>
        </w:rPr>
        <mc:AlternateContent>
          <mc:Choice Requires="wps">
            <w:drawing>
              <wp:anchor distT="0" distB="0" distL="114300" distR="114300" simplePos="0" relativeHeight="251675648" behindDoc="0" locked="0" layoutInCell="1" allowOverlap="1">
                <wp:simplePos x="0" y="0"/>
                <wp:positionH relativeFrom="column">
                  <wp:posOffset>1266825</wp:posOffset>
                </wp:positionH>
                <wp:positionV relativeFrom="paragraph">
                  <wp:posOffset>66675</wp:posOffset>
                </wp:positionV>
                <wp:extent cx="1016635" cy="19050"/>
                <wp:effectExtent l="0" t="6350" r="12065" b="12700"/>
                <wp:wrapNone/>
                <wp:docPr id="14" name="直接连接符 14"/>
                <wp:cNvGraphicFramePr/>
                <a:graphic xmlns:a="http://schemas.openxmlformats.org/drawingml/2006/main">
                  <a:graphicData uri="http://schemas.microsoft.com/office/word/2010/wordprocessingShape">
                    <wps:wsp>
                      <wps:cNvCnPr/>
                      <wps:spPr>
                        <a:xfrm>
                          <a:off x="0" y="0"/>
                          <a:ext cx="101663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99.75pt;margin-top:5.25pt;height:1.5pt;width:80.05pt;z-index:251675648;mso-width-relative:page;mso-height-relative:page;" filled="f" stroked="t" coordsize="21600,21600" o:gfxdata="UEsDBAoAAAAAAIdO4kAAAAAAAAAAAAAAAAAEAAAAZHJzL1BLAwQUAAAACACHTuJAlMRb3tgAAAAJ&#10;AQAADwAAAGRycy9kb3ducmV2LnhtbE2PQU/DMAyF70j8h8hI3FgySjdamk4INHHgtDENjllj2mqN&#10;UzVZV/j1mBOc7Gc/PX8uVpPrxIhDaD1pmM8UCKTK25ZqDbu39c09iBANWdN5Qg1fGGBVXl4UJrf+&#10;TBsct7EWHEIhNxqaGPtcylA16EyY+R6Jd59+cCayHGppB3PmcNfJW6UW0pmW+EJjenxqsDpuT07D&#10;/nF5TKaX57t13Ow+Bj8mr/j9rvX11Vw9gIg4xT8z/OIzOpTMdPAnskF0rLMsZSs3iisbkjRbgDjw&#10;IElBloX8/0H5A1BLAwQUAAAACACHTuJAxNMsEOkBAAC4AwAADgAAAGRycy9lMm9Eb2MueG1srVPN&#10;jtMwEL4j8Q6W7zRJYcsSNd3DVssFQSXgAVzHSSz5TzPepn0JXgCJG5w4cudtdnkMxk7pLstlD+Tg&#10;jOfnG3+fx8uLvTVspwC1dw2vZiVnyknfatc3/OOHq2fnnGEUrhXGO9Xwg0J+sXr6ZDmGWs394E2r&#10;gBGIw3oMDR9iDHVRoByUFTjzQTkKdh6siLSFvmhBjIRuTTEvy0UxemgDeKkQybuegvyICI8B9F2n&#10;pVp7eW2VixMqKCMiUcJBB+SrfNquUzK+6zpUkZmGE9OYV2pC9jatxWop6h5EGLQ8HkE85ggPOFmh&#10;HTU9Qa1FFOwa9D9QVkvw6Ls4k94WE5GsCLGoygfavB9EUJkLSY3hJDr+P1j5drcBpluahBecOWHp&#10;xm8//7j59PXXzy+03n7/xihCMo0Ba8q+dBs47jBsIHHed2DTn9iwfZb2cJJW7SOT5KzKarF4fsaZ&#10;pFj1qjzL0hd3xQEwvlbesmQ03GiXmIta7N5gpIaU+icluZ2/0sbk2zOOjYQ5f1nSpUpBI9nRKJBp&#10;A9FC13MmTE+zLiNkSPRGt6k8ASH020sDbCfShOQvsaV2f6Wl3muBw5SXQ9PsWB3pORhtG35+v9o4&#10;AkmaTSola+vbQxYv++lCc5vj8KWJub/P1XcPb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MRb&#10;3tgAAAAJAQAADwAAAAAAAAABACAAAAAiAAAAZHJzL2Rvd25yZXYueG1sUEsBAhQAFAAAAAgAh07i&#10;QMTTLBDpAQAAuAMAAA4AAAAAAAAAAQAgAAAAJwEAAGRycy9lMm9Eb2MueG1sUEsFBgAAAAAGAAYA&#10;WQEAAIIFAAAAAA==&#10;">
                <v:fill on="f" focussize="0,0"/>
                <v:stroke weight="1pt" color="#000000 [3200]" miterlimit="8" joinstyle="miter"/>
                <v:imagedata o:title=""/>
                <o:lock v:ext="edit" aspectratio="f"/>
              </v:line>
            </w:pict>
          </mc:Fallback>
        </mc:AlternateContent>
      </w:r>
    </w:p>
    <w:p>
      <w:pPr>
        <w:spacing w:line="360" w:lineRule="auto"/>
        <w:rPr>
          <w:rFonts w:ascii="Times New Roman" w:hAnsi="Times New Roman" w:eastAsia="仿宋_GB2312" w:cs="Times New Roman"/>
          <w:color w:val="auto"/>
          <w:sz w:val="24"/>
          <w:szCs w:val="24"/>
        </w:rPr>
      </w:pPr>
    </w:p>
    <w:p>
      <w:pPr>
        <w:spacing w:line="360" w:lineRule="auto"/>
        <w:rPr>
          <w:rFonts w:ascii="Times New Roman" w:hAnsi="Times New Roman" w:eastAsia="仿宋_GB2312" w:cs="Times New Roman"/>
          <w:color w:val="auto"/>
          <w:sz w:val="24"/>
          <w:szCs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6157595</wp:posOffset>
                </wp:positionH>
                <wp:positionV relativeFrom="paragraph">
                  <wp:posOffset>124460</wp:posOffset>
                </wp:positionV>
                <wp:extent cx="1962150" cy="9525"/>
                <wp:effectExtent l="0" t="0" r="0" b="0"/>
                <wp:wrapNone/>
                <wp:docPr id="66" name="直接连接符 66"/>
                <wp:cNvGraphicFramePr/>
                <a:graphic xmlns:a="http://schemas.openxmlformats.org/drawingml/2006/main">
                  <a:graphicData uri="http://schemas.microsoft.com/office/word/2010/wordprocessingShape">
                    <wps:wsp>
                      <wps:cNvCnPr/>
                      <wps:spPr>
                        <a:xfrm flipV="1">
                          <a:off x="7071995" y="2427605"/>
                          <a:ext cx="19621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84.85pt;margin-top:9.8pt;height:0.75pt;width:154.5pt;z-index:251710464;mso-width-relative:page;mso-height-relative:page;" filled="f" stroked="t" coordsize="21600,21600" o:gfxdata="UEsDBAoAAAAAAIdO4kAAAAAAAAAAAAAAAAAEAAAAZHJzL1BLAwQUAAAACACHTuJACbGf9dcAAAAK&#10;AQAADwAAAGRycy9kb3ducmV2LnhtbE2PwU7DMAyG70i8Q2QkbixtQd3SNZ0YEnBDYmP3rPHaao1T&#10;mnQbb493gqP9f/r9uVxdXC9OOIbOk4Z0loBAqr3tqNHwtX19WIAI0ZA1vSfU8IMBVtXtTWkK68/0&#10;iadNbASXUCiMhjbGoZAy1C06E2Z+QOLs4EdnIo9jI+1ozlzuepklSS6d6YgvtGbAlxbr42ZyGtZb&#10;9fhmd9P78UM94fNapWH63ml9f5cmSxARL/EPhqs+q0PFTns/kQ2i16ByNWeUA5WDuALZfMGbvYYs&#10;TUFWpfz/QvULUEsDBBQAAAAIAIdO4kDGqjO5/QEAAMwDAAAOAAAAZHJzL2Uyb0RvYy54bWytU81u&#10;EzEQviPxDpbvZDcLSZpVNj00KhcEkYDeHa+9a8l/8rjZ5CV4ASRucOLIvW9DeYyOvaGUcumBPVi2&#10;5/M3830zuzo/GE32IoBytqHTSUmJsNy1ynYN/fjh8sUZJRCZbZl2VjT0KICer58/Ww2+FpXrnW5F&#10;IEhioR58Q/sYfV0UwHthGEycFxaD0gXDIh5DV7SBDchudFGV5bwYXGh9cFwA4O1mDNITY3gKoZNS&#10;cbFx/NoIG0fWIDSLKAl65YGuc7VSCh7fSQkiEt1QVBrziklwv0trsV6xugvM94qfSmBPKeGRJsOU&#10;xaT3VBsWGbkO6h8qo3hw4GSccGeKUUh2BFVMy0fevO+ZF1kLWg3+3nT4f7T87X4biGobOp9TYpnB&#10;jt9+/vHz09dfN19wvf3+jWAEbRo81Ii+sNtwOoHfhqT5IIMhUit/hfOUXUBd5NDQRbmYLpczSo4N&#10;rV5Vi3k5Gw0Xh0g4AqbLeTWdYS84IpazKoeLkTEx+wDxtXCGpE1DtbLJDlaz/RuIWAVCf0PStXWX&#10;SuvcUm3JgJpeZnKGYypxPDCP8SgVbEcJ0x3OP48hM4LTqk2vEw+EbnehA9mzNDX5S3Vjtr9gKfWG&#10;QT/icmiUZ1TEX0Qr09Czh6+1RZLk4+hc2u1ce8yG5ntsck5zGsg0RQ/P+fWfn3B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mxn/XXAAAACgEAAA8AAAAAAAAAAQAgAAAAIgAAAGRycy9kb3ducmV2&#10;LnhtbFBLAQIUABQAAAAIAIdO4kDGqjO5/QEAAMwDAAAOAAAAAAAAAAEAIAAAACYBAABkcnMvZTJv&#10;RG9jLnhtbFBLBQYAAAAABgAGAFkBAACVBQAAAAA=&#10;">
                <v:fill on="f" focussize="0,0"/>
                <v:stroke weight="0.5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93056" behindDoc="0" locked="0" layoutInCell="1" allowOverlap="1">
                <wp:simplePos x="0" y="0"/>
                <wp:positionH relativeFrom="column">
                  <wp:posOffset>6257925</wp:posOffset>
                </wp:positionH>
                <wp:positionV relativeFrom="paragraph">
                  <wp:posOffset>165100</wp:posOffset>
                </wp:positionV>
                <wp:extent cx="831215" cy="539115"/>
                <wp:effectExtent l="6350" t="6350" r="15875" b="18415"/>
                <wp:wrapNone/>
                <wp:docPr id="52" name="圆角矩形 52"/>
                <wp:cNvGraphicFramePr/>
                <a:graphic xmlns:a="http://schemas.openxmlformats.org/drawingml/2006/main">
                  <a:graphicData uri="http://schemas.microsoft.com/office/word/2010/wordprocessingShape">
                    <wps:wsp>
                      <wps:cNvSpPr/>
                      <wps:spPr>
                        <a:xfrm>
                          <a:off x="0" y="0"/>
                          <a:ext cx="831215" cy="5391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一般土石方0.29</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92.75pt;margin-top:13pt;height:42.45pt;width:65.45pt;z-index:251693056;v-text-anchor:middle;mso-width-relative:page;mso-height-relative:page;" fillcolor="#FFFFFF [3201]" filled="t" stroked="t" coordsize="21600,21600" arcsize="0.166666666666667" o:gfxdata="UEsDBAoAAAAAAIdO4kAAAAAAAAAAAAAAAAAEAAAAZHJzL1BLAwQUAAAACACHTuJAqU72adgAAAAL&#10;AQAADwAAAGRycy9kb3ducmV2LnhtbE2PwU7DMAyG70i8Q2QkbizpoGUrTXeYhATSLgwkrlljmorE&#10;KUm2lbcnPbGbLX/6/f3NZnKWnTDEwZOEYiGAIXVeD9RL+Hh/vlsBi0mRVtYTSvjFCJv2+qpRtfZn&#10;esPTPvUsh1CslQST0lhzHjuDTsWFH5Hy7csHp1JeQ891UOcc7ixfClFxpwbKH4wacWuw+94fnYSQ&#10;puJxsuaHyvTitq/d7pPf76S8vSnEE7CEU/qHYdbP6tBmp4M/ko7MSlivyjKjEpZV7jQDRVE9ADvM&#10;k1gDbxt+2aH9A1BLAwQUAAAACACHTuJA4voDc4UCAAALBQAADgAAAGRycy9lMm9Eb2MueG1srVTN&#10;bhMxEL4j8Q6W73STtKFt1E0VNQpCqmhEQZwdrzdryX/Yzk95AB6AMxISF8RD8DgVPAafvds2LT30&#10;wB68M57xNzOfZ3xyutWKrIUP0pqS9vd6lAjDbSXNsqTv381eHFESIjMVU9aIkl6JQE/Hz5+dbNxI&#10;DGxjVSU8AYgJo40raROjGxVF4I3QLOxZJwyMtfWaRah+WVSebYCuVTHo9V4WG+sr5y0XIWB32hpp&#10;h+ifAmjrWnIxtXylhYktqheKRZQUGukCHeds61rweFHXQUSiSopKY14RBPIircX4hI2WnrlG8i4F&#10;9pQUHtSkmTQIegs1ZZGRlZf/QGnJvQ22jnvc6qItJDOCKvq9B9xcNsyJXAuoDu6W9PD/YPmb9dwT&#10;WZV0OKDEMI0bv/76+c+PL7+//bz+9Z1gGxxtXBjB9dLNfacFiKngbe11+qMUss28Xt3yKraRcGwe&#10;7fcH/SElHKbh/nEfMlCKu8POh/hKWE2SUFJvV6Z6i7vLlLL1eYit/41fChisktVMKpUVv1ycKU/W&#10;DPc8y18X4p6bMmSDnh8c9nD/nKF7a3QNRO3AQDBLSphaYix49Dn2vdNhN0gvf48FSUlOWWjaZDJC&#10;cmMjLSMmR0kNRnZPKwMyEsMtp0mK28W2I3phqytckbdt7wbHZxIRzlmIc+bRrCgF4xwvsNTKoj7b&#10;SZQ01n96bD/5o4dgpWSD5kftH1fMC0rUa4PuOu4fHKRpycrB8HAAxe9aFrsWs9JnFrz38XA4nsXk&#10;H9WNWHurP2DqJykqTMxwxG5Z7pSz2A4l3g0uJpPshglxLJ6bS8cTeKLQ2Mkq2lrmfkhEtex0/GFG&#10;clt185yGcFfPXndv2Pg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U72adgAAAALAQAADwAAAAAA&#10;AAABACAAAAAiAAAAZHJzL2Rvd25yZXYueG1sUEsBAhQAFAAAAAgAh07iQOL6A3OFAgAACwUAAA4A&#10;AAAAAAAAAQAgAAAAJwEAAGRycy9lMm9Eb2MueG1sUEsFBgAAAAAGAAYAWQEAAB4GAAAAAA==&#10;">
                <v:fill on="t" focussize="0,0"/>
                <v:stroke weight="1pt" color="#000000 [3213]" miterlimit="8" joinstyle="miter"/>
                <v:imagedata o:title=""/>
                <o:lock v:ext="edit" aspectratio="f"/>
                <v:textbox>
                  <w:txbxContent>
                    <w:p>
                      <w:pP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一般土石方0.29</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v:textbox>
              </v:roundrect>
            </w:pict>
          </mc:Fallback>
        </mc:AlternateContent>
      </w:r>
      <w:r>
        <w:rPr>
          <w:color w:val="auto"/>
          <w:sz w:val="24"/>
        </w:rPr>
        <mc:AlternateContent>
          <mc:Choice Requires="wps">
            <w:drawing>
              <wp:anchor distT="0" distB="0" distL="114300" distR="114300" simplePos="0" relativeHeight="251688960" behindDoc="0" locked="0" layoutInCell="1" allowOverlap="1">
                <wp:simplePos x="0" y="0"/>
                <wp:positionH relativeFrom="column">
                  <wp:posOffset>8104505</wp:posOffset>
                </wp:positionH>
                <wp:positionV relativeFrom="paragraph">
                  <wp:posOffset>121920</wp:posOffset>
                </wp:positionV>
                <wp:extent cx="10795" cy="2788285"/>
                <wp:effectExtent l="4445" t="0" r="15240" b="635"/>
                <wp:wrapNone/>
                <wp:docPr id="22" name="直接连接符 22"/>
                <wp:cNvGraphicFramePr/>
                <a:graphic xmlns:a="http://schemas.openxmlformats.org/drawingml/2006/main">
                  <a:graphicData uri="http://schemas.microsoft.com/office/word/2010/wordprocessingShape">
                    <wps:wsp>
                      <wps:cNvCnPr/>
                      <wps:spPr>
                        <a:xfrm>
                          <a:off x="8208645" y="2598420"/>
                          <a:ext cx="10795" cy="27882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38.15pt;margin-top:9.6pt;height:219.55pt;width:0.85pt;z-index:251688960;mso-width-relative:page;mso-height-relative:page;" filled="f" stroked="t" coordsize="21600,21600" o:gfxdata="UEsDBAoAAAAAAIdO4kAAAAAAAAAAAAAAAAAEAAAAZHJzL1BLAwQUAAAACACHTuJAufIHPtkAAAAM&#10;AQAADwAAAGRycy9kb3ducmV2LnhtbE2PwU7DMBBE70j8g7VI3KjTFJoQ4vSAxAEJCQgcOLrxNg7E&#10;6xC7Sfh7tie47WhHM2/K3eJ6MeEYOk8K1qsEBFLjTUetgve3h6scRIiajO49oYIfDLCrzs9KXRg/&#10;0ytOdWwFh1AotAIb41BIGRqLToeVH5D4d/Cj05Hl2Eoz6pnDXS/TJNlKpzviBqsHvLfYfNVHxymU&#10;fR+Wfvx4eX6yeT1/4uOUoVKXF+vkDkTEJf6Z4YTP6FAx094fyQTRs06z7Ya9fN2mIE6ONMt53l7B&#10;9U2+AVmV8v+I6hdQSwMEFAAAAAgAh07iQPw/kZ/0AQAAwwMAAA4AAABkcnMvZTJvRG9jLnhtbK1T&#10;zY7TMBC+I/EOlu80adh2s1HTPWy1XBBUAh5g6jiNJf/J423al+AFkLjBiSN33oblMRgnYXdZLnsg&#10;B2c8P5/n+zxeXR6NZgcZUDlb8/ks50xa4Rpl9zX/8P76RckZRrANaGdlzU8S+eX6+bNV7ytZuM7p&#10;RgZGIBar3te8i9FXWYaikwZw5ry0FGxdMBBpG/ZZE6AndKOzIs+XWe9C44MTEpG8mzHIJ8TwFEDX&#10;tkrIjRM3Rto4ogapIRIl7JRHvh66bVsp4tu2RRmZrjkxjcNKh5C9S2u2XkG1D+A7JaYW4CktPOJk&#10;QFk69A5qAxHYTVD/QBklgkPXxplwJhuJDIoQi3n+SJt3HXg5cCGp0d+Jjv8PVrw5bANTTc2LgjML&#10;hm789tP3nx+//Prxmdbbb18ZRUim3mNF2Vd2G6Yd+m1InI9tMOlPbNix5mWRl8uzBWcnAl1clGfF&#10;JLM8RiYoYZ6fX1BYpPh5WRblIuFn90A+YHwlnWHJqLlWNqkAFRxeYxxT/6Qkt3XXSmvyQ6Ut62u+&#10;fLmg+xVA09nSVJBpPDFEu+cM9J7GXsQwIKLTqknVqRjDfnelAztAGpbhmxr7Ky0dvQHsxrwhlNKg&#10;MirSy9DKkAYPq7Uldkm+UbBk7VxzGnQc/HS3A/9pDtPwPNwP1fdvb/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ufIHPtkAAAAMAQAADwAAAAAAAAABACAAAAAiAAAAZHJzL2Rvd25yZXYueG1sUEsB&#10;AhQAFAAAAAgAh07iQPw/kZ/0AQAAwwMAAA4AAAAAAAAAAQAgAAAAKAEAAGRycy9lMm9Eb2MueG1s&#10;UEsFBgAAAAAGAAYAWQEAAI4FAAAAAA==&#10;">
                <v:fill on="f" focussize="0,0"/>
                <v:stroke weight="0.5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65408" behindDoc="0" locked="0" layoutInCell="1" allowOverlap="1">
                <wp:simplePos x="0" y="0"/>
                <wp:positionH relativeFrom="column">
                  <wp:posOffset>4963795</wp:posOffset>
                </wp:positionH>
                <wp:positionV relativeFrom="paragraph">
                  <wp:posOffset>33020</wp:posOffset>
                </wp:positionV>
                <wp:extent cx="1197610" cy="502285"/>
                <wp:effectExtent l="6350" t="6350" r="15240" b="24765"/>
                <wp:wrapNone/>
                <wp:docPr id="20" name="圆角矩形 20"/>
                <wp:cNvGraphicFramePr/>
                <a:graphic xmlns:a="http://schemas.openxmlformats.org/drawingml/2006/main">
                  <a:graphicData uri="http://schemas.microsoft.com/office/word/2010/wordprocessingShape">
                    <wps:wsp>
                      <wps:cNvSpPr/>
                      <wps:spPr>
                        <a:xfrm>
                          <a:off x="0" y="0"/>
                          <a:ext cx="1197610" cy="5022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lang w:val="en-US" w:eastAsia="zh-CN"/>
                              </w:rPr>
                              <w:t>1.81</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w:t>
                            </w:r>
                            <w:r>
                              <w:rPr>
                                <w:rFonts w:hint="eastAsia" w:ascii="Times New Roman" w:hAnsi="Times New Roman" w:eastAsia="仿宋" w:cs="Times New Roman"/>
                                <w:kern w:val="0"/>
                                <w:sz w:val="18"/>
                                <w:szCs w:val="18"/>
                                <w:lang w:val="en-US" w:eastAsia="zh-CN"/>
                              </w:rPr>
                              <w:t>0.44</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0.85pt;margin-top:2.6pt;height:39.55pt;width:94.3pt;z-index:251665408;v-text-anchor:middle;mso-width-relative:page;mso-height-relative:page;" fillcolor="#FFFFFF [3201]" filled="t" stroked="t" coordsize="21600,21600" arcsize="0.166666666666667" o:gfxdata="UEsDBAoAAAAAAIdO4kAAAAAAAAAAAAAAAAAEAAAAZHJzL1BLAwQUAAAACACHTuJAQkowBNcAAAAI&#10;AQAADwAAAGRycy9kb3ducmV2LnhtbE2PMU/DMBSEdyT+g/WQ2KidhpKQ5qVDJSSQulCQWN3YjSPs&#10;52C7bfj3mAnG053uvms3s7PsrEMcPSEUCwFMU+/VSAPC+9vTXQ0sJklKWk8a4VtH2HTXV61slL/Q&#10;qz7v08ByCcVGIpiUpobz2BvtZFz4SVP2jj44mbIMA1dBXnK5s3wpxAN3cqS8YOSkt0b3n/uTQwhp&#10;LqrZmi9apWe3fel3H7zcId7eFGINLOk5/YXhFz+jQ5eZDv5EKjKLUNVFlaMIqyWw7D9WogR2QKjv&#10;S+Bdy/8f6H4AUEsDBBQAAAAIAIdO4kDAxULehQIAAAwFAAAOAAAAZHJzL2Uyb0RvYy54bWytVM1u&#10;EzEQviPxDpbvdHej/kbdVFGjIKSKVhTE2fHaWUv+Y+xkUx6AB+CMVIkL4iF4nAoeg7F326alhx7Y&#10;g3fGM/5m5vOMj082RpO1gKCcrWm1U1IiLHeNssuafng/f3VISYjMNkw7K2p6JQI9mbx8cdz5sRi5&#10;1ulGAEEQG8adr2kbox8XReCtMCzsOC8sGqUDwyKqsCwaYB2iG12MynK/6Bw0HhwXIeDurDfSARGe&#10;A+ikVFzMHF8ZYWOPCkKziCWFVvlAJzlbKQWP51IGEYmuKVYa84pBUF6ktZgcs/ESmG8VH1Jgz0nh&#10;UU2GKYtB76BmLDKyAvUPlFEcXHAy7nBnir6QzAhWUZWPuLlsmRe5FqQ6+DvSw/+D5W/XF0BUU9MR&#10;UmKZwRu/+fblz4+vv69/3vz6TnAbOep8GKPrpb+AQQsopoI3Ekz6Yylkk3m9uuNVbCLhuFlVRwf7&#10;FeJztO2Vo9HhXgIt7k97CPG1cIYkoabgVrZ5h5eXOWXrsxB7/1u/FDE4rZq50jorsFycaiBrhhc9&#10;z98Q4oGbtqTDfEYHZcqGYftKbBsUjUcKgl1SwvQS54JHyLEfnA7bQcr8PRUkJTljoe2TyQjJjY2N&#10;ijg6WpmaHm6f1hbJSBT3pCYpbhabgemFa67wjsD1zRs8nyuMcMZCvGCA3Yql4DzHc1ykdlifGyRK&#10;Wgefn9pP/thEaKWkw+7H2j+tGAhK9BuL7XVU7e4ibMzK7t5Bag7Ytiy2LXZlTh3yXuHL4XkWk3/U&#10;t6IEZz7i2E9TVDQxyzF2z/KgnMZ+KvHh4GI6zW44Ip7FM3vpeQJPFFo3XUUnVe6HRFTPzsAfDklu&#10;q2Gg0xRu69nr/hGb/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CSjAE1wAAAAgBAAAPAAAAAAAA&#10;AAEAIAAAACIAAABkcnMvZG93bnJldi54bWxQSwECFAAUAAAACACHTuJAwMVC3oUCAAAMBQAADgAA&#10;AAAAAAABACAAAAAmAQAAZHJzL2Uyb0RvYy54bWxQSwUGAAAAAAYABgBZAQAAHQY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lang w:val="en-US" w:eastAsia="zh-CN"/>
                        </w:rPr>
                        <w:t>1.81</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w:t>
                      </w:r>
                      <w:r>
                        <w:rPr>
                          <w:rFonts w:hint="eastAsia" w:ascii="Times New Roman" w:hAnsi="Times New Roman" w:eastAsia="仿宋" w:cs="Times New Roman"/>
                          <w:kern w:val="0"/>
                          <w:sz w:val="18"/>
                          <w:szCs w:val="18"/>
                          <w:lang w:val="en-US" w:eastAsia="zh-CN"/>
                        </w:rPr>
                        <w:t>0.44</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rPr>
                      </w:pP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2328545</wp:posOffset>
                </wp:positionH>
                <wp:positionV relativeFrom="paragraph">
                  <wp:posOffset>24765</wp:posOffset>
                </wp:positionV>
                <wp:extent cx="1238250" cy="515620"/>
                <wp:effectExtent l="6350" t="6350" r="12700" b="11430"/>
                <wp:wrapNone/>
                <wp:docPr id="17" name="圆角矩形 17"/>
                <wp:cNvGraphicFramePr/>
                <a:graphic xmlns:a="http://schemas.openxmlformats.org/drawingml/2006/main">
                  <a:graphicData uri="http://schemas.microsoft.com/office/word/2010/wordprocessingShape">
                    <wps:wsp>
                      <wps:cNvSpPr/>
                      <wps:spPr>
                        <a:xfrm>
                          <a:off x="0" y="0"/>
                          <a:ext cx="1238250" cy="51562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w:t>
                            </w:r>
                            <w:r>
                              <w:rPr>
                                <w:rFonts w:ascii="Times New Roman" w:hAnsi="Times New Roman" w:eastAsia="仿宋" w:cs="Times New Roman"/>
                                <w:kern w:val="0"/>
                                <w:sz w:val="18"/>
                                <w:szCs w:val="18"/>
                              </w:rPr>
                              <w:t>挖方</w:t>
                            </w:r>
                            <w:r>
                              <w:rPr>
                                <w:rFonts w:hint="eastAsia" w:ascii="Times New Roman" w:hAnsi="Times New Roman" w:eastAsia="仿宋" w:cs="Times New Roman"/>
                                <w:kern w:val="0"/>
                                <w:sz w:val="18"/>
                                <w:szCs w:val="18"/>
                                <w:lang w:val="en-US" w:eastAsia="zh-CN"/>
                              </w:rPr>
                              <w:t>1.53</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0.45</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3.35pt;margin-top:1.95pt;height:40.6pt;width:97.5pt;z-index:251664384;v-text-anchor:middle;mso-width-relative:page;mso-height-relative:page;" fillcolor="#FFFFFF [3201]" filled="t" stroked="t" coordsize="21600,21600" arcsize="0.166666666666667" o:gfxdata="UEsDBAoAAAAAAIdO4kAAAAAAAAAAAAAAAAAEAAAAZHJzL1BLAwQUAAAACACHTuJAFnOY7tYAAAAI&#10;AQAADwAAAGRycy9kb3ducmV2LnhtbE2PwU7DMBBE70j8g7VI3KhjqqQlxOmhEhJIvdAicXXjJY6w&#10;1yF22/D3LCe47WhGs2+azRy8OOOUhkga1KIAgdRFO1Cv4e3wdLcGkbIha3wk1PCNCTbt9VVjahsv&#10;9Irnfe4Fl1CqjQaX81hLmTqHwaRFHJHY+4hTMJnl1Es7mQuXBy/vi6KSwQzEH5wZceuw+9yfgoYp&#10;z2o1e/dFZX4O25du9y6XO61vb1TxCCLjnP/C8IvP6NAy0zGeyCbhNSyrasVRPh5AsF9WivVRw7pU&#10;INtG/h/Q/gBQSwMEFAAAAAgAh07iQJmra56IAgAADAUAAA4AAABkcnMvZTJvRG9jLnhtbK1UzW4T&#10;MRC+I/EOlu90k9C0JeqmihoFIVVQURBnx+vNWvIftpNNeQAegDMSEhfEQ/A4FTwGn73bNi099MAe&#10;vDOe8cx8n2d8fLLVimyED9Kakg73BpQIw20lzaqk798tnh1REiIzFVPWiJJeikBPpk+fHLduIka2&#10;saoSniCICZPWlbSJ0U2KIvBGaBb2rBMGxtp6zSJUvyoqz1pE16oYDQYHRWt95bzlIgTszjsj7SP6&#10;xwS0dS25mFu+1sLELqoXikVACo10gU5ztXUteHxT10FEokoKpDGvSAJ5mdZieswmK89cI3lfAntM&#10;CfcwaSYNkt6EmrPIyNrLf0Jpyb0Nto573OqiA5IZAYrh4B43Fw1zImMB1cHdkB7+X1j+enPuiazQ&#10;CYeUGKZx41dfP//58eX3t59Xv74TbIOj1oUJXC/cue+1ADEB3tZepz+gkG3m9fKGV7GNhGNzOHp+&#10;NBqDcg7beDg+GGXii9vTzof4UlhNklBSb9emeovLy5yyzVmISAv/a7+UMVglq4VUKit+tTxVnmwY&#10;LnqRv1Q3jtxxU4a0qZ7DQaqGoX1rtA1E7UBBMCtKmFphLnj0Ofed02E3ySB/DyVJRc5ZaLpicoTk&#10;xiZaRoyOkrqkR7unlUGlieKO1CTF7XLbM7201SXuyNuueYPjC4kMZyzEc+bRrYCCeY5vsNTKAp/t&#10;JUoa6z89tJ/80USwUtKi+4H945p5QYl6ZdBeL4b7+wgbs7I/PsSFEb9rWe5azFqfWvA+xMvheBaT&#10;f1TXYu2t/oCxn6WsMDHDkbtjuVdOYzeVeDi4mM2yG0bEsXhmLhxPwROFxs7W0dYy90MiqmOn5w9D&#10;ku+8H+g0hbt69rp9xK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BZzmO7WAAAACAEAAA8AAAAA&#10;AAAAAQAgAAAAIgAAAGRycy9kb3ducmV2LnhtbFBLAQIUABQAAAAIAIdO4kCZq2ueiAIAAAwFAAAO&#10;AAAAAAAAAAEAIAAAACUBAABkcnMvZTJvRG9jLnhtbFBLBQYAAAAABgAGAFkBAAAfBg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w:t>
                      </w:r>
                      <w:r>
                        <w:rPr>
                          <w:rFonts w:ascii="Times New Roman" w:hAnsi="Times New Roman" w:eastAsia="仿宋" w:cs="Times New Roman"/>
                          <w:kern w:val="0"/>
                          <w:sz w:val="18"/>
                          <w:szCs w:val="18"/>
                        </w:rPr>
                        <w:t>挖方</w:t>
                      </w:r>
                      <w:r>
                        <w:rPr>
                          <w:rFonts w:hint="eastAsia" w:ascii="Times New Roman" w:hAnsi="Times New Roman" w:eastAsia="仿宋" w:cs="Times New Roman"/>
                          <w:kern w:val="0"/>
                          <w:sz w:val="18"/>
                          <w:szCs w:val="18"/>
                          <w:lang w:val="en-US" w:eastAsia="zh-CN"/>
                        </w:rPr>
                        <w:t>1.53</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0.45</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rPr>
                      </w:pP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163195</wp:posOffset>
                </wp:positionH>
                <wp:positionV relativeFrom="paragraph">
                  <wp:posOffset>117475</wp:posOffset>
                </wp:positionV>
                <wp:extent cx="1197610" cy="333375"/>
                <wp:effectExtent l="6350" t="6350" r="15240" b="22225"/>
                <wp:wrapNone/>
                <wp:docPr id="18" name="圆角矩形 18"/>
                <wp:cNvGraphicFramePr/>
                <a:graphic xmlns:a="http://schemas.openxmlformats.org/drawingml/2006/main">
                  <a:graphicData uri="http://schemas.microsoft.com/office/word/2010/wordprocessingShape">
                    <wps:wsp>
                      <wps:cNvSpPr/>
                      <wps:spPr>
                        <a:xfrm>
                          <a:off x="813435" y="4170680"/>
                          <a:ext cx="1197610" cy="333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rPr>
                            </w:pPr>
                            <w:r>
                              <w:rPr>
                                <w:rFonts w:hint="eastAsia" w:ascii="Times New Roman" w:hAnsi="Times New Roman" w:eastAsia="仿宋_GB2312" w:cs="宋体"/>
                                <w:kern w:val="0"/>
                                <w:sz w:val="18"/>
                                <w:szCs w:val="18"/>
                              </w:rPr>
                              <w:t>井场及附属工程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85pt;margin-top:9.25pt;height:26.25pt;width:94.3pt;z-index:251661312;v-text-anchor:middle;mso-width-relative:page;mso-height-relative:page;" fillcolor="#FFFFFF [3201]" filled="t" stroked="t" coordsize="21600,21600" arcsize="0.166666666666667" o:gfxdata="UEsDBAoAAAAAAIdO4kAAAAAAAAAAAAAAAAAEAAAAZHJzL1BLAwQUAAAACACHTuJA2hKGodYAAAAI&#10;AQAADwAAAGRycy9kb3ducmV2LnhtbE2PwU7DMBBE70j8g7VI3KjtlJAqjdNDJSSQeqFF4urGSxw1&#10;XgfbbcPfY05wnJ3RzNtmM7uRXTDEwZMCuRDAkDpvBuoVvB+eH1bAYtJk9OgJFXxjhE17e9Po2vgr&#10;veFln3qWSyjWWoFNaao5j51Fp+PCT0jZ+/TB6ZRl6LkJ+prL3cgLIZ640wPlBasn3FrsTvuzUxDS&#10;LKt5tF9Uphe3fe12H3y5U+r+Too1sIRz+gvDL35GhzYzHf2ZTGSjgqKscjLfVyWw7BfycQnsqKCS&#10;Anjb8P8PtD9QSwMEFAAAAAgAh07iQL1XHl+RAgAAFwUAAA4AAABkcnMvZTJvRG9jLnhtbK1UzW7U&#10;MBC+I/EOlu80yXbbbVfNVquuFiFVUFEQZ6/jbCL5D9v7Ux6AB+CMhMQF8RA8TgWPwWcnbbelhx7w&#10;wZnxTL6Z+Tzjk9OtkmQtnG+NLmmxl1MiNDdVq5clff9u/uKIEh+Yrpg0WpT0Snh6Onn+7GRjx2Jg&#10;GiMr4QhAtB9vbEmbEOw4yzxvhGJ+z1ihYayNUyxAdcuscmwDdCWzQZ4fZhvjKusMF97jdNYZaY/o&#10;ngJo6rrlYmb4SgkdOlQnJAsoyTet9XSSsq1rwcObuvYiEFlSVBrSjiCQF3HPJidsvHTMNi3vU2BP&#10;SeFBTYq1GkFvoWYsMLJy7T9QquXOeFOHPW5U1hWSGEEVRf6Am8uGWZFqAdXe3pLu/x8sf72+cKSt&#10;0Am4d80Ubvz66+c/P778/vbz+td3gmNwtLF+DNdLe+F6zUOMBW9rp+IXpZBtSY+K/eH+ASVXJR0W&#10;o/zwqKdYbAPhsBfF8eiwAPscHvtYo4OIn90BWefDS2EUiUJJnVnp6i3uMdHL1uc+dP43fjG4N7Kt&#10;5q2USXHLxZl0ZM1w5/O0+hD33KQmG+QzGOUxG4ZOrtFBEJUFG14vKWFyiRHhwaXY9/72u0HytB4L&#10;EpOcMd90ySSE6MbGqg2YItkqULb7t9QgI7Ld8RulsF1se9IXprrCdTnT9bG3fN4iwjnz4YI5NC5K&#10;wWiHN9hqaVCf6SVKGuM+PXYe/dFPsFKywSCg9o8r5gQl8pVGpx0XwyFgQ1KGB6MBFLdrWexa9Eqd&#10;GfBe4BGxPInRP8gbsXZGfcALMI1RYWKaI3bHcq+chW5A8YZwMZ0mN0yLZeFcX1oewSOF2kxXwdRt&#10;6odIVMdOzx/mJbVVP9txIHf15HX3nk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NoShqHWAAAA&#10;CAEAAA8AAAAAAAAAAQAgAAAAIgAAAGRycy9kb3ducmV2LnhtbFBLAQIUABQAAAAIAIdO4kC9Vx5f&#10;kQIAABcFAAAOAAAAAAAAAAEAIAAAACUBAABkcnMvZTJvRG9jLnhtbFBLBQYAAAAABgAGAFkBAAAo&#10;BgAAAAA=&#10;">
                <v:fill on="t" focussize="0,0"/>
                <v:stroke weight="1pt" color="#000000 [3213]" miterlimit="8" joinstyle="miter"/>
                <v:imagedata o:title=""/>
                <o:lock v:ext="edit" aspectratio="f"/>
                <v:textbox>
                  <w:txbxContent>
                    <w:p>
                      <w:pPr>
                        <w:jc w:val="center"/>
                        <w:rPr>
                          <w:rFonts w:ascii="Times New Roman" w:hAnsi="Times New Roman"/>
                        </w:rPr>
                      </w:pPr>
                      <w:r>
                        <w:rPr>
                          <w:rFonts w:hint="eastAsia" w:ascii="Times New Roman" w:hAnsi="Times New Roman" w:eastAsia="仿宋_GB2312" w:cs="宋体"/>
                          <w:kern w:val="0"/>
                          <w:sz w:val="18"/>
                          <w:szCs w:val="18"/>
                        </w:rPr>
                        <w:t>井场及附属工程</w:t>
                      </w: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70528" behindDoc="0" locked="0" layoutInCell="1" allowOverlap="1">
                <wp:simplePos x="0" y="0"/>
                <wp:positionH relativeFrom="column">
                  <wp:posOffset>3566795</wp:posOffset>
                </wp:positionH>
                <wp:positionV relativeFrom="paragraph">
                  <wp:posOffset>282575</wp:posOffset>
                </wp:positionV>
                <wp:extent cx="1397000" cy="1905"/>
                <wp:effectExtent l="0" t="48895" r="12700" b="63500"/>
                <wp:wrapNone/>
                <wp:docPr id="27" name="直接箭头连接符 27"/>
                <wp:cNvGraphicFramePr/>
                <a:graphic xmlns:a="http://schemas.openxmlformats.org/drawingml/2006/main">
                  <a:graphicData uri="http://schemas.microsoft.com/office/word/2010/wordprocessingShape">
                    <wps:wsp>
                      <wps:cNvCnPr/>
                      <wps:spPr>
                        <a:xfrm>
                          <a:off x="4154805" y="4070350"/>
                          <a:ext cx="1397000" cy="190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margin-left:280.85pt;margin-top:22.25pt;height:0.15pt;width:110pt;z-index:251670528;mso-width-relative:page;mso-height-relative:page;" filled="f" stroked="t" coordsize="21600,21600" o:gfxdata="UEsDBAoAAAAAAIdO4kAAAAAAAAAAAAAAAAAEAAAAZHJzL1BLAwQUAAAACACHTuJAtYwX59UAAAAJ&#10;AQAADwAAAGRycy9kb3ducmV2LnhtbE2PTU/DMAyG70j8h8hI3FhatI+qNJ0QEhdubBNiNy8xaWnj&#10;VE22jn9PeoKjXz96/bjaXl0vLjSG1rOCfJGBINbetGwVHPavDwWIEJEN9p5JwQ8F2Na3NxWWxk/8&#10;TpddtCKVcChRQRPjUEoZdEMOw8IPxGn35UeHMY2jlWbEKZW7Xj5m2Vo6bDldaHCgl4Z0tzs7BcfJ&#10;8rc2+oOfp7ej7T67wPuDUvd3efYEItI1/sEw6yd1qJPTyZ/ZBNErWK3zTUIVLJcrEAnYFHNwmoMC&#10;ZF3J/x/Uv1BLAwQUAAAACACHTuJATXo/ih8CAAACBAAADgAAAGRycy9lMm9Eb2MueG1srVPNctMw&#10;EL4zwztodCe204aknjg9JJQLA50BHmAjy7Zm9DeSGicvwQswwwk4UU698zRQHoOVbFIolx7wQV5J&#10;u9/u9+1qeb5Xkuy488LoihaTnBKumamFbiv69s3FkwUlPoCuQRrNK3rgnp6vHj9a9rbkU9MZWXNH&#10;EET7srcV7UKwZZZ51nEFfmIs13jZGKcg4Na1We2gR3Qls2meP81642rrDOPe4+lmuKQjonsIoGka&#10;wfjGsCvFdRhQHZcQkJLvhPV0laptGs7Cq6bxPBBZUWQa0opJ0N7GNVstoWwd2E6wsQR4SAn3OCkQ&#10;GpMeoTYQgFw58Q+UEswZb5owYUZlA5GkCLIo8nvavO7A8sQFpfb2KLr/f7Ds5e7SEVFXdDqnRIPC&#10;jt++v/nx7tPt1+vvH29+fvsQ7S+fCd6jWL31Jcas9aUbd95eush83zgV/8iJ7Ct6WsxOF/mMkgPa&#10;+Tw/mY1i830gDB2Kk7N5nmMfGHoUZ+iKgNkdjnU+POdGkWhU1AcHou3C2miNXTWuSHrD7oUPQ+Dv&#10;gFiENhdCSjyHUmrSY4IpJsNcgBPb4KSgqSyy9rqlBGSLT4EFlyC9kaKO4THau3a7lo7sIA5Q+sY6&#10;/3KLuTfgu8EvXUU3KJUI+FqkUBVdHKOhDCDkM12TcLAoODhnehrLVLymRHKsJloDL6lRl6j7oHS0&#10;tqY+pAakcxyNpNw4xnH2/tyn6Lun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YwX59UAAAAJ&#10;AQAADwAAAAAAAAABACAAAAAiAAAAZHJzL2Rvd25yZXYueG1sUEsBAhQAFAAAAAgAh07iQE16P4of&#10;AgAAAgQAAA4AAAAAAAAAAQAgAAAAJAEAAGRycy9lMm9Eb2MueG1sUEsFBgAAAAAGAAYAWQEAALUF&#10;AAAAAA==&#10;">
                <v:fill on="f" focussize="0,0"/>
                <v:stroke weight="1pt" color="#000000 [3200]" miterlimit="8" joinstyle="miter" endarrow="open"/>
                <v:imagedata o:title=""/>
                <o:lock v:ext="edit" aspectratio="f"/>
              </v:shape>
            </w:pict>
          </mc:Fallback>
        </mc:AlternateContent>
      </w:r>
      <w:r>
        <w:rPr>
          <w:rFonts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1360805</wp:posOffset>
                </wp:positionH>
                <wp:positionV relativeFrom="paragraph">
                  <wp:posOffset>282575</wp:posOffset>
                </wp:positionV>
                <wp:extent cx="967740" cy="1905"/>
                <wp:effectExtent l="0" t="0" r="0" b="0"/>
                <wp:wrapNone/>
                <wp:docPr id="19" name="直接连接符 19"/>
                <wp:cNvGraphicFramePr/>
                <a:graphic xmlns:a="http://schemas.openxmlformats.org/drawingml/2006/main">
                  <a:graphicData uri="http://schemas.microsoft.com/office/word/2010/wordprocessingShape">
                    <wps:wsp>
                      <wps:cNvCnPr/>
                      <wps:spPr>
                        <a:xfrm flipV="1">
                          <a:off x="1948815" y="4065905"/>
                          <a:ext cx="967740" cy="19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flip:y;margin-left:107.15pt;margin-top:22.25pt;height:0.15pt;width:76.2pt;z-index:251668480;mso-width-relative:page;mso-height-relative:page;" filled="f" stroked="t" coordsize="21600,21600" o:gfxdata="UEsDBAoAAAAAAIdO4kAAAAAAAAAAAAAAAAAEAAAAZHJzL1BLAwQUAAAACACHTuJAv+85iNcAAAAJ&#10;AQAADwAAAGRycy9kb3ducmV2LnhtbE2PwW6DMAyG75P6DpEn7bYGCmOIEXpA6m1S127aORAX2IiD&#10;ktDSt2962o62P/3+/nK76JGd0brBkIB4HQFDao0aqBPw9bl7zoE5L0nJ0RAKuKKDbbV6KGWhzIUO&#10;eD76joUQcoUU0Hs/FZy7tkct3dpMSOF2MlZLH0bbcWXlJYTrkW+iKONaDhQ+9HLCusf29zhrAQOv&#10;4+bb1qePK+aJT/aHn/d5EeLpMY7egHlc/B8Md/2gDlVwasxMyrFRwCZOk4AKSNMXYAFIsuwVWHNf&#10;5MCrkv9vUN0AUEsDBBQAAAAIAIdO4kCGRMZ7+QEAAMwDAAAOAAAAZHJzL2Uyb0RvYy54bWytk7mO&#10;2zAQhvsAeQeCfSzZ8ClY3mKNTRMkBnL0NEVKBHiBw7Xsl8gLBEiXVCnT52128xgZUt4jm2aLqCB4&#10;DL+Z/+dofXE0mhxEAOVsTcejkhJhuWuUbWv68cPVqyUlEJltmHZW1PQkgF5sXr5Y974SE9c53YhA&#10;EGKh6n1Nuxh9VRTAO2EYjJwXFg+lC4ZFXIa2aALrkW50MSnLedG70PjguADA3e1wSM/E8Bygk1Jx&#10;sXX82ggbB2oQmkWUBJ3yQDe5WikFj++kBBGJrikqjXnEJDjfp7HYrFnVBuY7xc8lsOeU8ESTYcpi&#10;0nvUlkVGroP6B2UUDw6cjCPuTDEIyY6ginH5xJv3HfMia0Grwd+bDv8Py98edoGoBjthRYllBl/8&#10;9svPm8/ffv/6iuPtj+8ET9Cm3kOF0Zd2F84r8LuQNB9lMERq5T8hJbuAusgxIafL5XhGyamm03I+&#10;W5WzwXBxjIRjwGq+WEzxKTgGjM+nxQBMYB8gvhbOkDSpqVY2ucEqdngDEYvA0LuQtG3dldI6v6i2&#10;pEfkZFEmOsM2ldgeODUepYJtKWG6xf7nMWQkOK2adD2BILT7Sx3IgaWuyV+qG9P9FZZybxl0Q1w+&#10;GuQZFfEX0crUdPn4trYIST4OzqXZ3jWnbGjex0fOac4Nmbro8TrffvgJN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85iNcAAAAJAQAADwAAAAAAAAABACAAAAAiAAAAZHJzL2Rvd25yZXYueG1s&#10;UEsBAhQAFAAAAAgAh07iQIZExnv5AQAAzAMAAA4AAAAAAAAAAQAgAAAAJgEAAGRycy9lMm9Eb2Mu&#10;eG1sUEsFBgAAAAAGAAYAWQEAAJEFAAAAAA==&#10;">
                <v:fill on="f" focussize="0,0"/>
                <v:stroke weight="1pt" color="#000000 [3200]" miterlimit="8" joinstyle="miter"/>
                <v:imagedata o:title=""/>
                <o:lock v:ext="edit" aspectratio="f"/>
              </v:line>
            </w:pict>
          </mc:Fallback>
        </mc:AlternateContent>
      </w:r>
    </w:p>
    <w:p>
      <w:pPr>
        <w:spacing w:line="360" w:lineRule="auto"/>
        <w:rPr>
          <w:rFonts w:ascii="Times New Roman" w:hAnsi="Times New Roman" w:eastAsia="仿宋_GB2312" w:cs="Times New Roman"/>
          <w:color w:val="auto"/>
          <w:sz w:val="24"/>
          <w:szCs w:val="24"/>
        </w:rPr>
      </w:pPr>
      <w:r>
        <w:rPr>
          <w:sz w:val="24"/>
        </w:rPr>
        <mc:AlternateContent>
          <mc:Choice Requires="wps">
            <w:drawing>
              <wp:anchor distT="0" distB="0" distL="114300" distR="114300" simplePos="0" relativeHeight="251659264" behindDoc="0" locked="0" layoutInCell="1" allowOverlap="1">
                <wp:simplePos x="0" y="0"/>
                <wp:positionH relativeFrom="column">
                  <wp:posOffset>6161405</wp:posOffset>
                </wp:positionH>
                <wp:positionV relativeFrom="paragraph">
                  <wp:posOffset>34925</wp:posOffset>
                </wp:positionV>
                <wp:extent cx="917575" cy="34290"/>
                <wp:effectExtent l="0" t="45720" r="15875" b="34290"/>
                <wp:wrapNone/>
                <wp:docPr id="65" name="直接箭头连接符 65"/>
                <wp:cNvGraphicFramePr/>
                <a:graphic xmlns:a="http://schemas.openxmlformats.org/drawingml/2006/main">
                  <a:graphicData uri="http://schemas.microsoft.com/office/word/2010/wordprocessingShape">
                    <wps:wsp>
                      <wps:cNvCnPr/>
                      <wps:spPr>
                        <a:xfrm flipH="1" flipV="1">
                          <a:off x="8174355" y="2715260"/>
                          <a:ext cx="917575" cy="3429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 y;margin-left:485.15pt;margin-top:2.75pt;height:2.7pt;width:72.25pt;z-index:251659264;mso-width-relative:page;mso-height-relative:page;" filled="f" stroked="t" coordsize="21600,21600" o:gfxdata="UEsDBAoAAAAAAIdO4kAAAAAAAAAAAAAAAAAEAAAAZHJzL1BLAwQUAAAACACHTuJAhVL0ctYAAAAJ&#10;AQAADwAAAGRycy9kb3ducmV2LnhtbE2PzU7DMBCE70i8g7VI3KgdoH8hToWQekCcCChnN16SiHht&#10;xU5aeHq2J3rb0Yxmvyl2JzeIGcfYe9KQLRQIpMbbnloNnx/7uw2ImAxZM3hCDT8YYVdeXxUmt/5I&#10;7zhXqRVcQjE3GrqUQi5lbDp0Ji58QGLvy4/OJJZjK+1ojlzuBnmv1Eo60xN/6EzAlw6b72pyGn7n&#10;OUz1Xj2HGN7cunqtN6up1vr2JlNPIBKe0n8YzviMDiUzHfxENopBw3atHjiqYbkEcfaz7JG3HPhS&#10;W5BlIS8XlH9QSwMEFAAAAAgAh07iQO0tGe0sAgAAFQQAAA4AAABkcnMvZTJvRG9jLnhtbK1TvY4T&#10;MRDukXgHyz3Z/FySu1U2VyQcFAhO4qd3vPauJf9p7MsmL8ELIFHBVUB1PU8Dx2Mw9oYAR3MFW6zG&#10;nplvZr75vDjfGU22AoJytqKjwZASYbmrlW0q+vrVxaNTSkJktmbaWVHRvQj0fPnwwaLzpRi71ula&#10;AEEQG8rOV7SN0ZdFEXgrDAsD54VFp3RgWMQjNEUNrEN0o4vxcDgrOge1B8dFCHi77p30gAj3AXRS&#10;Ki7Wjl8ZYWOPCkKziCOFVvlAl7lbKQWPL6QMIhJdUZw05j8WQXuT/sVywcoGmG8VP7TA7tPCnZkM&#10;UxaLHqHWLDJyBeofKKM4uOBkHHBnin6QzAhOMRre4eZly7zIsyDVwR9JD/8Plj/fXgJRdUVnU0os&#10;M7jx23c3399+vP3y+duHmx9f3yf70zVBP5LV+VBizspewuEU/CWkyXcSDJFa+aeoKpqtN8lKPpyT&#10;7Cp6OpqfTKZYZ1/R8Xw0Hc8OCxC7SDgGnI3m0zn6OQZMTsZn2V302AnHQ4hPhDMkGRUNEZhq2rhy&#10;1uKmHfTV2PZZiNgdJv5KSMnWXSit88K1JR1OPJmiDDhDEUsUD5rGIxHBNpQw3eDr4BFy/8FpVafs&#10;hBOg2aw0kC1LmspfYgar/RWWSq9ZaPu47OrVZlTEB6SVQUKO2ayMTOnHtiZx73EHDMB1NHVpRE2J&#10;FthNsvpC2mK9tIqe/GRtXL3PO8n3qJbc0UHZSY5/nnP279e8/A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UvRy1gAAAAkBAAAPAAAAAAAAAAEAIAAAACIAAABkcnMvZG93bnJldi54bWxQSwECFAAU&#10;AAAACACHTuJA7S0Z7SwCAAAVBAAADgAAAAAAAAABACAAAAAlAQAAZHJzL2Uyb0RvYy54bWxQSwUG&#10;AAAAAAYABgBZAQAAwwUAAAAA&#10;">
                <v:fill on="f" focussize="0,0"/>
                <v:stroke weight="0.5pt" color="#000000 [3200]"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92032" behindDoc="0" locked="0" layoutInCell="1" allowOverlap="1">
                <wp:simplePos x="0" y="0"/>
                <wp:positionH relativeFrom="column">
                  <wp:posOffset>6189980</wp:posOffset>
                </wp:positionH>
                <wp:positionV relativeFrom="paragraph">
                  <wp:posOffset>33655</wp:posOffset>
                </wp:positionV>
                <wp:extent cx="800100" cy="7620"/>
                <wp:effectExtent l="0" t="0" r="0" b="0"/>
                <wp:wrapNone/>
                <wp:docPr id="47" name="直接连接符 47"/>
                <wp:cNvGraphicFramePr/>
                <a:graphic xmlns:a="http://schemas.openxmlformats.org/drawingml/2006/main">
                  <a:graphicData uri="http://schemas.microsoft.com/office/word/2010/wordprocessingShape">
                    <wps:wsp>
                      <wps:cNvCnPr/>
                      <wps:spPr>
                        <a:xfrm>
                          <a:off x="0" y="0"/>
                          <a:ext cx="8001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7.4pt;margin-top:2.65pt;height:0.6pt;width:63pt;z-index:251692032;mso-width-relative:page;mso-height-relative:page;" filled="f" stroked="t" coordsize="21600,21600" o:gfxdata="UEsDBAoAAAAAAIdO4kAAAAAAAAAAAAAAAAAEAAAAZHJzL1BLAwQUAAAACACHTuJAPQbIP9YAAAAI&#10;AQAADwAAAGRycy9kb3ducmV2LnhtbE2PsU7DMBCGdyTewTokNmoHaNOmcTogMSAhQQMDoxtf40B8&#10;DrabhLfHnWC8+3999125m23PRvShcyQhWwhgSI3THbUS3t8eb9bAQlSkVe8IJfxggF11eVGqQruJ&#10;9jjWsWUJQqFQEkyMQ8F5aAxaFRZuQErZ0XmrYhp9y7VXU4Lbnt8KseJWdZQuGDXgg8Hmqz7ZRKH8&#10;+zj3/uP15dms6+kTn8Ycpby+ysQWWMQ5/pXhrJ/UoUpOB3ciHVgvYZPfJ/UoYXkH7JxnQqTFQcJq&#10;Cbwq+f8Hql9QSwMEFAAAAAgAh07iQIN0ApHlAQAAtQMAAA4AAABkcnMvZTJvRG9jLnhtbK1TzW4T&#10;MRC+I/EOlu9k0wBptcqmh0blgiAS8AATr71ryX/yuNnkJXgBJG5w4sidt6F9DMbeJYVy6YE9eMfz&#10;842/z+PV5cEatpcRtXcNP5vNOZNO+Fa7ruEf3l8/u+AME7gWjHey4UeJ/HL99MlqCLVc+N6bVkZG&#10;IA7rITS8TynUVYWilxZw5oN0FFQ+Wki0jV3VRhgI3ZpqMZ8vq8HHNkQvJCJ5N2OQT4jxMYBeKS3k&#10;xosbK10aUaM0kIgS9jogX5fTKiVFeqsUysRMw4lpKis1IXuX12q9grqLEHotpiPAY47wgJMF7ajp&#10;CWoDCdhN1P9AWS2iR6/STHhbjUSKIsTibP5Am3c9BFm4kNQYTqLj/4MVb/bbyHTb8BfnnDmwdOO3&#10;n77//Pjl7sdnWm+/fWUUIZmGgDVlX7ltnHYYtjFzPqho85/YsEOR9niSVh4SE+S8mBM9El1Q6Hy5&#10;KMJX96UhYnolvWXZaLjRLvOGGvavMVE7Sv2dkt3OX2tjyt0Zx4aGL5+/zOBA86hoDsi0gTih6zgD&#10;09GgixQLInqj21ydcTB2uysT2R7yeJQvU6Vuf6Xl1hvAfswroXFwrE70Foy2hSDVT9XGEUgWbJQo&#10;WzvfHotyxU+3WdpMk5fH5c99qb5/be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PQbIP9YAAAAI&#10;AQAADwAAAAAAAAABACAAAAAiAAAAZHJzL2Rvd25yZXYueG1sUEsBAhQAFAAAAAgAh07iQIN0ApHl&#10;AQAAtQMAAA4AAAAAAAAAAQAgAAAAJQEAAGRycy9lMm9Eb2MueG1sUEsFBgAAAAAGAAYAWQEAAHwF&#10;AAAAAA==&#10;">
                <v:fill on="f" focussize="0,0"/>
                <v:stroke weight="0.5pt" color="#000000 [3200]" miterlimit="8" joinstyle="miter"/>
                <v:imagedata o:title=""/>
                <o:lock v:ext="edit" aspectratio="f"/>
              </v:line>
            </w:pict>
          </mc:Fallback>
        </mc:AlternateContent>
      </w:r>
      <w:r>
        <w:rPr>
          <w:rFonts w:ascii="Times New Roman" w:hAnsi="Times New Roman" w:eastAsia="仿宋_GB2312" w:cs="Times New Roman"/>
          <w:color w:val="auto"/>
          <w:sz w:val="24"/>
          <w:szCs w:val="24"/>
        </w:rPr>
        <w:t xml:space="preserve">                                                                                   </w:t>
      </w:r>
    </w:p>
    <w:p>
      <w:pPr>
        <w:spacing w:line="360" w:lineRule="auto"/>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 xml:space="preserve">                                                    </w:t>
      </w:r>
      <w:r>
        <w:rPr>
          <w:rFonts w:hint="eastAsia" w:ascii="Times New Roman" w:hAnsi="Times New Roman" w:eastAsia="仿宋_GB2312" w:cs="Times New Roman"/>
          <w:color w:val="auto"/>
          <w:sz w:val="24"/>
          <w:szCs w:val="24"/>
          <w:lang w:val="en-US" w:eastAsia="zh-CN"/>
        </w:rPr>
        <w:t xml:space="preserve">           </w:t>
      </w:r>
      <w:r>
        <w:rPr>
          <w:rFonts w:ascii="Times New Roman" w:hAnsi="Times New Roman" w:eastAsia="仿宋_GB2312" w:cs="Times New Roman"/>
          <w:color w:val="auto"/>
          <w:sz w:val="24"/>
          <w:szCs w:val="24"/>
        </w:rPr>
        <w:t xml:space="preserve"> </w:t>
      </w:r>
      <w:r>
        <w:rPr>
          <w:rFonts w:ascii="Times New Roman" w:hAnsi="Times New Roman" w:cs="Times New Roman"/>
          <w:color w:val="auto"/>
          <w:sz w:val="24"/>
        </w:rPr>
        <mc:AlternateContent>
          <mc:Choice Requires="wps">
            <w:drawing>
              <wp:anchor distT="0" distB="0" distL="114300" distR="114300" simplePos="0" relativeHeight="251666432" behindDoc="0" locked="0" layoutInCell="1" allowOverlap="1">
                <wp:simplePos x="0" y="0"/>
                <wp:positionH relativeFrom="column">
                  <wp:posOffset>5034915</wp:posOffset>
                </wp:positionH>
                <wp:positionV relativeFrom="paragraph">
                  <wp:posOffset>242570</wp:posOffset>
                </wp:positionV>
                <wp:extent cx="1197610" cy="542925"/>
                <wp:effectExtent l="6350" t="6350" r="15240" b="22225"/>
                <wp:wrapNone/>
                <wp:docPr id="26" name="圆角矩形 26"/>
                <wp:cNvGraphicFramePr/>
                <a:graphic xmlns:a="http://schemas.openxmlformats.org/drawingml/2006/main">
                  <a:graphicData uri="http://schemas.microsoft.com/office/word/2010/wordprocessingShape">
                    <wps:wsp>
                      <wps:cNvSpPr/>
                      <wps:spPr>
                        <a:xfrm>
                          <a:off x="0" y="0"/>
                          <a:ext cx="1197610" cy="542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lang w:val="en-US" w:eastAsia="zh-CN"/>
                              </w:rPr>
                              <w:t>0.02</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w:t>
                            </w:r>
                            <w:r>
                              <w:rPr>
                                <w:rFonts w:hint="eastAsia" w:ascii="Times New Roman" w:hAnsi="Times New Roman" w:eastAsia="仿宋" w:cs="Times New Roman"/>
                                <w:kern w:val="0"/>
                                <w:sz w:val="18"/>
                                <w:szCs w:val="18"/>
                                <w:lang w:val="en-US" w:eastAsia="zh-CN"/>
                              </w:rPr>
                              <w:t>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6.45pt;margin-top:19.1pt;height:42.75pt;width:94.3pt;z-index:251666432;v-text-anchor:middle;mso-width-relative:page;mso-height-relative:page;" fillcolor="#FFFFFF [3201]" filled="t" stroked="t" coordsize="21600,21600" arcsize="0.166666666666667" o:gfxdata="UEsDBAoAAAAAAIdO4kAAAAAAAAAAAAAAAAAEAAAAZHJzL1BLAwQUAAAACACHTuJAmKv62tgAAAAK&#10;AQAADwAAAGRycy9kb3ducmV2LnhtbE2Py07DMBBF90j8gzVI7KjzUMmjcbqohARSNxQktm5s4qj2&#10;ONhuG/6eYQXL0T2690y3XZxlFx3i5FFAvsqAaRy8mnAU8P729FADi0miktajFvCtI2z725tOtspf&#10;8VVfDmlkVIKxlQJMSnPLeRyMdjKu/KyRsk8fnEx0hpGrIK9U7iwvsuyROzkhLRg5653Rw+lwdgJC&#10;WvJqseYL1+nZ7V6G/Qcv90Lc3+XZBljSS/qD4Vef1KEnp6M/o4rMCqiaoiFUQFkXwAho6nwN7Ehk&#10;UVbA+47/f6H/AVBLAwQUAAAACACHTuJAleYYa4YCAAAMBQAADgAAAGRycy9lMm9Eb2MueG1srVTB&#10;bhMxEL0j8Q+W73Szq7SlUTdV1CgIqaIVBXF2vHbWku0xtpNN+QA+gDMSEhfER/A5FXwGY++2TUsP&#10;PbAH74xn/GbmecbHJ1ujyUb4oMDWtNwbUSIsh0bZVU3fv1u8eElJiMw2TIMVNb0SgZ5Mnz877txE&#10;VNCCboQnCGLDpHM1bWN0k6IIvBWGhT1wwqJRgjcsoupXReNZh+hGF9VodFB04BvngYsQcHfeG+mA&#10;6J8CCFIqLubA10bY2KN6oVnEkkKrXKDTnK2UgsdzKYOIRNcUK415xSAoL9NaTI/ZZOWZaxUfUmBP&#10;SeFBTYYpi0FvoeYsMrL26h8oo7iHADLucTBFX0hmBKsoRw+4uWyZE7kWpDq4W9LD/4PlbzYXnqim&#10;ptUBJZYZvPHrr5///Pjy+9vP61/fCW4jR50LE3S9dBd+0AKKqeCt9Cb9sRSyzbxe3fIqtpFw3CzL&#10;o8ODEinnaNsfV0fVfgIt7k47H+IrAYYkoaYe1rZ5i5eXOWWbsxB7/xu/FDGAVs1CaZ0Vv1qeak82&#10;DC96kb8hxD03bUmH+VSHo5QNw/aV2DYoGocUBLuihOkVzgWPPse+dzrsBhnl77EgKck5C22fTEZI&#10;bmxiVMTR0crU9OXuaW2RjERxT2qS4na5HZheQnOFd+Shb97g+EJhhDMW4gXz2K1YCs5zPMdFasD6&#10;YJAoacF/emw/+WMToZWSDrsfa/+4Zl5Qol9bbK+jcjxG2JiV8f5hhYrftSx3LXZtTgF5L/HlcDyL&#10;yT/qG1F6MB9w7GcpKpqY5Ri7Z3lQTmM/lfhwcDGbZTccEcfimb10PIEnCi3M1hGkyv2QiOrZGfjD&#10;IcltNQx0msJdPXvdPWLT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Jir+trYAAAACgEAAA8AAAAA&#10;AAAAAQAgAAAAIgAAAGRycy9kb3ducmV2LnhtbFBLAQIUABQAAAAIAIdO4kCV5hhrhgIAAAwFAAAO&#10;AAAAAAAAAAEAIAAAACcBAABkcnMvZTJvRG9jLnhtbFBLBQYAAAAABgAGAFkBAAAfBg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lang w:val="en-US" w:eastAsia="zh-CN"/>
                        </w:rPr>
                        <w:t>0.02</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w:t>
                      </w:r>
                      <w:r>
                        <w:rPr>
                          <w:rFonts w:hint="eastAsia" w:ascii="Times New Roman" w:hAnsi="Times New Roman" w:eastAsia="仿宋" w:cs="Times New Roman"/>
                          <w:kern w:val="0"/>
                          <w:sz w:val="18"/>
                          <w:szCs w:val="18"/>
                          <w:lang w:val="en-US" w:eastAsia="zh-CN"/>
                        </w:rPr>
                        <w:t>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rPr>
                          <w:rFonts w:ascii="Times New Roman" w:hAnsi="Times New Roman"/>
                        </w:rPr>
                      </w:pP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2367280</wp:posOffset>
                </wp:positionH>
                <wp:positionV relativeFrom="paragraph">
                  <wp:posOffset>222885</wp:posOffset>
                </wp:positionV>
                <wp:extent cx="1197610" cy="593725"/>
                <wp:effectExtent l="6350" t="6350" r="15240" b="9525"/>
                <wp:wrapNone/>
                <wp:docPr id="28" name="圆角矩形 28"/>
                <wp:cNvGraphicFramePr/>
                <a:graphic xmlns:a="http://schemas.openxmlformats.org/drawingml/2006/main">
                  <a:graphicData uri="http://schemas.microsoft.com/office/word/2010/wordprocessingShape">
                    <wps:wsp>
                      <wps:cNvSpPr/>
                      <wps:spPr>
                        <a:xfrm>
                          <a:off x="0" y="0"/>
                          <a:ext cx="1197610" cy="593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总挖方</w:t>
                            </w:r>
                            <w:r>
                              <w:rPr>
                                <w:rFonts w:hint="eastAsia" w:ascii="Times New Roman" w:hAnsi="Times New Roman" w:eastAsia="仿宋" w:cs="Times New Roman"/>
                                <w:kern w:val="0"/>
                                <w:sz w:val="18"/>
                                <w:szCs w:val="18"/>
                                <w:lang w:val="en-US" w:eastAsia="zh-CN"/>
                              </w:rPr>
                              <w:t>0.04</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vertAlign w:val="superscript"/>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6.4pt;margin-top:17.55pt;height:46.75pt;width:94.3pt;z-index:251663360;v-text-anchor:middle;mso-width-relative:page;mso-height-relative:page;" fillcolor="#FFFFFF [3201]" filled="t" stroked="t" coordsize="21600,21600" arcsize="0.166666666666667" o:gfxdata="UEsDBAoAAAAAAIdO4kAAAAAAAAAAAAAAAAAEAAAAZHJzL1BLAwQUAAAACACHTuJAjshv/NgAAAAK&#10;AQAADwAAAGRycy9kb3ducmV2LnhtbE2PwU7DMAyG70i8Q2QkbixNR7upa7rDJCSQdmEgcc2a0FRL&#10;nJJkW3l7zAlutvzp9/e329k7djExjQEliEUBzGAf9IiDhPe3p4c1sJQVauUCGgnfJsG2u71pVaPD&#10;FV/N5ZAHRiGYGiXB5jw1nKfeGq/SIkwG6fYZoleZ1jhwHdWVwr3jZVHU3KsR6YNVk9lZ058OZy8h&#10;5lmsZme/sMrPfvfS7z/4ci/l/Z0oNsCymfMfDL/6pA4dOR3DGXViTsJyVZJ6pqESwAioavEI7Ehk&#10;ua6Bdy3/X6H7AVBLAwQUAAAACACHTuJA9nxb+4YCAAAMBQAADgAAAGRycy9lMm9Eb2MueG1srVTN&#10;bhMxEL4j8Q6W73ST0DZt1E0VNQpCqmhEQZwdrzdryX/Yzk95AB6AMxISF8RD8DgVPAafvds2LT30&#10;wB68M57xNzOfZ3xyutWKrIUP0pqS9vd6lAjDbSXNsqTv381eHFESIjMVU9aIkl6JQE/Hz5+dbNxI&#10;DGxjVSU8AYgJo40raROjGxVF4I3QLOxZJwyMtfWaRah+WVSebYCuVTHo9Q6LjfWV85aLELA7bY20&#10;Q/RPAbR1LbmYWr7SwsQW1QvFIkoKjXSBjnO2dS14vKjrICJRJUWlMa8IAnmR1mJ8wkZLz1wjeZcC&#10;e0oKD2rSTBoEvYWassjIyst/oLTk3gZbxz1uddEWkhlBFf3eA24uG+ZErgVUB3dLevh/sPzNeu6J&#10;rEo6wL0bpnHj118///nx5fe3n9e/vhNsg6ONCyO4Xrq577QAMRW8rb1Of5RCtpnXq1texTYSjs1+&#10;/3h42AflHLaD45fDwUECLe5OOx/iK2E1SUJJvV2Z6i0uL3PK1uchtv43filisEpWM6lUVvxycaY8&#10;WTNc9Cx/XYh7bsqQDfIZDHspG4b2rdE2ELUDBcEsKWFqibng0efY906H3SC9/D0WJCU5ZaFpk8kI&#10;yY2NtIwYHSV1SY92TysDMhLFLalJitvFtmN6Yasr3JG3bfMGx2cSEc5ZiHPm0a0oBfMcL7DUyqI+&#10;20mUNNZ/emw/+aOJYKVkg+5H7R9XzAtK1GuD9jru7+8DNmZl/2A4gOJ3LYtdi1npMwve+3g5HM9i&#10;8o/qRqy91R8w9pMUFSZmOGK3LHfKWWynEg8HF5NJdsOIOBbPzaXjCTxRaOxkFW0tcz8kolp2Ov4w&#10;JLmtuoFOU7irZ6+7R2z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7Ib/zYAAAACgEAAA8AAAAA&#10;AAAAAQAgAAAAIgAAAGRycy9kb3ducmV2LnhtbFBLAQIUABQAAAAIAIdO4kD2fFv7hgIAAAwFAAAO&#10;AAAAAAAAAAEAIAAAACcBAABkcnMvZTJvRG9jLnhtbFBLBQYAAAAABgAGAFkBAAAfBg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总挖方</w:t>
                      </w:r>
                      <w:r>
                        <w:rPr>
                          <w:rFonts w:hint="eastAsia" w:ascii="Times New Roman" w:hAnsi="Times New Roman" w:eastAsia="仿宋" w:cs="Times New Roman"/>
                          <w:kern w:val="0"/>
                          <w:sz w:val="18"/>
                          <w:szCs w:val="18"/>
                          <w:lang w:val="en-US" w:eastAsia="zh-CN"/>
                        </w:rPr>
                        <w:t>0.04</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vertAlign w:val="superscript"/>
                        </w:rPr>
                      </w:pPr>
                    </w:p>
                  </w:txbxContent>
                </v:textbox>
              </v:roundrect>
            </w:pict>
          </mc:Fallback>
        </mc:AlternateContent>
      </w:r>
    </w:p>
    <w:p>
      <w:pPr>
        <w:spacing w:line="360" w:lineRule="auto"/>
        <w:rPr>
          <w:rFonts w:ascii="Times New Roman" w:hAnsi="Times New Roman" w:eastAsia="仿宋_GB2312" w:cs="Times New Roman"/>
          <w:color w:val="auto"/>
          <w:sz w:val="24"/>
          <w:szCs w:val="24"/>
        </w:rPr>
      </w:pPr>
      <w:r>
        <w:rPr>
          <w:rFonts w:ascii="Times New Roman" w:hAnsi="Times New Roman" w:cs="Times New Roman"/>
          <w:color w:val="auto"/>
          <w:sz w:val="24"/>
        </w:rPr>
        <mc:AlternateContent>
          <mc:Choice Requires="wps">
            <w:drawing>
              <wp:anchor distT="0" distB="0" distL="114300" distR="114300" simplePos="0" relativeHeight="251696128" behindDoc="0" locked="0" layoutInCell="1" allowOverlap="1">
                <wp:simplePos x="0" y="0"/>
                <wp:positionH relativeFrom="column">
                  <wp:posOffset>6348095</wp:posOffset>
                </wp:positionH>
                <wp:positionV relativeFrom="paragraph">
                  <wp:posOffset>81280</wp:posOffset>
                </wp:positionV>
                <wp:extent cx="484505" cy="282575"/>
                <wp:effectExtent l="6350" t="6350" r="12065" b="15875"/>
                <wp:wrapNone/>
                <wp:docPr id="4" name="圆角矩形 4"/>
                <wp:cNvGraphicFramePr/>
                <a:graphic xmlns:a="http://schemas.openxmlformats.org/drawingml/2006/main">
                  <a:graphicData uri="http://schemas.microsoft.com/office/word/2010/wordprocessingShape">
                    <wps:wsp>
                      <wps:cNvSpPr/>
                      <wps:spPr>
                        <a:xfrm>
                          <a:off x="0" y="0"/>
                          <a:ext cx="484505" cy="282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0.02</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99.85pt;margin-top:6.4pt;height:22.25pt;width:38.15pt;z-index:251696128;v-text-anchor:middle;mso-width-relative:page;mso-height-relative:page;" fillcolor="#FFFFFF [3201]" filled="t" stroked="t" coordsize="21600,21600" arcsize="0.166666666666667" o:gfxdata="UEsDBAoAAAAAAIdO4kAAAAAAAAAAAAAAAAAEAAAAZHJzL1BLAwQUAAAACACHTuJA31Sm1NcAAAAK&#10;AQAADwAAAGRycy9kb3ducmV2LnhtbE2PwU7DMBBE70j8g7VI3KidVm1IGqeHSkgg9UKLxNWNTRzV&#10;XgfbbcPfsz3BcTWj2feazeQdu5iYhoASipkAZrALesBewsfh5ekZWMoKtXIBjYQfk2DT3t81qtbh&#10;iu/mss89oxFMtZJgcx5rzlNnjVdpFkaDlH2F6FWmM/ZcR3Wlce/4XIgV92pA+mDVaLbWdKf92UuI&#10;eSrKydlvXOZXv33rdp98sZPy8aEQa2DZTPmvDDd8QoeWmI7hjDoxJ6GqqpKqFMxJ4VYQ5YrsjhKW&#10;5QJ42/D/Cu0vUEsDBBQAAAAIAIdO4kAxg2WhhQIAAAkFAAAOAAAAZHJzL2Uyb0RvYy54bWytVM1u&#10;EzEQviPxDpbvZDfRhoaomypqFIQU0YqCODteb9aS/xg72ZQH4AE4I1XigngIHqeCx2Ds3bZp6aEH&#10;9uCd8Yxn5vs84+OTvVZkJ8BLa0o6HOSUCMNtJc2mpB/eL19MKPGBmYopa0RJL4WnJ7Pnz45bNxUj&#10;21hVCSAYxPhp60rahOCmWeZ5IzTzA+uEQWNtQbOAKmyyCliL0bXKRnn+MmstVA4sF97j7qIz0j4i&#10;PCWgrWvJxcLyrRYmdFFBKBYQkm+k83SWqq1rwcNZXXsRiCopIg1pxSQor+OazY7ZdAPMNZL3JbCn&#10;lPAAk2bSYNLbUAsWGNmC/CeUlhyst3UYcKuzDkhiBFEM8wfcXDTMiYQFqfbulnT//8Lyt7tzILIq&#10;aUGJYRov/Prblz8/vv6++nn96zspIkOt81N0vHDn0GsexQh3X4OOfwRC9onVy1tWxT4QjpvFpBjn&#10;Y0o4mkaT0fhoHGNmd4cd+PBaWE2iUFKwW1O9w5tLhLLdyofO/8YvJvRWyWoplUoKbNanCsiO4S0v&#10;09enuOemDGmx40dHOd4+Z9i7NfYMitohfm82lDC1waHgAVLue6f9YZI8fY8liUUumG+6YlKE6Mam&#10;WgacGyV1SSeHp5VBMiLDHadRCvv1vid6batLvCCwXed6x5cSM6yYD+cMsFURCg5zOMOlVhbx2V6i&#10;pLHw+bH96I8dhFZKWmx9xP5py0BQot4Y7K1Xw6KIs5KUYnw0QgUOLetDi9nqU4u8D/HZcDyJ0T+o&#10;G7EGqz/izM9jVjQxwzF3x3KvnIZuJPHV4GI+T244H46FlblwPAaPFBo73wZby9QPkaiOnZ4/nJDU&#10;Vv00xxE81JPX3Qs2+w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fVKbU1wAAAAoBAAAPAAAAAAAA&#10;AAEAIAAAACIAAABkcnMvZG93bnJldi54bWxQSwECFAAUAAAACACHTuJAMYNloYUCAAAJBQAADgAA&#10;AAAAAAABACAAAAAmAQAAZHJzL2Uyb0RvYy54bWxQSwUGAAAAAAYABgBZAQAAHQYAAAAA&#10;">
                <v:fill on="t" focussize="0,0"/>
                <v:stroke weight="1pt" color="#000000 [3213]" miterlimit="8" joinstyle="miter"/>
                <v:imagedata o:title=""/>
                <o:lock v:ext="edit" aspectratio="f"/>
                <v:textbox>
                  <w:txbxContent>
                    <w:p>
                      <w:pPr>
                        <w:jc w:val="cente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0.02</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v:textbox>
              </v:roundrect>
            </w:pict>
          </mc:Fallback>
        </mc:AlternateContent>
      </w:r>
      <w:r>
        <w:rPr>
          <w:color w:val="auto"/>
          <w:sz w:val="24"/>
        </w:rPr>
        <mc:AlternateContent>
          <mc:Choice Requires="wps">
            <w:drawing>
              <wp:anchor distT="0" distB="0" distL="114300" distR="114300" simplePos="0" relativeHeight="251695104" behindDoc="0" locked="0" layoutInCell="1" allowOverlap="1">
                <wp:simplePos x="0" y="0"/>
                <wp:positionH relativeFrom="column">
                  <wp:posOffset>6245225</wp:posOffset>
                </wp:positionH>
                <wp:positionV relativeFrom="paragraph">
                  <wp:posOffset>231775</wp:posOffset>
                </wp:positionV>
                <wp:extent cx="748030" cy="6350"/>
                <wp:effectExtent l="0" t="0" r="0" b="0"/>
                <wp:wrapNone/>
                <wp:docPr id="3" name="直接连接符 3"/>
                <wp:cNvGraphicFramePr/>
                <a:graphic xmlns:a="http://schemas.openxmlformats.org/drawingml/2006/main">
                  <a:graphicData uri="http://schemas.microsoft.com/office/word/2010/wordprocessingShape">
                    <wps:wsp>
                      <wps:cNvCnPr/>
                      <wps:spPr>
                        <a:xfrm>
                          <a:off x="0" y="0"/>
                          <a:ext cx="74803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1.75pt;margin-top:18.25pt;height:0.5pt;width:58.9pt;z-index:251695104;mso-width-relative:page;mso-height-relative:page;" filled="f" stroked="t" coordsize="21600,21600" o:gfxdata="UEsDBAoAAAAAAIdO4kAAAAAAAAAAAAAAAAAEAAAAZHJzL1BLAwQUAAAACACHTuJAvelB4tgAAAAK&#10;AQAADwAAAGRycy9kb3ducmV2LnhtbE2PwU7DMAyG70i8Q2Qkbiwt1dbSNd0BiQMSElA4cMwar+1o&#10;nNJkbXl7vBM7WbY//f5c7BbbiwlH3zlSEK8iEEi1Mx01Cj4/nu4yED5oMrp3hAp+0cOuvL4qdG7c&#10;TO84VaERHEI+1wraEIZcSl+3aLVfuQGJdwc3Wh24HRtpRj1zuO3lfRRtpNUd8YVWD/jYYv1dnSyn&#10;UPpzWPrx6+31pc2q+YjPU4pK3d7E0RZEwCX8w3DWZ3Uo2WnvTmS86BU8ZMmaUQXJhusZiKM4AbHn&#10;SboGWRby8oXyD1BLAwQUAAAACACHTuJAhAHGIuIBAACzAwAADgAAAGRycy9lMm9Eb2MueG1srVPN&#10;bhMxEL4j8Q6W72S3DZRolU0PjcoFQSTgASZee9eS/+Rxs8lL8AJI3ODEkTtvQ3kMxt6QlnLpgT14&#10;x/Pzjb/P4+Xl3hq2kxG1dy0/m9WcSSd8p13f8g/vr58tOMMErgPjnWz5QSK/XD19shxDI8/94E0n&#10;IyMQh80YWj6kFJqqQjFICzjzQToKKh8tJNrGvuoijIRuTXVe1xfV6GMXohcSkbzrKciPiPExgF4p&#10;LeTaixsrXZpQozSQiBIOOiBfldMqJUV6qxTKxEzLiWkqKzUhe5vXarWEpo8QBi2OR4DHHOEBJwva&#10;UdMT1BoSsJuo/4GyWkSPXqWZ8LaaiBRFiMVZ/UCbdwMEWbiQ1BhOouP/gxVvdpvIdNfyOWcOLF34&#10;7afvPz9++fXjM623376yeRZpDNhQ7pXbxOMOwyZmxnsVbf4TF7Yvwh5Owsp9YoKcL58v6jlJLih0&#10;MX9RZK/uSkPE9Ep6y7LRcqNdZg0N7F5jonaU+iclu52/1saUmzOOjUdIJoCmUdEUUB8biBG6njMw&#10;PY25SLEgoje6y9UZB2O/vTKR7SAPR/kyVer2V1puvQYcprwSmsbG6kQvwWjb8sX9auMIJAs2SZSt&#10;re8ORbnip7ssbY5zl4fl/r5U3721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96UHi2AAAAAoB&#10;AAAPAAAAAAAAAAEAIAAAACIAAABkcnMvZG93bnJldi54bWxQSwECFAAUAAAACACHTuJAhAHGIuIB&#10;AACzAwAADgAAAAAAAAABACAAAAAnAQAAZHJzL2Uyb0RvYy54bWxQSwUGAAAAAAYABgBZAQAAewUA&#10;AAAA&#10;">
                <v:fill on="f" focussize="0,0"/>
                <v:stroke weight="0.5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89984" behindDoc="0" locked="0" layoutInCell="1" allowOverlap="1">
                <wp:simplePos x="0" y="0"/>
                <wp:positionH relativeFrom="column">
                  <wp:posOffset>7705725</wp:posOffset>
                </wp:positionH>
                <wp:positionV relativeFrom="paragraph">
                  <wp:posOffset>240030</wp:posOffset>
                </wp:positionV>
                <wp:extent cx="981075" cy="454660"/>
                <wp:effectExtent l="6350" t="6350" r="18415" b="11430"/>
                <wp:wrapNone/>
                <wp:docPr id="59" name="圆角矩形 59"/>
                <wp:cNvGraphicFramePr/>
                <a:graphic xmlns:a="http://schemas.openxmlformats.org/drawingml/2006/main">
                  <a:graphicData uri="http://schemas.microsoft.com/office/word/2010/wordprocessingShape">
                    <wps:wsp>
                      <wps:cNvSpPr/>
                      <wps:spPr>
                        <a:xfrm>
                          <a:off x="0" y="0"/>
                          <a:ext cx="981075" cy="45466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表土</w:t>
                            </w:r>
                            <w:r>
                              <w:rPr>
                                <w:rFonts w:ascii="Times New Roman" w:hAnsi="Times New Roman" w:eastAsia="仿宋" w:cs="Times New Roman"/>
                                <w:kern w:val="0"/>
                                <w:sz w:val="18"/>
                                <w:szCs w:val="18"/>
                              </w:rPr>
                              <w:t>0.</w:t>
                            </w:r>
                            <w:r>
                              <w:rPr>
                                <w:rFonts w:hint="eastAsia" w:ascii="Times New Roman" w:hAnsi="Times New Roman" w:eastAsia="仿宋" w:cs="Times New Roman"/>
                                <w:kern w:val="0"/>
                                <w:sz w:val="18"/>
                                <w:szCs w:val="18"/>
                                <w:lang w:val="en-US" w:eastAsia="zh-CN"/>
                              </w:rPr>
                              <w:t>01</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606.75pt;margin-top:18.9pt;height:35.8pt;width:77.25pt;z-index:251689984;v-text-anchor:middle;mso-width-relative:page;mso-height-relative:page;" fillcolor="#FFFFFF [3201]" filled="t" stroked="t" coordsize="21600,21600" arcsize="0.166666666666667" o:gfxdata="UEsDBAoAAAAAAIdO4kAAAAAAAAAAAAAAAAAEAAAAZHJzL1BLAwQUAAAACACHTuJAZiveftgAAAAM&#10;AQAADwAAAGRycy9kb3ducmV2LnhtbE2Py07DMBBF90j8gzVI7Kidhj4IcbqohARSNxQktm48xBH2&#10;OMRuG/6e6Qp2czVH91FvpuDFCcfUR9JQzBQIpDbanjoN729Pd2sQKRuyxkdCDT+YYNNcX9WmsvFM&#10;r3ja506wCaXKaHA5D5WUqXUYTJrFAYl/n3EMJrMcO2lHc2bz4OVcqaUMpidOcGbArcP2a38MGsY8&#10;FavJu29a5OewfWl3H7LcaX17U6hHEBmn/AfDpT5Xh4Y7HeKRbBKe9bwoF8xqKFe84UKUyzXPO/Cl&#10;Hu5BNrX8P6L5BVBLAwQUAAAACACHTuJAo9XYU4kCAAALBQAADgAAAGRycy9lMm9Eb2MueG1srVTN&#10;bhMxEL4j8Q6W73STKOlP1E0VNQpCqmhFQZwdrzdryX/Yzk95AB6AM1IlLoiH4HEqeAw+e7dtWnro&#10;gT14Zzzjmfk+z/j4ZKsVWQsfpDUl7e/1KBGG20qaZUk/vJ+/OqQkRGYqpqwRJb0SgZ5MXr443rix&#10;GNjGqkp4giAmjDeupE2MblwUgTdCs7BnnTAw1tZrFqH6ZVF5tkF0rYpBr7dfbKyvnLdchIDdWWuk&#10;XUT/nIC2riUXM8tXWpjYRvVCsQhIoZEu0Emutq4Fj+d1HUQkqqRAGvOKJJAXaS0mx2y89Mw1kncl&#10;sOeU8AiTZtIg6V2oGYuMrLz8J5SW3Ntg67jHrS5aIJkRoOj3HnFz2TAnMhZQHdwd6eH/heVv1xee&#10;yKqkoyNKDNO48ZtvX/78+Pr7+ufNr+8E2+Bo48IYrpfuwndagJgAb2uv0x9QyDbzenXHq9hGwrF5&#10;dNjvHYwo4TANR8P9/cx7cX/Y+RBfC6tJEkrq7cpU73B3mVK2PgsRWeF/65cSBqtkNZdKZcUvF6fK&#10;kzXDPc/zl8rGkQduypANen5w0MP9c4burdE1ELUDA8EsKWFqibHg0efcD06H3SS9/D2VJBU5Y6Fp&#10;i8kRkhsbaxkxOUrqkh7unlYGlSaGW06TFLeLbUf0wlZXuCJv294Njs8lMpyxEC+YR7MCCsY5nmOp&#10;lQU+20mUNNZ/fmo/+aOHYKVkg+YH9k8r5gUl6o1Bdx31h8M0LVkZjg4GUPyuZbFrMSt9asF7Hw+H&#10;41lM/lHdirW3+iOmfpqywsQMR+6W5U45je1Q4t3gYjrNbpgQx+KZuXQ8BU8UGjtdRVvL3A+JqJad&#10;jj/MSL7zbp7TEO7q2ev+DZv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Yr3n7YAAAADAEAAA8A&#10;AAAAAAAAAQAgAAAAIgAAAGRycy9kb3ducmV2LnhtbFBLAQIUABQAAAAIAIdO4kCj1dhTiQIAAAsF&#10;AAAOAAAAAAAAAAEAIAAAACcBAABkcnMvZTJvRG9jLnhtbFBLBQYAAAAABgAGAFkBAAAiBgAAAAA=&#10;">
                <v:fill on="t" focussize="0,0"/>
                <v:stroke weight="1pt" color="#000000 [3213]" miterlimit="8" joinstyle="miter"/>
                <v:imagedata o:title=""/>
                <o:lock v:ext="edit" aspectratio="f"/>
                <v:textbox>
                  <w:txbxContent>
                    <w:p>
                      <w:pP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表土</w:t>
                      </w:r>
                      <w:r>
                        <w:rPr>
                          <w:rFonts w:ascii="Times New Roman" w:hAnsi="Times New Roman" w:eastAsia="仿宋" w:cs="Times New Roman"/>
                          <w:kern w:val="0"/>
                          <w:sz w:val="18"/>
                          <w:szCs w:val="18"/>
                        </w:rPr>
                        <w:t>0.</w:t>
                      </w:r>
                      <w:r>
                        <w:rPr>
                          <w:rFonts w:hint="eastAsia" w:ascii="Times New Roman" w:hAnsi="Times New Roman" w:eastAsia="仿宋" w:cs="Times New Roman"/>
                          <w:kern w:val="0"/>
                          <w:sz w:val="18"/>
                          <w:szCs w:val="18"/>
                          <w:lang w:val="en-US" w:eastAsia="zh-CN"/>
                        </w:rPr>
                        <w:t>01</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v:textbox>
              </v:roundrect>
            </w:pict>
          </mc:Fallback>
        </mc:AlternateContent>
      </w:r>
      <w:r>
        <w:rPr>
          <w:color w:val="auto"/>
          <w:sz w:val="24"/>
        </w:rPr>
        <mc:AlternateContent>
          <mc:Choice Requires="wps">
            <w:drawing>
              <wp:anchor distT="0" distB="0" distL="114300" distR="114300" simplePos="0" relativeHeight="251691008" behindDoc="0" locked="0" layoutInCell="1" allowOverlap="1">
                <wp:simplePos x="0" y="0"/>
                <wp:positionH relativeFrom="column">
                  <wp:posOffset>6991985</wp:posOffset>
                </wp:positionH>
                <wp:positionV relativeFrom="paragraph">
                  <wp:posOffset>-558800</wp:posOffset>
                </wp:positionV>
                <wp:extent cx="30480" cy="2440940"/>
                <wp:effectExtent l="4445" t="0" r="10795" b="12700"/>
                <wp:wrapNone/>
                <wp:docPr id="2" name="直接连接符 2"/>
                <wp:cNvGraphicFramePr/>
                <a:graphic xmlns:a="http://schemas.openxmlformats.org/drawingml/2006/main">
                  <a:graphicData uri="http://schemas.microsoft.com/office/word/2010/wordprocessingShape">
                    <wps:wsp>
                      <wps:cNvCnPr/>
                      <wps:spPr>
                        <a:xfrm>
                          <a:off x="0" y="0"/>
                          <a:ext cx="30480" cy="244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50.55pt;margin-top:-44pt;height:192.2pt;width:2.4pt;z-index:251691008;mso-width-relative:page;mso-height-relative:page;" filled="f" stroked="t" coordsize="21600,21600" o:gfxdata="UEsDBAoAAAAAAIdO4kAAAAAAAAAAAAAAAAAEAAAAZHJzL1BLAwQUAAAACACHTuJAQFUce9oAAAAN&#10;AQAADwAAAGRycy9kb3ducmV2LnhtbE2PMU/DMBCF90r8B+uQ2FrbFbRpiNMBiQEJCRoYGN3kmgTi&#10;c4jdJPx7rhOMT/f03fey/ew6MeIQWk8G9EqBQCp91VJt4P3tcZmACNFSZTtPaOAHA+zzq0Vm08pP&#10;dMCxiLVgCIXUGmhi7FMpQ9mgs2HleyS+nfzgbOQ41LIa7MRw18m1UhvpbEv8obE9PjRYfhVnxxTa&#10;fp/mbvh4fXlukmL6xKdxi8bcXGt1DyLiHP/KcNFndcjZ6ejPVAXRcdZKa+4aWCYJr7pUtLrbgTga&#10;WO82tyDzTP5fkf8CUEsDBBQAAAAIAIdO4kBDNQLy5wEAALUDAAAOAAAAZHJzL2Uyb0RvYy54bWyt&#10;U82O0zAQviPxDpbvNNlsWZWo6R62Wi4IKgEPMHWcxJL/5PE27UvwAkjc4MSRO2/D7mMwdkp3WS57&#10;IAdnPD/f+Ps8Xl7ujWY7GVA52/CzWcmZtMK1yvYN//jh+sWCM4xgW9DOyoYfJPLL1fNny9HXsnKD&#10;060MjEAs1qNv+BCjr4sCxSAN4Mx5aSnYuWAg0jb0RRtgJHSji6osL4rRhdYHJyQieddTkB8Rw1MA&#10;XdcpIddO3Bhp44QapIZIlHBQHvkqn7brpIjvug5lZLrhxDTmlZqQvU1rsVpC3QfwgxLHI8BTjvCI&#10;kwFlqekJag0R2E1Q/0AZJYJD18WZcKaYiGRFiMVZ+Uib9wN4mbmQ1OhPouP/gxVvd5vAVNvwijML&#10;hi789vOPX5++3v38Quvt92+sSiKNHmvKvbKbcNyh34TEeN8Fk/7Ehe2zsIeTsHIfmSDneTlfkOKC&#10;ItV8Xr6aZ+GL+2IfML6WzrBkNFwrm3hDDbs3GKkhpf5JSW7rrpXW+e60ZWPDL85fJnygeexoDsg0&#10;njih7TkD3dOgixgyIjqt2lSdcDD02ysd2A7SeOQvkaVuf6Wl1mvAYcrLoWlwjIr0FrQyDV88rNaW&#10;QJJkk0jJ2rr2kLXLfrrN3OY4eWlcHu5z9f1rW/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FUc&#10;e9oAAAANAQAADwAAAAAAAAABACAAAAAiAAAAZHJzL2Rvd25yZXYueG1sUEsBAhQAFAAAAAgAh07i&#10;QEM1AvLnAQAAtQMAAA4AAAAAAAAAAQAgAAAAKQEAAGRycy9lMm9Eb2MueG1sUEsFBgAAAAAGAAYA&#10;WQEAAIIFAAAAAA==&#10;">
                <v:fill on="f" focussize="0,0"/>
                <v:stroke weight="0.5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153035</wp:posOffset>
                </wp:positionH>
                <wp:positionV relativeFrom="paragraph">
                  <wp:posOffset>36830</wp:posOffset>
                </wp:positionV>
                <wp:extent cx="1197610" cy="333375"/>
                <wp:effectExtent l="6350" t="6350" r="15240" b="22225"/>
                <wp:wrapNone/>
                <wp:docPr id="34" name="圆角矩形 34"/>
                <wp:cNvGraphicFramePr/>
                <a:graphic xmlns:a="http://schemas.openxmlformats.org/drawingml/2006/main">
                  <a:graphicData uri="http://schemas.microsoft.com/office/word/2010/wordprocessingShape">
                    <wps:wsp>
                      <wps:cNvSpPr/>
                      <wps:spPr>
                        <a:xfrm>
                          <a:off x="0" y="0"/>
                          <a:ext cx="1197610" cy="333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rPr>
                            </w:pPr>
                            <w:r>
                              <w:rPr>
                                <w:rFonts w:hint="eastAsia" w:ascii="Times New Roman" w:hAnsi="Times New Roman" w:eastAsia="仿宋_GB2312" w:cs="宋体"/>
                                <w:kern w:val="0"/>
                                <w:sz w:val="18"/>
                                <w:szCs w:val="18"/>
                                <w:vertAlign w:val="baseline"/>
                                <w:lang w:eastAsia="zh-CN"/>
                              </w:rPr>
                              <w:t>临时生活区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05pt;margin-top:2.9pt;height:26.25pt;width:94.3pt;z-index:251662336;v-text-anchor:middle;mso-width-relative:page;mso-height-relative:page;" fillcolor="#FFFFFF [3201]" filled="t" stroked="t" coordsize="21600,21600" arcsize="0.166666666666667" o:gfxdata="UEsDBAoAAAAAAIdO4kAAAAAAAAAAAAAAAAAEAAAAZHJzL1BLAwQUAAAACACHTuJAqwyOJtQAAAAH&#10;AQAADwAAAGRycy9kb3ducmV2LnhtbE2PwU7DMBBE70j8g7VI3KjjlFKUxumhEhJIvdAicXXjbRxh&#10;r0PstuHv2Z7gOJrRzJt6PQUvzjimPpIGNStAILXR9tRp+Ni/PDyDSNmQNT4SavjBBOvm9qY2lY0X&#10;esfzLneCSyhVRoPLeaikTK3DYNIsDkjsHeMYTGY5dtKO5sLlwcuyKJ5kMD3xgjMDbhy2X7tT0DDm&#10;SS0n775pkV/D5q3dfsr5Vuv7O1WsQGSc8l8YrviMDg0zHeKJbBJeQ/moOKlhwQfYLlW5BHG46jnI&#10;ppb/+ZtfUEsDBBQAAAAIAIdO4kC43uHJhQIAAAwFAAAOAAAAZHJzL2Uyb0RvYy54bWytVM1uEzEQ&#10;viPxDpbvdJM0bdqomypqFIRUQUVBnB2vN2vJf9jOT3kAHoAzEhIXxEPwOBU8Bp+92zYtPfTAHrwz&#10;nvE3M59nfHK61YqshQ/SmpL293qUCMNtJc2ypO/fzV8cURIiMxVT1oiSXolATyfPn51s3FgMbGNV&#10;JTwBiAnjjStpE6MbF0XgjdAs7FknDIy19ZpFqH5ZVJ5tgK5VMej1DouN9ZXzlosQsDtrjbRD9E8B&#10;tHUtuZhZvtLCxBbVC8UiSgqNdIFOcrZ1LXh8U9dBRKJKikpjXhEE8iKtxeSEjZeeuUbyLgX2lBQe&#10;1KSZNAh6CzVjkZGVl/9Aacm9DbaOe9zqoi0kM4Iq+r0H3Fw2zIlcC6gO7pb08P9g+ev1hSeyKun+&#10;kBLDNG78+uvnPz++/P728/rXd4JtcLRxYQzXS3fhOy1ATAVva6/TH6WQbeb16pZXsY2EY7PfPx4d&#10;9kE5h20f3+gggRZ3p50P8aWwmiShpN6uTPUWl5c5ZevzEFv/G78UMVglq7lUKit+uThTnqwZLnqe&#10;vy7EPTdlyAb5DEa9lA1D+9ZoG4jagYJglpQwtcRc8Ohz7Hunw26QXv4eC5KSnLHQtMlkhOTGxlpG&#10;jI6SuqRHu6eVARmJ4pbUJMXtYtsxvbDVFe7I27Z5g+NziQjnLMQL5tGtKAXzHN9gqZVFfbaTKGms&#10;//TYfvJHE8FKyQbdj9o/rpgXlKhXBu113B8OARuzMjwYDaD4Xcti12JW+syC9z5eDsezmPyjuhFr&#10;b/UHjP00RYWJGY7YLcudchbbqcTDwcV0mt0wIo7Fc3PpeAJPFBo7XUVby9wPiaiWnY4/DEluq26g&#10;0xTu6tnr7hGb/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rDI4m1AAAAAcBAAAPAAAAAAAAAAEA&#10;IAAAACIAAABkcnMvZG93bnJldi54bWxQSwECFAAUAAAACACHTuJAuN7hyYUCAAAMBQAADgAAAAAA&#10;AAABACAAAAAjAQAAZHJzL2Uyb0RvYy54bWxQSwUGAAAAAAYABgBZAQAAGgYAAAAA&#10;">
                <v:fill on="t" focussize="0,0"/>
                <v:stroke weight="1pt" color="#000000 [3213]" miterlimit="8" joinstyle="miter"/>
                <v:imagedata o:title=""/>
                <o:lock v:ext="edit" aspectratio="f"/>
                <v:textbox>
                  <w:txbxContent>
                    <w:p>
                      <w:pPr>
                        <w:jc w:val="center"/>
                        <w:rPr>
                          <w:rFonts w:ascii="Times New Roman" w:hAnsi="Times New Roman"/>
                        </w:rPr>
                      </w:pPr>
                      <w:r>
                        <w:rPr>
                          <w:rFonts w:hint="eastAsia" w:ascii="Times New Roman" w:hAnsi="Times New Roman" w:eastAsia="仿宋_GB2312" w:cs="宋体"/>
                          <w:kern w:val="0"/>
                          <w:sz w:val="18"/>
                          <w:szCs w:val="18"/>
                          <w:vertAlign w:val="baseline"/>
                          <w:lang w:eastAsia="zh-CN"/>
                        </w:rPr>
                        <w:t>临时生活区</w:t>
                      </w: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71552" behindDoc="0" locked="0" layoutInCell="1" allowOverlap="1">
                <wp:simplePos x="0" y="0"/>
                <wp:positionH relativeFrom="column">
                  <wp:posOffset>3564890</wp:posOffset>
                </wp:positionH>
                <wp:positionV relativeFrom="paragraph">
                  <wp:posOffset>217170</wp:posOffset>
                </wp:positionV>
                <wp:extent cx="1470025" cy="5715"/>
                <wp:effectExtent l="0" t="50165" r="15875" b="58420"/>
                <wp:wrapNone/>
                <wp:docPr id="37" name="直接箭头连接符 37"/>
                <wp:cNvGraphicFramePr/>
                <a:graphic xmlns:a="http://schemas.openxmlformats.org/drawingml/2006/main">
                  <a:graphicData uri="http://schemas.microsoft.com/office/word/2010/wordprocessingShape">
                    <wps:wsp>
                      <wps:cNvCnPr/>
                      <wps:spPr>
                        <a:xfrm flipV="1">
                          <a:off x="0" y="0"/>
                          <a:ext cx="1470025" cy="57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280.7pt;margin-top:17.1pt;height:0.45pt;width:115.75pt;z-index:251671552;mso-width-relative:page;mso-height-relative:page;" filled="f" stroked="t" coordsize="21600,21600" o:gfxdata="UEsDBAoAAAAAAIdO4kAAAAAAAAAAAAAAAAAEAAAAZHJzL1BLAwQUAAAACACHTuJATs0IktsAAAAJ&#10;AQAADwAAAGRycy9kb3ducmV2LnhtbE2PUUvDMBDH3wW/QzjBN5embtPVpkMqwnATcQriW9acbbFJ&#10;SpJ29dvvfNLHu/vxv98/X0+mYyP60DorQcwSYGgrp1tbS3h/e7y6BRaislp1zqKEHwywLs7PcpVp&#10;d7SvOO5jzSjEhkxJaGLsM85D1aBRYeZ6tHT7ct6oSKOvufbqSOGm42mSLLlRraUPjeqxbLD63g9G&#10;wqZLd0/bXfnxIMrN8Lz1L5/30yjl5YVI7oBFnOIfDL/6pA4FOR3cYHVgnYTFUswJlXA9T4ERcLNK&#10;V8AOtFgI4EXO/zcoTlBLAwQUAAAACACHTuJA9MQ8yxgCAAAABAAADgAAAGRycy9lMm9Eb2MueG1s&#10;rVO9jhMxEO6ReAfLPdkkEHJaZXNFwtEgiMRPP/F6dy35T2NfNnkJXgCJCqg4qut5Gjgeg7E3BDia&#10;K9jCGnv8fTPft+PF+d5otpMYlLMVn4zGnEkrXK1sW/HXry4enHEWItgatLOy4gcZ+Pny/r1F70s5&#10;dZ3TtURGJDaUva94F6MviyKIThoII+elpWTj0ECkLbZFjdATu9HFdDx+XPQOa49OyBDodD0k+ZER&#10;70LomkYJuXbi0kgbB1aUGiJJCp3ygS9zt00jRXzRNEFGpitOSmNeqQjF27QWywWULYLvlDi2AHdp&#10;4ZYmA8pS0RPVGiKwS1T/UBkl0AXXxJFwphiEZEdIxWR8y5uXHXiZtZDVwZ9MD/+PVjzfbZCpuuIP&#10;55xZMPTHb95df3/78ebL1bcP1z++vk/x50+M8mRW70NJmJXd4HEX/AaT8n2DhjVa+Tc0VdkLUsf2&#10;2erDyWq5j0zQ4eTRfDyezjgTlJvNJ7NEXgwsic1jiE+lMywFFQ8RQbVdXDlr6Z86HCrA7lmIA/AX&#10;IIGtu1Ba0zmU2rKeqk2pGtUCmteG5oRC40lzsC1noFt6CCJibjo4reoET+iA7Xalke0gjU/+jn3+&#10;dS3VXkPohns5la5BaVSkt6KVqfjZCQ1lBKWf2JrFgye7AdH1PLVpZM2ZltRNigZd2pIvyfXB5xRt&#10;XX3I9udzGozs3HGI0+T9uc/o3w93+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zQiS2wAAAAkB&#10;AAAPAAAAAAAAAAEAIAAAACIAAABkcnMvZG93bnJldi54bWxQSwECFAAUAAAACACHTuJA9MQ8yxgC&#10;AAAABAAADgAAAAAAAAABACAAAAAqAQAAZHJzL2Uyb0RvYy54bWxQSwUGAAAAAAYABgBZAQAAtAUA&#10;AAAA&#10;">
                <v:fill on="f" focussize="0,0"/>
                <v:stroke weight="1pt" color="#000000 [3200]" miterlimit="8" joinstyle="miter" endarrow="open"/>
                <v:imagedata o:title=""/>
                <o:lock v:ext="edit" aspectratio="f"/>
              </v:shape>
            </w:pict>
          </mc:Fallback>
        </mc:AlternateContent>
      </w:r>
      <w:r>
        <w:rPr>
          <w:rFonts w:ascii="Times New Roman" w:hAnsi="Times New Roman" w:cs="Times New Roman"/>
          <w:color w:val="auto"/>
          <w:sz w:val="24"/>
        </w:rPr>
        <mc:AlternateContent>
          <mc:Choice Requires="wps">
            <w:drawing>
              <wp:anchor distT="0" distB="0" distL="114300" distR="114300" simplePos="0" relativeHeight="251669504" behindDoc="0" locked="0" layoutInCell="1" allowOverlap="1">
                <wp:simplePos x="0" y="0"/>
                <wp:positionH relativeFrom="column">
                  <wp:posOffset>1350645</wp:posOffset>
                </wp:positionH>
                <wp:positionV relativeFrom="paragraph">
                  <wp:posOffset>203835</wp:posOffset>
                </wp:positionV>
                <wp:extent cx="1016635" cy="19050"/>
                <wp:effectExtent l="0" t="6350" r="12065" b="12700"/>
                <wp:wrapNone/>
                <wp:docPr id="38" name="直接连接符 38"/>
                <wp:cNvGraphicFramePr/>
                <a:graphic xmlns:a="http://schemas.openxmlformats.org/drawingml/2006/main">
                  <a:graphicData uri="http://schemas.microsoft.com/office/word/2010/wordprocessingShape">
                    <wps:wsp>
                      <wps:cNvCnPr/>
                      <wps:spPr>
                        <a:xfrm>
                          <a:off x="0" y="0"/>
                          <a:ext cx="101663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106.35pt;margin-top:16.05pt;height:1.5pt;width:80.05pt;z-index:251669504;mso-width-relative:page;mso-height-relative:page;" filled="f" stroked="t" coordsize="21600,21600" o:gfxdata="UEsDBAoAAAAAAIdO4kAAAAAAAAAAAAAAAAAEAAAAZHJzL1BLAwQUAAAACACHTuJAOpyIRtkAAAAJ&#10;AQAADwAAAGRycy9kb3ducmV2LnhtbE2PwU7DMAyG70i8Q2QkbixNChSVphMCTRw4bUxsx6wxbbUm&#10;qZKsKzw95gQ3W/70+/ur5WwHNmGIvXcKxCIDhq7xpnetgu376uYBWEzaGT14hwq+MMKyvryodGn8&#10;2a1x2qSWUYiLpVbQpTSWnMemQ6vjwo/o6Pbpg9WJ1tByE/SZwu3AZZbdc6t7Rx86PeJzh81xc7IK&#10;Pp6KYz6/vtyu0nq7D37K3/B7p9T1lcgegSWc0x8Mv/qkDjU5HfzJmcgGBVLIglAFuRTACMgLSV0O&#10;NNwJ4HXF/zeofwBQSwMEFAAAAAgAh07iQMcGuqHqAQAAuAMAAA4AAABkcnMvZTJvRG9jLnhtbK1T&#10;zY7TMBC+I/EOlu80SVdblqjpHrZaLggqAQ8wdZzEkv/k8TbtS/ACSNzgxJE7b8PuYzB2SndZLnsg&#10;B2fsmfnG3zfj5eXeaLaTAZWzDa9mJWfSCtcq2zf844frFxecYQTbgnZWNvwgkV+unj9bjr6Wczc4&#10;3crACMRiPfqGDzH6uihQDNIAzpyXlpydCwYibUNftAFGQje6mJflohhdaH1wQiLS6Xpy8iNieAqg&#10;6zol5NqJGyNtnFCD1BCJEg7KI1/l23adFPFd16GMTDecmMa8UhGyt2ktVkuo+wB+UOJ4BXjKFR5x&#10;MqAsFT1BrSECuwnqHyijRHDoujgTzhQTkawIsajKR9q8H8DLzIWkRn8SHf8frHi72wSm2oafUd8t&#10;GOr47ecfvz59vfv5hdbb798YeUim0WNN0Vd2E4479JuQOO+7YNKf2LB9lvZwklbuIxN0WJXVYnF2&#10;zpkgX/WqPM/SF/fJPmB8LZ1hyWi4VjYxhxp2bzBSQQr9E5KOrbtWWufuactGwpy/LKmpAmgkOxoF&#10;Mo0nWmh7zkD3NOsihgyJTqs2pScgDP32Sge2gzQh+UtsqdxfYan2GnCY4rJrmh2jIj0HrUzDLx5m&#10;a0sgSbNJpWRtXXvI4uVzamgucxy+NDEP9zn7/sG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6&#10;nIhG2QAAAAkBAAAPAAAAAAAAAAEAIAAAACIAAABkcnMvZG93bnJldi54bWxQSwECFAAUAAAACACH&#10;TuJAxwa6oeoBAAC4AwAADgAAAAAAAAABACAAAAAoAQAAZHJzL2Uyb0RvYy54bWxQSwUGAAAAAAYA&#10;BgBZAQAAhAUAAAAA&#10;">
                <v:fill on="f" focussize="0,0"/>
                <v:stroke weight="1pt" color="#000000 [3200]" miterlimit="8" joinstyle="miter"/>
                <v:imagedata o:title=""/>
                <o:lock v:ext="edit" aspectratio="f"/>
              </v:line>
            </w:pict>
          </mc:Fallback>
        </mc:AlternateContent>
      </w:r>
    </w:p>
    <w:p>
      <w:pPr>
        <w:spacing w:line="360" w:lineRule="auto"/>
        <w:rPr>
          <w:rFonts w:ascii="Times New Roman" w:hAnsi="Times New Roman" w:eastAsia="仿宋_GB2312" w:cs="Times New Roman"/>
          <w:color w:val="auto"/>
          <w:sz w:val="24"/>
          <w:szCs w:val="24"/>
        </w:rPr>
      </w:pPr>
    </w:p>
    <w:p>
      <w:pPr>
        <w:spacing w:line="360" w:lineRule="auto"/>
        <w:ind w:firstLine="11520" w:firstLineChars="4800"/>
        <w:jc w:val="both"/>
        <w:rPr>
          <w:rFonts w:ascii="Times New Roman" w:hAnsi="Times New Roman" w:eastAsia="仿宋_GB2312" w:cs="Times New Roman"/>
          <w:color w:val="auto"/>
          <w:sz w:val="24"/>
          <w:szCs w:val="24"/>
        </w:rPr>
      </w:pPr>
      <w:r>
        <w:rPr>
          <w:rFonts w:ascii="Times New Roman" w:hAnsi="Times New Roman" w:cs="Times New Roman"/>
          <w:color w:val="auto"/>
          <w:sz w:val="24"/>
        </w:rPr>
        <mc:AlternateContent>
          <mc:Choice Requires="wps">
            <w:drawing>
              <wp:anchor distT="0" distB="0" distL="114300" distR="114300" simplePos="0" relativeHeight="251681792" behindDoc="0" locked="0" layoutInCell="1" allowOverlap="1">
                <wp:simplePos x="0" y="0"/>
                <wp:positionH relativeFrom="column">
                  <wp:posOffset>5059045</wp:posOffset>
                </wp:positionH>
                <wp:positionV relativeFrom="paragraph">
                  <wp:posOffset>201295</wp:posOffset>
                </wp:positionV>
                <wp:extent cx="1197610" cy="542925"/>
                <wp:effectExtent l="6350" t="6350" r="15240" b="22225"/>
                <wp:wrapNone/>
                <wp:docPr id="40" name="圆角矩形 40"/>
                <wp:cNvGraphicFramePr/>
                <a:graphic xmlns:a="http://schemas.openxmlformats.org/drawingml/2006/main">
                  <a:graphicData uri="http://schemas.microsoft.com/office/word/2010/wordprocessingShape">
                    <wps:wsp>
                      <wps:cNvSpPr/>
                      <wps:spPr>
                        <a:xfrm>
                          <a:off x="0" y="0"/>
                          <a:ext cx="1197610" cy="542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rPr>
                              <w:t>0万m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表土利用0万m</w:t>
                            </w:r>
                            <w:r>
                              <w:rPr>
                                <w:rFonts w:hint="eastAsia" w:ascii="Times New Roman" w:hAnsi="Times New Roman" w:eastAsia="仿宋" w:cs="Times New Roman"/>
                                <w:kern w:val="0"/>
                                <w:sz w:val="18"/>
                                <w:szCs w:val="18"/>
                                <w:vertAlign w:val="superscript"/>
                              </w:rPr>
                              <w:t>3</w:t>
                            </w:r>
                          </w:p>
                          <w:p>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8.35pt;margin-top:15.85pt;height:42.75pt;width:94.3pt;z-index:251681792;v-text-anchor:middle;mso-width-relative:page;mso-height-relative:page;" fillcolor="#FFFFFF [3201]" filled="t" stroked="t" coordsize="21600,21600" arcsize="0.166666666666667" o:gfxdata="UEsDBAoAAAAAAIdO4kAAAAAAAAAAAAAAAAAEAAAAZHJzL1BLAwQUAAAACACHTuJAU6E8ENgAAAAK&#10;AQAADwAAAGRycy9kb3ducmV2LnhtbE2PwU7DMAyG70i8Q2QkbizNqq1b13SHSUgg7cKGxDVrsqYi&#10;cUqSbeXtMSc4WZY//f7+Zjt5x64mpiGgBDErgBnsgh6wl/B+fH5aAUtZoVYuoJHwbRJs2/u7RtU6&#10;3PDNXA+5ZxSCqVYSbM5jzXnqrPEqzcJokG7nEL3KtMae66huFO4dnxfFkns1IH2wajQ7a7rPw8VL&#10;iHkS1eTsFy7yi9+9dvsPXu6lfHwQxQZYNlP+g+FXn9ShJadTuKBOzEmo1suKUAmloEnAerUogZ2I&#10;FNUceNvw/xXaH1BLAwQUAAAACACHTuJAgIUQ4YUCAAAMBQAADgAAAGRycy9lMm9Eb2MueG1srVTN&#10;bhMxEL4j8Q6W73SzUdrSqJsqahSEVNGKgjg7Xm/Wkv+wnZ/yADwAZyQkLoiH4HEqeAw+e7dtWnro&#10;gT14Zzzjb2Y+z/j4ZKsVWQsfpDUVLfcGlAjDbS3NsqLv381fvKQkRGZqpqwRFb0SgZ5Mnj873rix&#10;GNrWqlp4AhATxhtX0TZGNy6KwFuhWdizThgYG+s1i1D9sqg92wBdq2I4GBwUG+tr5y0XIWB31hlp&#10;j+ifAmibRnIxs3ylhYkdqheKRZQUWukCneRsm0bweN40QUSiKopKY14RBPIircXkmI2XnrlW8j4F&#10;9pQUHtSkmTQIegs1Y5GRlZf/QGnJvQ22iXvc6qIrJDOCKsrBA24uW+ZErgVUB3dLevh/sPzN+sIT&#10;WVd0BEoM07jx66+f//z48vvbz+tf3wm2wdHGhTFcL92F77UAMRW8bbxOf5RCtpnXq1texTYSjs2y&#10;PDo8KIHPYdsfDY+G+wm0uDvtfIivhNUkCRX1dmXqt7i8zClbn4XY+d/4pYjBKlnPpVJZ8cvFqfJk&#10;zXDR8/z1Ie65KUM2yGd4OEjZMLRvg7aBqB0oCGZJCVNLzAWPPse+dzrsBhnk77EgKckZC22XTEZI&#10;bmysZcToKKkr+nL3tDIgI1HckZqkuF1se6YXtr7CHXnbNW9wfC4R4YyFeME8uhWlYJ7jOZZGWdRn&#10;e4mS1vpPj+0nfzQRrJRs0P2o/eOKeUGJem3QXkflKPVDzMpo/3AIxe9aFrsWs9KnFryXeDkcz2Ly&#10;j+pGbLzVHzD20xQVJmY4Yncs98pp7KYSDwcX02l2w4g4Fs/MpeMJPFFo7HQVbSNzPySiOnZ6/jAk&#10;ua36gU5TuKtnr7tHbP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6E8ENgAAAAKAQAADwAAAAAA&#10;AAABACAAAAAiAAAAZHJzL2Rvd25yZXYueG1sUEsBAhQAFAAAAAgAh07iQICFEOGFAgAADAUAAA4A&#10;AAAAAAAAAQAgAAAAJwEAAGRycy9lMm9Eb2MueG1sUEsFBgAAAAAGAAYAWQEAAB4GA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rPr>
                        <w:t>0万m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表土利用0万m</w:t>
                      </w:r>
                      <w:r>
                        <w:rPr>
                          <w:rFonts w:hint="eastAsia" w:ascii="Times New Roman" w:hAnsi="Times New Roman" w:eastAsia="仿宋" w:cs="Times New Roman"/>
                          <w:kern w:val="0"/>
                          <w:sz w:val="18"/>
                          <w:szCs w:val="18"/>
                          <w:vertAlign w:val="superscript"/>
                        </w:rPr>
                        <w:t>3</w:t>
                      </w:r>
                    </w:p>
                    <w:p>
                      <w:pPr>
                        <w:rPr>
                          <w:rFonts w:ascii="Times New Roman" w:hAnsi="Times New Roman"/>
                        </w:rPr>
                      </w:pP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80768" behindDoc="0" locked="0" layoutInCell="1" allowOverlap="1">
                <wp:simplePos x="0" y="0"/>
                <wp:positionH relativeFrom="column">
                  <wp:posOffset>2382520</wp:posOffset>
                </wp:positionH>
                <wp:positionV relativeFrom="paragraph">
                  <wp:posOffset>175895</wp:posOffset>
                </wp:positionV>
                <wp:extent cx="1197610" cy="593725"/>
                <wp:effectExtent l="6350" t="6350" r="15240" b="9525"/>
                <wp:wrapNone/>
                <wp:docPr id="41" name="圆角矩形 41"/>
                <wp:cNvGraphicFramePr/>
                <a:graphic xmlns:a="http://schemas.openxmlformats.org/drawingml/2006/main">
                  <a:graphicData uri="http://schemas.microsoft.com/office/word/2010/wordprocessingShape">
                    <wps:wsp>
                      <wps:cNvSpPr/>
                      <wps:spPr>
                        <a:xfrm>
                          <a:off x="0" y="0"/>
                          <a:ext cx="1197610" cy="593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总挖方0</w:t>
                            </w:r>
                            <w:r>
                              <w:rPr>
                                <w:rFonts w:hint="eastAsia" w:ascii="Times New Roman" w:hAnsi="Times New Roman" w:eastAsia="仿宋" w:cs="Times New Roman"/>
                                <w:kern w:val="0"/>
                                <w:sz w:val="18"/>
                                <w:szCs w:val="18"/>
                                <w:lang w:val="en-US" w:eastAsia="zh-CN"/>
                              </w:rPr>
                              <w:t>.01</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表土剥离0万m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vertAlign w:val="superscript"/>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6pt;margin-top:13.85pt;height:46.75pt;width:94.3pt;z-index:251680768;v-text-anchor:middle;mso-width-relative:page;mso-height-relative:page;" fillcolor="#FFFFFF [3201]" filled="t" stroked="t" coordsize="21600,21600" arcsize="0.166666666666667" o:gfxdata="UEsDBAoAAAAAAIdO4kAAAAAAAAAAAAAAAAAEAAAAZHJzL1BLAwQUAAAACACHTuJAZs1RPtcAAAAK&#10;AQAADwAAAGRycy9kb3ducmV2LnhtbE2PwU7DMBBE70j8g7VI3KgTR2lQGqeHSkgg9UJB4urGJo5q&#10;r4PttuHvWU5wXO3TzJtuu3jHLiamKaCEclUAMzgEPeEo4f3t6eERWMoKtXIBjYRvk2Db3950qtXh&#10;iq/mcsgjoxBMrZJgc55bztNgjVdpFWaD9PsM0atMZxy5jupK4d5xURRr7tWE1GDVbHbWDKfD2UuI&#10;eSmbxdkvrPOz370M+w9e7aW8vyuLDbBslvwHw68+qUNPTsdwRp2Yk1A1tSBUgmgaYATU64q2HIkU&#10;pQDed/z/hP4HUEsDBBQAAAAIAIdO4kCByPa1hgIAAAwFAAAOAAAAZHJzL2Uyb0RvYy54bWytVM1u&#10;EzEQviPxDpbvdJOQNm3UTRU1CkKqaEVBnB2vN2vJf9jOT3kAHoAzEhIXxEPwOBU8Bp+92zYtPfTA&#10;HrwznvE3M59nfHyy1YqshQ/SmpL293qUCMNtJc2ypO/fzV8cUhIiMxVT1oiSXolATybPnx1v3FgM&#10;bGNVJTwBiAnjjStpE6MbF0XgjdAs7FknDIy19ZpFqH5ZVJ5tgK5VMej1DoqN9ZXzlosQsDtrjbRD&#10;9E8BtHUtuZhZvtLCxBbVC8UiSgqNdIFOcrZ1LXg8r+sgIlElRaUxrwgCeZHWYnLMxkvPXCN5lwJ7&#10;SgoPatJMGgS9hZqxyMjKy3+gtOTeBlvHPW510RaSGUEV/d4Dbi4b5kSuBVQHd0t6+H+w/M36whNZ&#10;lXTYp8QwjRu//vr5z48vv7/9vP71nWAbHG1cGMP10l34TgsQU8Hb2uv0Rylkm3m9uuVVbCPh2Oz3&#10;j0YHfVDOYds/ejka7CfQ4u608yG+ElaTJJTU25Wp3uLyMqdsfRZi63/jlyIGq2Q1l0plxS8Xp8qT&#10;NcNFz/PXhbjnpgzZIJ/BqJeyYWjfGm0DUTtQEMySEqaWmAsefY5973TYDdLL32NBUpIzFpo2mYyQ&#10;3NhYy4jRUVKX9HD3tDIgI1HckpqkuF1sO6YXtrrCHXnbNm9wfC4R4YyFeME8uhWlYJ7jOZZaWdRn&#10;O4mSxvpPj+0nfzQRrJRs0P2o/eOKeUGJem3QXkf94RCwMSvD/dEAit+1LHYtZqVPLXhHByG7LCb/&#10;qG7E2lv9AWM/TVFhYoYjdstyp5zGdirxcHAxnWY3jIhj8cxcOp7AE4XGTlfR1jL3QyKqZafjD0OS&#10;26ob6DSFu3r2unvEJ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s1RPtcAAAAKAQAADwAAAAAA&#10;AAABACAAAAAiAAAAZHJzL2Rvd25yZXYueG1sUEsBAhQAFAAAAAgAh07iQIHI9rWGAgAADAUAAA4A&#10;AAAAAAAAAQAgAAAAJgEAAGRycy9lMm9Eb2MueG1sUEsFBgAAAAAGAAYAWQEAAB4GA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总挖方0</w:t>
                      </w:r>
                      <w:r>
                        <w:rPr>
                          <w:rFonts w:hint="eastAsia" w:ascii="Times New Roman" w:hAnsi="Times New Roman" w:eastAsia="仿宋" w:cs="Times New Roman"/>
                          <w:kern w:val="0"/>
                          <w:sz w:val="18"/>
                          <w:szCs w:val="18"/>
                          <w:lang w:val="en-US" w:eastAsia="zh-CN"/>
                        </w:rPr>
                        <w:t>.01</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表土剥离0万m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vertAlign w:val="superscript"/>
                        </w:rPr>
                      </w:pPr>
                    </w:p>
                  </w:txbxContent>
                </v:textbox>
              </v:roundrect>
            </w:pict>
          </mc:Fallback>
        </mc:AlternateContent>
      </w:r>
      <w:r>
        <w:rPr>
          <w:rFonts w:ascii="Times New Roman" w:hAnsi="Times New Roman" w:eastAsia="仿宋_GB2312" w:cs="Times New Roman"/>
          <w:color w:val="auto"/>
          <w:sz w:val="24"/>
          <w:szCs w:val="24"/>
        </w:rPr>
        <w:t xml:space="preserve">                                                 </w:t>
      </w:r>
    </w:p>
    <w:p>
      <w:pPr>
        <w:spacing w:line="360" w:lineRule="auto"/>
        <w:rPr>
          <w:rFonts w:ascii="Times New Roman" w:hAnsi="Times New Roman" w:eastAsia="仿宋_GB2312" w:cs="Times New Roman"/>
          <w:color w:val="auto"/>
          <w:sz w:val="24"/>
          <w:szCs w:val="24"/>
        </w:rPr>
      </w:pPr>
      <w:r>
        <w:rPr>
          <w:rFonts w:ascii="Times New Roman" w:hAnsi="Times New Roman" w:cs="Times New Roman"/>
          <w:color w:val="auto"/>
          <w:sz w:val="24"/>
        </w:rPr>
        <mc:AlternateContent>
          <mc:Choice Requires="wps">
            <w:drawing>
              <wp:anchor distT="0" distB="0" distL="114300" distR="114300" simplePos="0" relativeHeight="251708416" behindDoc="0" locked="0" layoutInCell="1" allowOverlap="1">
                <wp:simplePos x="0" y="0"/>
                <wp:positionH relativeFrom="column">
                  <wp:posOffset>6363970</wp:posOffset>
                </wp:positionH>
                <wp:positionV relativeFrom="paragraph">
                  <wp:posOffset>48260</wp:posOffset>
                </wp:positionV>
                <wp:extent cx="484505" cy="282575"/>
                <wp:effectExtent l="6350" t="6350" r="12065" b="15875"/>
                <wp:wrapNone/>
                <wp:docPr id="5" name="圆角矩形 5"/>
                <wp:cNvGraphicFramePr/>
                <a:graphic xmlns:a="http://schemas.openxmlformats.org/drawingml/2006/main">
                  <a:graphicData uri="http://schemas.microsoft.com/office/word/2010/wordprocessingShape">
                    <wps:wsp>
                      <wps:cNvSpPr/>
                      <wps:spPr>
                        <a:xfrm>
                          <a:off x="0" y="0"/>
                          <a:ext cx="484505" cy="282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0.01</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1.1pt;margin-top:3.8pt;height:22.25pt;width:38.15pt;z-index:251708416;v-text-anchor:middle;mso-width-relative:page;mso-height-relative:page;" fillcolor="#FFFFFF [3201]" filled="t" stroked="t" coordsize="21600,21600" arcsize="0.166666666666667" o:gfxdata="UEsDBAoAAAAAAIdO4kAAAAAAAAAAAAAAAAAEAAAAZHJzL1BLAwQUAAAACACHTuJAU69+8dcAAAAK&#10;AQAADwAAAGRycy9kb3ducmV2LnhtbE2PwU7DMBBE70j8g7VI3KidoDRVGqeHSkgg9UKpxNWNlziq&#10;vQ6224a/xz3BcbRPM2/bzewsu2CIoycJxUIAQ+q9HmmQcPh4eVoBi0mRVtYTSvjBCJvu/q5VjfZX&#10;esfLPg0sl1BslAST0tRwHnuDTsWFn5Dy7csHp1KOYeA6qGsud5aXQiy5UyPlBaMm3BrsT/uzkxDS&#10;XNSzNd9UpVe3fet3n/x5J+XjQyHWwBLO6Q+Gm35Why47Hf2ZdGQ2ZyHKMrMS6iWwGyDqVQXsKKEq&#10;C+Bdy/+/0P0CUEsDBBQAAAAIAIdO4kAkUR3fhgIAAAkFAAAOAAAAZHJzL2Uyb0RvYy54bWytVM1u&#10;EzEQviPxDpbvdJMooSHqpooaBSFVtKIgzo7Xm7XkP2znpzwAD8AZqRIXxEPwOBU8Bp+92zYtPfTA&#10;HrwznvE3M59nfHS804pshA/SmpL2D3qUCMNtJc2qpB/eL16MKQmRmYopa0RJL0Wgx9Pnz462biIG&#10;trGqEp4AxITJ1pW0idFNiiLwRmgWDqwTBsbaes0iVL8qKs+2QNeqGPR6L4ut9ZXzlosQsDtvjbRD&#10;9E8BtHUtuZhbvtbCxBbVC8UiSgqNdIFOc7Z1LXg8q+sgIlElRaUxrwgCeZnWYnrEJivPXCN5lwJ7&#10;SgoPatJMGgS9hZqzyMjay3+gtOTeBlvHA2510RaSGUEV/d4Dbi4a5kSuBVQHd0t6+H+w/O3m3BNZ&#10;lXREiWEaF3797cufH19/X/28/vWdjBJDWxcmcLxw577TAsRU7q72Ov1RCNllVi9vWRW7SDg2h+Ph&#10;qAd0DtNgPBgdZszi7rDzIb4WVpMklNTbtane4eYyoWxzGiKiwv/GLwUMVslqIZXKil8tT5QnG4Zb&#10;XuQvpY0j99yUIVt0/OCwh9vnDL1bo2cgaof6g1lRwtQKQ8Gjz7HvnQ77QXr5eyxISnLOQtMmkxGS&#10;G5toGTE3SuqSjvdPK4NME8Mtp0mKu+WuI3ppq0tckLdt5wbHFxIRTlmI58yjVVEKhjmeYamVRX22&#10;kyhprP/82H7yRwfBSskWrY/aP62ZF5SoNwa99ao/HKZZycpwdDiA4vcty32LWesTC977eDYcz2Ly&#10;j+pGrL3VHzHzsxQVJmY4Yrcsd8pJbEcSrwYXs1l2w3w4Fk/NheMJPFFo7GwdbS1zPySiWnY6/jAh&#10;+c67aU4juK9nr7sXbP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U69+8dcAAAAKAQAADwAAAAAA&#10;AAABACAAAAAiAAAAZHJzL2Rvd25yZXYueG1sUEsBAhQAFAAAAAgAh07iQCRRHd+GAgAACQUAAA4A&#10;AAAAAAAAAQAgAAAAJgEAAGRycy9lMm9Eb2MueG1sUEsFBgAAAAAGAAYAWQEAAB4GAAAAAA==&#10;">
                <v:fill on="t" focussize="0,0"/>
                <v:stroke weight="1pt" color="#000000 [3213]" miterlimit="8" joinstyle="miter"/>
                <v:imagedata o:title=""/>
                <o:lock v:ext="edit" aspectratio="f"/>
                <v:textbox>
                  <w:txbxContent>
                    <w:p>
                      <w:pPr>
                        <w:jc w:val="cente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0.01</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v:textbox>
              </v:roundrect>
            </w:pict>
          </mc:Fallback>
        </mc:AlternateContent>
      </w:r>
      <w:r>
        <w:rPr>
          <w:color w:val="auto"/>
          <w:sz w:val="24"/>
        </w:rPr>
        <mc:AlternateContent>
          <mc:Choice Requires="wps">
            <w:drawing>
              <wp:anchor distT="0" distB="0" distL="114300" distR="114300" simplePos="0" relativeHeight="251707392" behindDoc="0" locked="0" layoutInCell="1" allowOverlap="1">
                <wp:simplePos x="0" y="0"/>
                <wp:positionH relativeFrom="column">
                  <wp:posOffset>6264275</wp:posOffset>
                </wp:positionH>
                <wp:positionV relativeFrom="paragraph">
                  <wp:posOffset>178435</wp:posOffset>
                </wp:positionV>
                <wp:extent cx="748030" cy="6350"/>
                <wp:effectExtent l="0" t="0" r="0" b="0"/>
                <wp:wrapNone/>
                <wp:docPr id="63" name="直接连接符 63"/>
                <wp:cNvGraphicFramePr/>
                <a:graphic xmlns:a="http://schemas.openxmlformats.org/drawingml/2006/main">
                  <a:graphicData uri="http://schemas.microsoft.com/office/word/2010/wordprocessingShape">
                    <wps:wsp>
                      <wps:cNvCnPr/>
                      <wps:spPr>
                        <a:xfrm>
                          <a:off x="0" y="0"/>
                          <a:ext cx="748030"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3.25pt;margin-top:14.05pt;height:0.5pt;width:58.9pt;z-index:251707392;mso-width-relative:page;mso-height-relative:page;" filled="f" stroked="t" coordsize="21600,21600" o:gfxdata="UEsDBAoAAAAAAIdO4kAAAAAAAAAAAAAAAAAEAAAAZHJzL1BLAwQUAAAACACHTuJAH3Gc3dgAAAAK&#10;AQAADwAAAGRycy9kb3ducmV2LnhtbE2PsU7DMBCGdyTewTokNuq4QJumcTogMSAhAYGhoxtfk4B9&#10;DrabhLfHnWC8u1/ffX+5m61hI/rQO5IgFhkwpMbpnloJH++PNzmwEBVpZRyhhB8MsKsuL0pVaDfR&#10;G451bFmCUCiUhC7GoeA8NB1aFRZuQEq3o/NWxTT6lmuvpgS3hi+zbMWt6il96NSADx02X/XJJgqt&#10;v4+z8fvXl+cur6dPfBrXKOX1lci2wCLO8S8MZ/2kDlVyOrgT6cCMhE2+uk9RCctcADsHRHZ3C+yQ&#10;NhsBvCr5/wrVL1BLAwQUAAAACACHTuJA93o73uMBAAC1AwAADgAAAGRycy9lMm9Eb2MueG1srVPN&#10;jtMwEL4j8Q6W7zTZLZQqarqHrZYLgkrAA0wdJ7HkP3m8TfsSvAASNzhx5M7bsDwGYyd0/y57IAdn&#10;PD/f+Ps8Xl0cjGZ7GVA5W/OzWcmZtMI1ynY1//Tx6sWSM4xgG9DOypofJfKL9fNnq8FX8tz1Tjcy&#10;MAKxWA2+5n2MvioKFL00gDPnpaVg64KBSNvQFU2AgdCNLs7LclEMLjQ+OCERybsZg3xCDE8BdG2r&#10;hNw4cW2kjSNqkBoiUcJeeeTrfNq2lSK+b1uUkemaE9OYV2pC9i6txXoFVRfA90pMR4CnHOEBJwPK&#10;UtMT1AYisOugHkEZJYJD18aZcKYYiWRFiMVZ+UCbDz14mbmQ1OhPouP/gxXv9tvAVFPzxZwzC4Zu&#10;/ObLz9+fv/359ZXWmx/fGUVIpsFjRdmXdhumHfptSJwPbTDpT2zYIUt7PEkrD5EJcr5+uSznJLqg&#10;0GL+Kgtf3Jb6gPGNdIYlo+Za2cQbKti/xUjtKPVfSnJbd6W0znenLRsmSCaA5rGlOaA+xhMntB1n&#10;oDsadBFDRkSnVZOqEw6GbnepA9tDGo/8JarU7V5aar0B7Me8HBoHx6hIb0ErU/Pl3WptCSQJNkqU&#10;rJ1rjlm57KfbzG2myUvjcnefq29f2/o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3Gc3dgAAAAK&#10;AQAADwAAAAAAAAABACAAAAAiAAAAZHJzL2Rvd25yZXYueG1sUEsBAhQAFAAAAAgAh07iQPd6O97j&#10;AQAAtQMAAA4AAAAAAAAAAQAgAAAAJwEAAGRycy9lMm9Eb2MueG1sUEsFBgAAAAAGAAYAWQEAAHwF&#10;AAAAAA==&#10;">
                <v:fill on="f" focussize="0,0"/>
                <v:stroke weight="0.5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78720" behindDoc="0" locked="0" layoutInCell="1" allowOverlap="1">
                <wp:simplePos x="0" y="0"/>
                <wp:positionH relativeFrom="column">
                  <wp:posOffset>1358265</wp:posOffset>
                </wp:positionH>
                <wp:positionV relativeFrom="paragraph">
                  <wp:posOffset>150495</wp:posOffset>
                </wp:positionV>
                <wp:extent cx="1016635" cy="19050"/>
                <wp:effectExtent l="0" t="6350" r="12065" b="12700"/>
                <wp:wrapNone/>
                <wp:docPr id="42" name="直接连接符 42"/>
                <wp:cNvGraphicFramePr/>
                <a:graphic xmlns:a="http://schemas.openxmlformats.org/drawingml/2006/main">
                  <a:graphicData uri="http://schemas.microsoft.com/office/word/2010/wordprocessingShape">
                    <wps:wsp>
                      <wps:cNvCnPr/>
                      <wps:spPr>
                        <a:xfrm>
                          <a:off x="0" y="0"/>
                          <a:ext cx="101663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106.95pt;margin-top:11.85pt;height:1.5pt;width:80.05pt;z-index:251678720;mso-width-relative:page;mso-height-relative:page;" filled="f" stroked="t" coordsize="21600,21600" o:gfxdata="UEsDBAoAAAAAAIdO4kAAAAAAAAAAAAAAAAAEAAAAZHJzL1BLAwQUAAAACACHTuJA6eD3PdkAAAAJ&#10;AQAADwAAAGRycy9kb3ducmV2LnhtbE2PQU/DMAyF70j8h8hI3FjaZVpZaToh0MSB08YEO2aNaas1&#10;TtVkXeHXY05ws/2enr9XrCfXiRGH0HrSkM4SEEiVty3VGvZvm7t7ECEasqbzhBq+MMC6vL4qTG79&#10;hbY47mItOIRCbjQ0Mfa5lKFq0Jkw8z0Sa59+cCbyOtTSDubC4a6T8yRZSmda4g+N6fGpweq0OzsN&#10;74/ZSU0vz4tN3O4Pgx/VK35/aH17kyYPICJO8c8Mv/iMDiUzHf2ZbBCdhnmqVmzlQWUg2KCyBZc7&#10;8mGZgSwL+b9B+QNQSwMEFAAAAAgAh07iQE0tATbpAQAAuAMAAA4AAABkcnMvZTJvRG9jLnhtbK1T&#10;zY7TMBC+I/EOlu80SWHLEjXdw1bLBUEl4AFcx0ks+U8z3qZ9CV4AiRucOHLnbXZ5DMZO6S7LZQ/k&#10;4Izn5xt/n8fLi701bKcAtXcNr2YlZ8pJ32rXN/zjh6tn55xhFK4VxjvV8INCfrF6+mQ5hlrN/eBN&#10;q4ARiMN6DA0fYgx1UaAclBU480E5CnYerIi0hb5oQYyEbk0xL8tFMXpoA3ipEMm7noL8iAiPAfRd&#10;p6Vae3ltlYsTKigjIlHCQQfkq3zarlMyvus6VJGZhhPTmFdqQvY2rcVqKeoeRBi0PB5BPOYIDzhZ&#10;oR01PUGtRRTsGvQ/UFZL8Oi7OJPeFhORrAixqMoH2rwfRFCZC0mN4SQ6/j9Y+Xa3Aabbhr+Yc+aE&#10;pRu//fzj5tPXXz+/0Hr7/RujCMk0Bqwp+9Jt4LjDsIHEed+BTX9iw/ZZ2sNJWrWPTJKzKqvF4vkZ&#10;Z5Ji1avyLEtf3BUHwPhaecuS0XCjXWIuarF7g5EaUuqflOR2/kobk2/PODYS5vxlSZcqBY1kR6NA&#10;pg1EC13PmTA9zbqMkCHRG92m8gSE0G8vDbCdSBOSv8SW2v2VlnqvBQ5TXg5Ns2N1pOdgtG34+f1q&#10;4wgkaTaplKytbw9ZvOynC81tjsOXJub+PlffPbj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ng&#10;9z3ZAAAACQEAAA8AAAAAAAAAAQAgAAAAIgAAAGRycy9kb3ducmV2LnhtbFBLAQIUABQAAAAIAIdO&#10;4kBNLQE26QEAALgDAAAOAAAAAAAAAAEAIAAAACgBAABkcnMvZTJvRG9jLnhtbFBLBQYAAAAABgAG&#10;AFkBAACDBQAAAAA=&#10;">
                <v:fill on="f" focussize="0,0"/>
                <v:stroke weight="1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77696" behindDoc="0" locked="0" layoutInCell="1" allowOverlap="1">
                <wp:simplePos x="0" y="0"/>
                <wp:positionH relativeFrom="column">
                  <wp:posOffset>153035</wp:posOffset>
                </wp:positionH>
                <wp:positionV relativeFrom="paragraph">
                  <wp:posOffset>36830</wp:posOffset>
                </wp:positionV>
                <wp:extent cx="1197610" cy="333375"/>
                <wp:effectExtent l="6350" t="6350" r="15240" b="22225"/>
                <wp:wrapNone/>
                <wp:docPr id="43" name="圆角矩形 43"/>
                <wp:cNvGraphicFramePr/>
                <a:graphic xmlns:a="http://schemas.openxmlformats.org/drawingml/2006/main">
                  <a:graphicData uri="http://schemas.microsoft.com/office/word/2010/wordprocessingShape">
                    <wps:wsp>
                      <wps:cNvSpPr/>
                      <wps:spPr>
                        <a:xfrm>
                          <a:off x="0" y="0"/>
                          <a:ext cx="1197610" cy="333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rPr>
                            </w:pPr>
                            <w:r>
                              <w:rPr>
                                <w:rFonts w:hint="eastAsia" w:ascii="Times New Roman" w:hAnsi="Times New Roman" w:eastAsia="仿宋_GB2312" w:cs="宋体"/>
                                <w:kern w:val="0"/>
                                <w:sz w:val="18"/>
                                <w:szCs w:val="18"/>
                              </w:rPr>
                              <w:t>表土堆放场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05pt;margin-top:2.9pt;height:26.25pt;width:94.3pt;z-index:251677696;v-text-anchor:middle;mso-width-relative:page;mso-height-relative:page;" fillcolor="#FFFFFF [3201]" filled="t" stroked="t" coordsize="21600,21600" arcsize="0.166666666666667" o:gfxdata="UEsDBAoAAAAAAIdO4kAAAAAAAAAAAAAAAAAEAAAAZHJzL1BLAwQUAAAACACHTuJAqwyOJtQAAAAH&#10;AQAADwAAAGRycy9kb3ducmV2LnhtbE2PwU7DMBBE70j8g7VI3KjjlFKUxumhEhJIvdAicXXjbRxh&#10;r0PstuHv2Z7gOJrRzJt6PQUvzjimPpIGNStAILXR9tRp+Ni/PDyDSNmQNT4SavjBBOvm9qY2lY0X&#10;esfzLneCSyhVRoPLeaikTK3DYNIsDkjsHeMYTGY5dtKO5sLlwcuyKJ5kMD3xgjMDbhy2X7tT0DDm&#10;SS0n775pkV/D5q3dfsr5Vuv7O1WsQGSc8l8YrviMDg0zHeKJbBJeQ/moOKlhwQfYLlW5BHG46jnI&#10;ppb/+ZtfUEsDBBQAAAAIAIdO4kDL030khQIAAAwFAAAOAAAAZHJzL2Uyb0RvYy54bWytVM1uEzEQ&#10;viPxDpbvdJM0bdqomypqFIRUQUVBnB2vN2vJf9jOT3kAHoAzEhIXxEPwOBU8Bp+92zYtPfTAHrwz&#10;nvE3M59nfHK61YqshQ/SmpL293qUCMNtJc2ypO/fzV8cURIiMxVT1oiSXolATyfPn51s3FgMbGNV&#10;JTwBiAnjjStpE6MbF0XgjdAs7FknDIy19ZpFqH5ZVJ5tgK5VMej1DouN9ZXzlosQsDtrjbRD9E8B&#10;tHUtuZhZvtLCxBbVC8UiSgqNdIFOcrZ1LXh8U9dBRKJKikpjXhEE8iKtxeSEjZeeuUbyLgX2lBQe&#10;1KSZNAh6CzVjkZGVl/9Aacm9DbaOe9zqoi0kM4Iq+r0H3Fw2zIlcC6gO7pb08P9g+ev1hSeyKulw&#10;nxLDNG78+uvnPz++/P728/rXd4JtcLRxYQzXS3fhOy1ATAVva6/TH6WQbeb16pZXsY2EY7PfPx4d&#10;9kE5h20f3+gggRZ3p50P8aWwmiShpN6uTPUWl5c5ZevzEFv/G78UMVglq7lUKit+uThTnqwZLnqe&#10;vy7EPTdlyAb5DEa9lA1D+9ZoG4jagYJglpQwtcRc8Ohz7Hunw26QXv4eC5KSnLHQtMlkhOTGxlpG&#10;jI6SuqRHu6eVARmJ4pbUJMXtYtsxvbDVFe7I27Z5g+NziQjnLMQL5tGtKAXzHN9gqZVFfbaTKGms&#10;//TYfvJHE8FKyQbdj9o/rpgXlKhXBu113B8OARuzMjwYDaD4Xcti12JW+syC9z5eDsezmPyjuhFr&#10;b/UHjP00RYWJGY7YLcudchbbqcTDwcV0mt0wIo7Fc3PpeAJPFBo7XUVby9wPiaiWnY4/DEluq26g&#10;0xTu6tnr7hGb/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rDI4m1AAAAAcBAAAPAAAAAAAAAAEA&#10;IAAAACIAAABkcnMvZG93bnJldi54bWxQSwECFAAUAAAACACHTuJAy9N9JIUCAAAMBQAADgAAAAAA&#10;AAABACAAAAAjAQAAZHJzL2Uyb0RvYy54bWxQSwUGAAAAAAYABgBZAQAAGgYAAAAA&#10;">
                <v:fill on="t" focussize="0,0"/>
                <v:stroke weight="1pt" color="#000000 [3213]" miterlimit="8" joinstyle="miter"/>
                <v:imagedata o:title=""/>
                <o:lock v:ext="edit" aspectratio="f"/>
                <v:textbox>
                  <w:txbxContent>
                    <w:p>
                      <w:pPr>
                        <w:jc w:val="center"/>
                        <w:rPr>
                          <w:rFonts w:ascii="Times New Roman" w:hAnsi="Times New Roman"/>
                        </w:rPr>
                      </w:pPr>
                      <w:r>
                        <w:rPr>
                          <w:rFonts w:hint="eastAsia" w:ascii="Times New Roman" w:hAnsi="Times New Roman" w:eastAsia="仿宋_GB2312" w:cs="宋体"/>
                          <w:kern w:val="0"/>
                          <w:sz w:val="18"/>
                          <w:szCs w:val="18"/>
                        </w:rPr>
                        <w:t>表土堆放场</w:t>
                      </w: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79744" behindDoc="0" locked="0" layoutInCell="1" allowOverlap="1">
                <wp:simplePos x="0" y="0"/>
                <wp:positionH relativeFrom="column">
                  <wp:posOffset>3564890</wp:posOffset>
                </wp:positionH>
                <wp:positionV relativeFrom="paragraph">
                  <wp:posOffset>217170</wp:posOffset>
                </wp:positionV>
                <wp:extent cx="1470025" cy="5715"/>
                <wp:effectExtent l="0" t="50165" r="15875" b="58420"/>
                <wp:wrapNone/>
                <wp:docPr id="44" name="直接箭头连接符 44"/>
                <wp:cNvGraphicFramePr/>
                <a:graphic xmlns:a="http://schemas.openxmlformats.org/drawingml/2006/main">
                  <a:graphicData uri="http://schemas.microsoft.com/office/word/2010/wordprocessingShape">
                    <wps:wsp>
                      <wps:cNvCnPr/>
                      <wps:spPr>
                        <a:xfrm flipV="1">
                          <a:off x="0" y="0"/>
                          <a:ext cx="1470025" cy="57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280.7pt;margin-top:17.1pt;height:0.45pt;width:115.75pt;z-index:251679744;mso-width-relative:page;mso-height-relative:page;" filled="f" stroked="t" coordsize="21600,21600" o:gfxdata="UEsDBAoAAAAAAIdO4kAAAAAAAAAAAAAAAAAEAAAAZHJzL1BLAwQUAAAACACHTuJATs0IktsAAAAJ&#10;AQAADwAAAGRycy9kb3ducmV2LnhtbE2PUUvDMBDH3wW/QzjBN5embtPVpkMqwnATcQriW9acbbFJ&#10;SpJ29dvvfNLHu/vxv98/X0+mYyP60DorQcwSYGgrp1tbS3h/e7y6BRaislp1zqKEHwywLs7PcpVp&#10;d7SvOO5jzSjEhkxJaGLsM85D1aBRYeZ6tHT7ct6oSKOvufbqSOGm42mSLLlRraUPjeqxbLD63g9G&#10;wqZLd0/bXfnxIMrN8Lz1L5/30yjl5YVI7oBFnOIfDL/6pA4FOR3cYHVgnYTFUswJlXA9T4ERcLNK&#10;V8AOtFgI4EXO/zcoTlBLAwQUAAAACACHTuJAndM9hhgCAAAABAAADgAAAGRycy9lMm9Eb2MueG1s&#10;rVO9jhMxEO6ReAfLPdkkSrjTKpsrEo4GQSR++onXu2vJfxr7sslL8AJIVEAFV13P08DxGIy9IcDR&#10;XMEW1tjj75v5vh0vLvZGs53EoJyt+GQ05kxa4Wpl24q/fnX56JyzEMHWoJ2VFT/IwC+WDx8sel/K&#10;qeucriUyIrGh7H3Fuxh9WRRBdNJAGDkvLSUbhwYibbEtaoSe2I0upuPx46J3WHt0QoZAp+shyY+M&#10;eB9C1zRKyLUTV0baOLCi1BBJUuiUD3yZu20aKeKLpgkyMl1xUhrzSkUo3qa1WC6gbBF8p8SxBbhP&#10;C3c0GVCWip6o1hCBXaH6h8oogS64Jo6EM8UgJDtCKibjO9687MDLrIWsDv5kevh/tOL5boNM1RWf&#10;zTizYOiP3767+f724+31l28fbn58fZ/iz58Y5cms3oeSMCu7weMu+A0m5fsGDWu08m9oqrIXpI7t&#10;s9WHk9VyH5mgw8nsbDyezjkTlJufTeaJvBhYEpvHEJ9KZ1gKKh4igmq7uHLW0j91OFSA3bMQB+Av&#10;QAJbd6m0pnMotWU9VZtSNaoFNK8NzQmFxpPmYFvOQLf0EETE3HRwWtUJntAB2+1KI9tBGp/8Hfv8&#10;61qqvYbQDfdyKl2D0qhIb0UrU/HzExrKCEo/sTWLB092A6LreWrTyJozLambFA26tCVfkuuDzyna&#10;uvqQ7c/nNBjZueMQp8n7c5/Rvx/u8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zQiS2wAAAAkB&#10;AAAPAAAAAAAAAAEAIAAAACIAAABkcnMvZG93bnJldi54bWxQSwECFAAUAAAACACHTuJAndM9hhgC&#10;AAAABAAADgAAAAAAAAABACAAAAAqAQAAZHJzL2Uyb0RvYy54bWxQSwUGAAAAAAYABgBZAQAAtAUA&#10;AAAA&#10;">
                <v:fill on="f" focussize="0,0"/>
                <v:stroke weight="1pt" color="#000000 [3200]" miterlimit="8" joinstyle="miter" endarrow="open"/>
                <v:imagedata o:title=""/>
                <o:lock v:ext="edit" aspectratio="f"/>
              </v:shape>
            </w:pict>
          </mc:Fallback>
        </mc:AlternateContent>
      </w:r>
      <w:r>
        <w:rPr>
          <w:rFonts w:ascii="Times New Roman" w:hAnsi="Times New Roman" w:eastAsia="仿宋_GB2312" w:cs="Times New Roman"/>
          <w:color w:val="auto"/>
          <w:sz w:val="24"/>
          <w:szCs w:val="24"/>
        </w:rPr>
        <w:t xml:space="preserve">                                                                                         </w:t>
      </w:r>
    </w:p>
    <w:p>
      <w:pPr>
        <w:spacing w:line="360" w:lineRule="auto"/>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 xml:space="preserve">                                                                                         </w:t>
      </w:r>
    </w:p>
    <w:p>
      <w:pPr>
        <w:widowControl w:val="0"/>
        <w:spacing w:line="360" w:lineRule="auto"/>
        <w:rPr>
          <w:rFonts w:ascii="Times New Roman" w:hAnsi="Times New Roman" w:eastAsia="仿宋_GB2312" w:cs="Times New Roman"/>
          <w:color w:val="auto"/>
          <w:sz w:val="24"/>
          <w:szCs w:val="24"/>
        </w:rPr>
      </w:pPr>
      <w:r>
        <w:rPr>
          <w:rFonts w:ascii="Times New Roman" w:hAnsi="Times New Roman" w:cs="Times New Roman"/>
          <w:color w:val="auto"/>
          <w:sz w:val="24"/>
        </w:rPr>
        <mc:AlternateContent>
          <mc:Choice Requires="wps">
            <w:drawing>
              <wp:anchor distT="0" distB="0" distL="114300" distR="114300" simplePos="0" relativeHeight="251709440" behindDoc="0" locked="0" layoutInCell="1" allowOverlap="1">
                <wp:simplePos x="0" y="0"/>
                <wp:positionH relativeFrom="column">
                  <wp:posOffset>6392545</wp:posOffset>
                </wp:positionH>
                <wp:positionV relativeFrom="paragraph">
                  <wp:posOffset>225425</wp:posOffset>
                </wp:positionV>
                <wp:extent cx="484505" cy="282575"/>
                <wp:effectExtent l="6350" t="6350" r="23495" b="15875"/>
                <wp:wrapNone/>
                <wp:docPr id="64" name="圆角矩形 64"/>
                <wp:cNvGraphicFramePr/>
                <a:graphic xmlns:a="http://schemas.openxmlformats.org/drawingml/2006/main">
                  <a:graphicData uri="http://schemas.microsoft.com/office/word/2010/wordprocessingShape">
                    <wps:wsp>
                      <wps:cNvSpPr/>
                      <wps:spPr>
                        <a:xfrm>
                          <a:off x="0" y="0"/>
                          <a:ext cx="484505" cy="2825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0.26</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03.35pt;margin-top:17.75pt;height:22.25pt;width:38.15pt;z-index:251709440;v-text-anchor:middle;mso-width-relative:page;mso-height-relative:page;" fillcolor="#FFFFFF [3201]" filled="t" stroked="t" coordsize="21600,21600" arcsize="0.166666666666667" o:gfxdata="UEsDBAoAAAAAAIdO4kAAAAAAAAAAAAAAAAAEAAAAZHJzL1BLAwQUAAAACACHTuJAxFfwu9YAAAAL&#10;AQAADwAAAGRycy9kb3ducmV2LnhtbE2PwU7DMBBE70j8g7VI3KgdotAoxOmhEhJIvVCQuLrxEkfY&#10;6xC7bfh7tic4jnb09k27WYIXJ5zTGElDsVIgkPpoRxo0vL893dUgUjZkjY+EGn4wwaa7vmpNY+OZ&#10;XvG0z4NgCKXGaHA5T42UqXcYTFrFCYlvn3EOJnOcB2lnc2Z48PJeqQcZzEj8wZkJtw77r/0xaJjz&#10;UqwX776pys9h+9LvPmS50/r2plCPIDIu+a8MF31Wh46dDvFINgnPmelr7mooqwrEpaHqkucdNNRK&#10;gexa+X9D9wtQSwMEFAAAAAgAh07iQLdlroyGAgAACwUAAA4AAABkcnMvZTJvRG9jLnhtbK1UzW4T&#10;MRC+I/EOlu90N1HShqibKmoUhFTRioI4O147a8l/jJ1sygPwAJyRkLggHoLHqeAxGHu3bVp66IE9&#10;eGc8429mPs/4+GRnNNkKCMrZig4OSkqE5a5Wdl3R9++WLyaUhMhszbSzoqJXItCT2fNnx62fiqFr&#10;nK4FEASxYdr6ijYx+mlRBN4Iw8KB88KiUTowLKIK66IG1iK60cWwLA+L1kHtwXERAu4uOiPtEeEp&#10;gE5KxcXC8Y0RNnaoIDSLWFJolA90lrOVUvB4LmUQkeiKYqUxrxgE5VVai9kxm66B+UbxPgX2lBQe&#10;1GSYshj0FmrBIiMbUP9AGcXBBSfjAXem6ArJjGAVg/IBN5cN8yLXglQHf0t6+H+w/M32AoiqK3o4&#10;osQygzd+/fXznx9ffn/7ef3rO8Ft5Kj1YYqul/4Cei2gmAreSTDpj6WQXeb16pZXsYuE4+ZoMhqX&#10;Y0o4moaT4fhonDCLu8MeQnwlnCFJqCi4ja3f4t1lStn2LMTO/8YvBQxOq3qptM4KrFenGsiW4T0v&#10;89eHuOemLWmx54dHJd4/Z9i9ErsGReORgWDXlDC9xrHgEXLse6fDfpAyf48FSUkuWGi6ZDJCcmNT&#10;oyJOjlamopP909oiGYnhjtMkxd1q1xO9cvUVXhG4rneD50uFEc5YiBcMsFmxFBzneI6L1A7rc71E&#10;SePg02P7yR97CK2UtNj8WPvHDQNBiX5tsbteDkajNC1ZGY2PhqjAvmW1b7Ebc+qQ9wE+HJ5nMflH&#10;fSNKcOYDTv08RUUTsxxjdyz3ymnshhLfDS7m8+yGE+JZPLOXnifwRKF18010UuV+SER17PT84Yzk&#10;turnOQ3hvp697t6w2V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EV/C71gAAAAsBAAAPAAAAAAAA&#10;AAEAIAAAACIAAABkcnMvZG93bnJldi54bWxQSwECFAAUAAAACACHTuJAt2WujIYCAAALBQAADgAA&#10;AAAAAAABACAAAAAlAQAAZHJzL2Uyb0RvYy54bWxQSwUGAAAAAAYABgBZAQAAHQYAAAAA&#10;">
                <v:fill on="t" focussize="0,0"/>
                <v:stroke weight="1pt" color="#000000 [3213]" miterlimit="8" joinstyle="miter"/>
                <v:imagedata o:title=""/>
                <o:lock v:ext="edit" aspectratio="f"/>
                <v:textbox>
                  <w:txbxContent>
                    <w:p>
                      <w:pPr>
                        <w:jc w:val="center"/>
                        <w:rPr>
                          <w:rFonts w:hint="default" w:ascii="Times New Roman" w:hAnsi="Times New Roman" w:eastAsiaTheme="minorEastAsia"/>
                          <w:lang w:val="en-US" w:eastAsia="zh-CN"/>
                        </w:rPr>
                      </w:pPr>
                      <w:r>
                        <w:rPr>
                          <w:rFonts w:hint="eastAsia" w:ascii="Times New Roman" w:hAnsi="Times New Roman" w:eastAsia="仿宋" w:cs="Times New Roman"/>
                          <w:kern w:val="0"/>
                          <w:sz w:val="18"/>
                          <w:szCs w:val="18"/>
                          <w:lang w:val="en-US" w:eastAsia="zh-CN"/>
                        </w:rPr>
                        <w:t>0.26</w:t>
                      </w:r>
                      <w:r>
                        <w:rPr>
                          <w:rFonts w:ascii="Times New Roman" w:hAnsi="Times New Roman" w:eastAsia="仿宋" w:cs="Times New Roman"/>
                          <w:kern w:val="0"/>
                          <w:sz w:val="18"/>
                          <w:szCs w:val="18"/>
                        </w:rPr>
                        <w:t>万m</w:t>
                      </w:r>
                      <w:r>
                        <w:rPr>
                          <w:rFonts w:ascii="Times New Roman" w:hAnsi="Times New Roman" w:eastAsia="仿宋" w:cs="Times New Roman"/>
                          <w:kern w:val="0"/>
                          <w:sz w:val="18"/>
                          <w:szCs w:val="18"/>
                          <w:vertAlign w:val="superscript"/>
                        </w:rPr>
                        <w:t>3</w:t>
                      </w:r>
                    </w:p>
                  </w:txbxContent>
                </v:textbox>
              </v:roundrect>
            </w:pict>
          </mc:Fallback>
        </mc:AlternateContent>
      </w:r>
      <w:r>
        <w:rPr>
          <w:rFonts w:ascii="Times New Roman" w:hAnsi="Times New Roman" w:eastAsia="仿宋_GB2312" w:cs="Times New Roman"/>
          <w:color w:val="auto"/>
          <w:sz w:val="24"/>
          <w:szCs w:val="24"/>
        </w:rPr>
        <w:t xml:space="preserve">                                      </w:t>
      </w:r>
      <w:r>
        <w:rPr>
          <w:rFonts w:ascii="Times New Roman" w:hAnsi="Times New Roman" w:cs="Times New Roman"/>
          <w:color w:val="auto"/>
          <w:sz w:val="24"/>
        </w:rPr>
        <mc:AlternateContent>
          <mc:Choice Requires="wps">
            <w:drawing>
              <wp:anchor distT="0" distB="0" distL="114300" distR="114300" simplePos="0" relativeHeight="251686912" behindDoc="0" locked="0" layoutInCell="1" allowOverlap="1">
                <wp:simplePos x="0" y="0"/>
                <wp:positionH relativeFrom="column">
                  <wp:posOffset>5042535</wp:posOffset>
                </wp:positionH>
                <wp:positionV relativeFrom="paragraph">
                  <wp:posOffset>234950</wp:posOffset>
                </wp:positionV>
                <wp:extent cx="1197610" cy="542925"/>
                <wp:effectExtent l="6350" t="6350" r="15240" b="22225"/>
                <wp:wrapNone/>
                <wp:docPr id="56" name="圆角矩形 56"/>
                <wp:cNvGraphicFramePr/>
                <a:graphic xmlns:a="http://schemas.openxmlformats.org/drawingml/2006/main">
                  <a:graphicData uri="http://schemas.microsoft.com/office/word/2010/wordprocessingShape">
                    <wps:wsp>
                      <wps:cNvSpPr/>
                      <wps:spPr>
                        <a:xfrm>
                          <a:off x="0" y="0"/>
                          <a:ext cx="1197610" cy="5429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lang w:val="en-US" w:eastAsia="zh-CN"/>
                              </w:rPr>
                              <w:t>0.30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表土利用0.</w:t>
                            </w:r>
                            <w:r>
                              <w:rPr>
                                <w:rFonts w:hint="eastAsia" w:ascii="Times New Roman" w:hAnsi="Times New Roman" w:eastAsia="仿宋" w:cs="Times New Roman"/>
                                <w:kern w:val="0"/>
                                <w:sz w:val="18"/>
                                <w:szCs w:val="18"/>
                                <w:lang w:val="en-US" w:eastAsia="zh-CN"/>
                              </w:rPr>
                              <w:t>10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97.05pt;margin-top:18.5pt;height:42.75pt;width:94.3pt;z-index:251686912;v-text-anchor:middle;mso-width-relative:page;mso-height-relative:page;" fillcolor="#FFFFFF [3201]" filled="t" stroked="t" coordsize="21600,21600" arcsize="0.166666666666667" o:gfxdata="UEsDBAoAAAAAAIdO4kAAAAAAAAAAAAAAAAAEAAAAZHJzL1BLAwQUAAAACACHTuJAMCbA0dgAAAAK&#10;AQAADwAAAGRycy9kb3ducmV2LnhtbE2PwU7DMBBE70j8g7VI3KiTlJI2jdNDJSSQeqEgcXXjbRxh&#10;r0PstuHvWU70uNqnmTf1ZvJOnHGMfSAF+SwDgdQG01On4OP9+WEJIiZNRrtAqOAHI2ya25taVyZc&#10;6A3P+9QJDqFYaQU2paGSMrYWvY6zMCDx7xhGrxOfYyfNqC8c7p0ssuxJet0TN1g94NZi+7U/eQVj&#10;mvJycvabFunFb1/b3aec75S6v8uzNYiEU/qH4U+f1aFhp0M4kYnCKShXjzmjCuYlb2JgtSxKEAcm&#10;i2IBsqnl9YTmF1BLAwQUAAAACACHTuJAnu51NYYCAAAMBQAADgAAAGRycy9lMm9Eb2MueG1srVTN&#10;bhMxEL4j8Q6W73SzUdKfqJsqahSEVNGKgjg7XjtryX+MnWzKA/AAnJEqcUE8BI9TwWMw9m7btPTQ&#10;A3vwznjG38x8nvHxydZoshEQlLMVLfcGlAjLXa3sqqIf3i9eHVISIrM1086Kil6JQE+mL18ct34i&#10;hq5xuhZAEMSGSesr2sToJ0UReCMMC3vOC4tG6cCwiCqsihpYi+hGF8PBYL9oHdQeHBch4O68M9Ie&#10;EZ4D6KRUXMwdXxthY4cKQrOIJYVG+UCnOVspBY/nUgYRia4oVhrzikFQXqa1mB6zyQqYbxTvU2DP&#10;SeFRTYYpi0HvoOYsMrIG9Q+UURxccDLucWeKrpDMCFZRDh5xc9kwL3ItSHXwd6SH/wfL324ugKi6&#10;ouN9SiwzeOM33778+fH19/XPm1/fCW4jR60PE3S99BfQawHFVPBWgkl/LIVsM69Xd7yKbSQcN8vy&#10;6GC/RMo52saj4dFwnECL+9MeQnwtnCFJqCi4ta3f4eVlTtnmLMTO/9YvRQxOq3qhtM4KrJanGsiG&#10;4UUv8teHeOCmLWkxn+HBIGXDsH0ltg2KxiMFwa4oYXqFc8Ej5NgPTofdIIP8PRUkJTlnoemSyQjJ&#10;jU2Mijg6WpmKHu6e1hbJSBR3pCYpbpfbnumlq6/wjsB1zRs8XyiMcMZCvGCA3Yql4DzHc1ykdlif&#10;6yVKGgefn9pP/thEaKWkxe7H2j+tGQhK9BuL7XVUjkYIG7MyGh8MUYFdy3LXYtfm1CHvJb4cnmcx&#10;+Ud9K0pw5iOO/SxFRROzHGN3LPfKaeymEh8OLmaz7IYj4lk8s5eeJ/BEoXWzdXRS5X5IRHXs9Pzh&#10;kOS26gc6TeGunr3uH7Hp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DAmwNHYAAAACgEAAA8AAAAA&#10;AAAAAQAgAAAAIgAAAGRycy9kb3ducmV2LnhtbFBLAQIUABQAAAAIAIdO4kCe7nU1hgIAAAwFAAAO&#10;AAAAAAAAAAEAIAAAACcBAABkcnMvZTJvRG9jLnhtbFBLBQYAAAAABgAGAFkBAAAfBg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总填</w:t>
                      </w:r>
                      <w:r>
                        <w:rPr>
                          <w:rFonts w:ascii="Times New Roman" w:hAnsi="Times New Roman" w:eastAsia="仿宋" w:cs="Times New Roman"/>
                          <w:kern w:val="0"/>
                          <w:sz w:val="18"/>
                          <w:szCs w:val="18"/>
                        </w:rPr>
                        <w:t>方</w:t>
                      </w:r>
                      <w:r>
                        <w:rPr>
                          <w:rFonts w:hint="eastAsia" w:ascii="Times New Roman" w:hAnsi="Times New Roman" w:eastAsia="仿宋" w:cs="Times New Roman"/>
                          <w:kern w:val="0"/>
                          <w:sz w:val="18"/>
                          <w:szCs w:val="18"/>
                          <w:lang w:val="en-US" w:eastAsia="zh-CN"/>
                        </w:rPr>
                        <w:t>0.30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表土利用0.</w:t>
                      </w:r>
                      <w:r>
                        <w:rPr>
                          <w:rFonts w:hint="eastAsia" w:ascii="Times New Roman" w:hAnsi="Times New Roman" w:eastAsia="仿宋" w:cs="Times New Roman"/>
                          <w:kern w:val="0"/>
                          <w:sz w:val="18"/>
                          <w:szCs w:val="18"/>
                          <w:lang w:val="en-US" w:eastAsia="zh-CN"/>
                        </w:rPr>
                        <w:t>10</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rPr>
                          <w:rFonts w:ascii="Times New Roman" w:hAnsi="Times New Roman"/>
                        </w:rPr>
                      </w:pP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85888" behindDoc="0" locked="0" layoutInCell="1" allowOverlap="1">
                <wp:simplePos x="0" y="0"/>
                <wp:positionH relativeFrom="column">
                  <wp:posOffset>2382520</wp:posOffset>
                </wp:positionH>
                <wp:positionV relativeFrom="paragraph">
                  <wp:posOffset>238125</wp:posOffset>
                </wp:positionV>
                <wp:extent cx="1197610" cy="593725"/>
                <wp:effectExtent l="6350" t="6350" r="15240" b="9525"/>
                <wp:wrapNone/>
                <wp:docPr id="55" name="圆角矩形 55"/>
                <wp:cNvGraphicFramePr/>
                <a:graphic xmlns:a="http://schemas.openxmlformats.org/drawingml/2006/main">
                  <a:graphicData uri="http://schemas.microsoft.com/office/word/2010/wordprocessingShape">
                    <wps:wsp>
                      <wps:cNvSpPr/>
                      <wps:spPr>
                        <a:xfrm>
                          <a:off x="0" y="0"/>
                          <a:ext cx="1197610" cy="593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总挖方</w:t>
                            </w:r>
                            <w:r>
                              <w:rPr>
                                <w:rFonts w:hint="eastAsia" w:ascii="Times New Roman" w:hAnsi="Times New Roman" w:eastAsia="仿宋" w:cs="Times New Roman"/>
                                <w:kern w:val="0"/>
                                <w:sz w:val="18"/>
                                <w:szCs w:val="18"/>
                                <w:lang w:val="en-US" w:eastAsia="zh-CN"/>
                              </w:rPr>
                              <w:t>0.55</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0.09</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vertAlign w:val="superscript"/>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87.6pt;margin-top:18.75pt;height:46.75pt;width:94.3pt;z-index:251685888;v-text-anchor:middle;mso-width-relative:page;mso-height-relative:page;" fillcolor="#FFFFFF [3201]" filled="t" stroked="t" coordsize="21600,21600" arcsize="0.166666666666667" o:gfxdata="UEsDBAoAAAAAAIdO4kAAAAAAAAAAAAAAAAAEAAAAZHJzL1BLAwQUAAAACACHTuJA32snQdYAAAAK&#10;AQAADwAAAGRycy9kb3ducmV2LnhtbE2PwU7DMAyG70i8Q2Qkbizpqm6oNN1hEhJIuzAmcc0a01Q0&#10;Tkmyrbw9hgvcbPnT7+9vNrMfxRljGgJpKBYKBFIX7EC9hsPr4909iJQNWTMGQg1fmGDTXl81prbh&#10;Qi943udecAil2mhwOU+1lKlz6E1ahAmJb+8hepN5jb200Vw43I9yqdRKejMQf3Bmwq3D7mN/8hpi&#10;nov1PLpPqvKT3z53uzdZ7rS+vSnUA4iMc/6D4Uef1aFlp2M4kU1i1FCuqyWjvwMIBqpVyV2OTJaF&#10;Atk28n+F9htQSwMEFAAAAAgAh07iQDkU/pGIAgAADAUAAA4AAABkcnMvZTJvRG9jLnhtbK1UzW4T&#10;MRC+I/EOlu90k9A0bdRNFTUKQqpoRUGcHa83a8l/2M5PeQAegDMSEhfEQ/A4FTwGn73bNi099MAe&#10;vDOe8Tczn2d8fLLViqyFD9Kakvb3epQIw20lzbKk79/NXxxSEiIzFVPWiJJeiUBPJs+fHW/cWAxs&#10;Y1UlPAGICeONK2kToxsXReCN0CzsWScMjLX1mkWofllUnm2ArlUx6PUOio31lfOWixCwO2uNtEP0&#10;TwG0dS25mFm+0sLEFtULxSJKCo10gU5ytnUteDyv6yAiUSVFpTGvCAJ5kdZicszGS89cI3mXAntK&#10;Cg9q0kwaBL2FmrHIyMrLf6C05N4GW8c9bnXRFpIZQRX93gNuLhvmRK4FVAd3S3r4f7D8zfrCE1mV&#10;dDikxDCNG7/++vnPjy+/v/28/vWdYBscbVwYw/XSXfhOCxBTwdva6/RHKWSbeb265VVsI+HY7PeP&#10;Rgd9UM5hGx69HA0yaHF32vkQXwmrSRJK6u3KVG9xeZlTtj4LEWHhf+OXIgarZDWXSmXFLxenypM1&#10;w0XP85fyxpF7bsqQDfIZjHopG4b2rdE2ELUDBcEsKWFqibng0efY906H3SC9/D0WJCU5Y6Fpk8kI&#10;yY2NtYwYHSV1SQ93TyuDTBPFLalJitvFtmN6Yasr3JG3bfMGx+cSEc5YiBfMo1tRCuY5nmOplUV9&#10;tpMoaaz/9Nh+8kcTwUrJBt2P2j+umBeUqNcG7XXU398HbMzK/nA0gOJ3LYtdi1npUwve+3g5HM9i&#10;8o/qRqy91R8w9tMUFSZmOGK3LHfKaWynEg8HF9NpdsOIOBbPzKXjCTxRaOx0FW0tcz8kolp2Ov4w&#10;JPnOu4FOU7irZ6+7R2zy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N9rJ0HWAAAACgEAAA8AAAAA&#10;AAAAAQAgAAAAIgAAAGRycy9kb3ducmV2LnhtbFBLAQIUABQAAAAIAIdO4kA5FP6RiAIAAAwFAAAO&#10;AAAAAAAAAAEAIAAAACUBAABkcnMvZTJvRG9jLnhtbFBLBQYAAAAABgAGAFkBAAAfBgAAAAA=&#10;">
                <v:fill on="t" focussize="0,0"/>
                <v:stroke weight="1pt" color="#000000 [3213]" miterlimit="8" joinstyle="miter"/>
                <v:imagedata o:title=""/>
                <o:lock v:ext="edit" aspectratio="f"/>
                <v:textbox>
                  <w:txbxContent>
                    <w:p>
                      <w:pPr>
                        <w:jc w:val="center"/>
                        <w:rPr>
                          <w:rFonts w:ascii="Times New Roman" w:hAnsi="Times New Roman" w:eastAsia="仿宋" w:cs="Times New Roman"/>
                          <w:kern w:val="0"/>
                          <w:sz w:val="18"/>
                          <w:szCs w:val="18"/>
                          <w:vertAlign w:val="superscript"/>
                        </w:rPr>
                      </w:pPr>
                      <w:r>
                        <w:rPr>
                          <w:rFonts w:hint="eastAsia" w:ascii="Times New Roman" w:hAnsi="Times New Roman" w:eastAsia="仿宋" w:cs="Times New Roman"/>
                          <w:kern w:val="0"/>
                          <w:sz w:val="18"/>
                          <w:szCs w:val="18"/>
                        </w:rPr>
                        <w:t>总挖方</w:t>
                      </w:r>
                      <w:r>
                        <w:rPr>
                          <w:rFonts w:hint="eastAsia" w:ascii="Times New Roman" w:hAnsi="Times New Roman" w:eastAsia="仿宋" w:cs="Times New Roman"/>
                          <w:kern w:val="0"/>
                          <w:sz w:val="18"/>
                          <w:szCs w:val="18"/>
                          <w:lang w:val="en-US" w:eastAsia="zh-CN"/>
                        </w:rPr>
                        <w:t>0.55</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表土剥离</w:t>
                      </w:r>
                      <w:r>
                        <w:rPr>
                          <w:rFonts w:hint="eastAsia" w:ascii="Times New Roman" w:hAnsi="Times New Roman" w:eastAsia="仿宋" w:cs="Times New Roman"/>
                          <w:kern w:val="0"/>
                          <w:sz w:val="18"/>
                          <w:szCs w:val="18"/>
                          <w:lang w:val="en-US" w:eastAsia="zh-CN"/>
                        </w:rPr>
                        <w:t>0.09</w:t>
                      </w:r>
                      <w:r>
                        <w:rPr>
                          <w:rFonts w:hint="eastAsia" w:ascii="Times New Roman" w:hAnsi="Times New Roman" w:eastAsia="仿宋" w:cs="Times New Roman"/>
                          <w:kern w:val="0"/>
                          <w:sz w:val="18"/>
                          <w:szCs w:val="18"/>
                        </w:rPr>
                        <w:t>万m</w:t>
                      </w:r>
                      <w:r>
                        <w:rPr>
                          <w:rFonts w:hint="eastAsia" w:ascii="Times New Roman" w:hAnsi="Times New Roman" w:eastAsia="仿宋" w:cs="Times New Roman"/>
                          <w:kern w:val="0"/>
                          <w:sz w:val="18"/>
                          <w:szCs w:val="18"/>
                          <w:vertAlign w:val="superscript"/>
                        </w:rPr>
                        <w:t>3</w:t>
                      </w:r>
                    </w:p>
                    <w:p>
                      <w:pPr>
                        <w:jc w:val="center"/>
                        <w:rPr>
                          <w:rFonts w:ascii="Times New Roman" w:hAnsi="Times New Roman" w:eastAsia="仿宋" w:cs="Times New Roman"/>
                          <w:kern w:val="0"/>
                          <w:sz w:val="18"/>
                          <w:szCs w:val="18"/>
                          <w:vertAlign w:val="superscript"/>
                        </w:rPr>
                      </w:pPr>
                    </w:p>
                  </w:txbxContent>
                </v:textbox>
              </v:roundrect>
            </w:pict>
          </mc:Fallback>
        </mc:AlternateContent>
      </w:r>
    </w:p>
    <w:p>
      <w:pPr>
        <w:spacing w:line="360" w:lineRule="auto"/>
        <w:rPr>
          <w:rFonts w:ascii="Times New Roman" w:hAnsi="Times New Roman" w:eastAsia="仿宋_GB2312" w:cs="Times New Roman"/>
          <w:color w:val="auto"/>
          <w:sz w:val="24"/>
          <w:szCs w:val="24"/>
        </w:rPr>
      </w:pPr>
      <w:r>
        <w:rPr>
          <w:sz w:val="24"/>
        </w:rPr>
        <mc:AlternateContent>
          <mc:Choice Requires="wps">
            <w:drawing>
              <wp:anchor distT="0" distB="0" distL="114300" distR="114300" simplePos="0" relativeHeight="251706368" behindDoc="0" locked="0" layoutInCell="1" allowOverlap="1">
                <wp:simplePos x="0" y="0"/>
                <wp:positionH relativeFrom="column">
                  <wp:posOffset>6259830</wp:posOffset>
                </wp:positionH>
                <wp:positionV relativeFrom="paragraph">
                  <wp:posOffset>114935</wp:posOffset>
                </wp:positionV>
                <wp:extent cx="771525" cy="5715"/>
                <wp:effectExtent l="0" t="0" r="0" b="0"/>
                <wp:wrapNone/>
                <wp:docPr id="58" name="直接连接符 58"/>
                <wp:cNvGraphicFramePr/>
                <a:graphic xmlns:a="http://schemas.openxmlformats.org/drawingml/2006/main">
                  <a:graphicData uri="http://schemas.microsoft.com/office/word/2010/wordprocessingShape">
                    <wps:wsp>
                      <wps:cNvCnPr/>
                      <wps:spPr>
                        <a:xfrm flipV="1">
                          <a:off x="7174230" y="5088890"/>
                          <a:ext cx="77152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92.9pt;margin-top:9.05pt;height:0.45pt;width:60.75pt;z-index:251706368;mso-width-relative:page;mso-height-relative:page;" filled="f" stroked="t" coordsize="21600,21600" o:gfxdata="UEsDBAoAAAAAAIdO4kAAAAAAAAAAAAAAAAAEAAAAZHJzL1BLAwQUAAAACACHTuJABftwXtcAAAAK&#10;AQAADwAAAGRycy9kb3ducmV2LnhtbE2PzU7DMBCE70i8g7VI3Kgdyk8c4lQUCbhVoqV3N16SqPE6&#10;xE5b3p7tCW6zmtHMt+Xi5HtxwDF2gQxkMwUCqQ6uo8bA5+b1JgcRkyVn+0Bo4AcjLKrLi9IWLhzp&#10;Aw/r1AguoVhYA21KQyFlrFv0Ns7CgMTeVxi9TXyOjXSjPXK57+WtUg/S2454obUDvrRY79eTN7Dc&#10;6Pmb207v+5W+w+elzuL0vTXm+ipTTyASntJfGM74jA4VM+3CRC6K3oDO7xk9sZFnIM6BTD3OQexY&#10;aQWyKuX/F6pfUEsDBBQAAAAIAIdO4kAOFwlP+QEAAMsDAAAOAAAAZHJzL2Uyb0RvYy54bWytU82O&#10;0zAQviPxDpbvNG2XbkvUdA9bLRcElfi5Tx0nseQ/ebxN+xK8ABI3OHHkvm/D8hiMnbAsy2UP5GCN&#10;5+eb+T5P1hdHo9lBBlTOVnw2mXImrXC1sm3F37+7erbiDCPYGrSzsuInifxi8/TJuvelnLvO6VoG&#10;RiAWy95XvIvRl0WBopMGcOK8tBRsXDAQ6Rraog7QE7rRxXw6PS96F2ofnJCI5N0OQT4ihscAuqZR&#10;Qm6duDbSxgE1SA2RKGGnPPJNnrZppIhvmgZlZLrixDTmk5qQvU9nsVlD2QbwnRLjCPCYER5wMqAs&#10;Nb2D2kIEdh3UP1BGieDQNXEinCkGIlkRYjGbPtDmbQdeZi4kNfo70fH/wYrXh11gqq74gt7dgqEX&#10;v/30/cfHLz9vPtN5++0rowjJ1HssKfvS7sJ4Q78LifOxCYY1WvkPtE9ZBeLFjhVfzpbP52ck9Yng&#10;p6vV6sUouDxGJlLCcraYLzgTKYHs1KcYABOwDxhfSmdYMiqulU1qQAmHVxiH1N8pyW3dldKa/FBq&#10;y/qKn58tqLkA2tKGtoNM44kp2pYz0C2tv4ghI6LTqk7VqRhDu7/UgR0gLU3+xsH+Skutt4DdkJdD&#10;KQ1KoyL9IVqZiq/uV2tL7JKMg3DJ2rv6lPXMfnrjzH/cx7RE9++5+s8/u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ftwXtcAAAAKAQAADwAAAAAAAAABACAAAAAiAAAAZHJzL2Rvd25yZXYueG1s&#10;UEsBAhQAFAAAAAgAh07iQA4XCU/5AQAAywMAAA4AAAAAAAAAAQAgAAAAJgEAAGRycy9lMm9Eb2Mu&#10;eG1sUEsFBgAAAAAGAAYAWQEAAJEFAAAAAA==&#10;">
                <v:fill on="f" focussize="0,0"/>
                <v:stroke weight="0.5pt" color="#000000 [3200]" miterlimit="8" joinstyle="miter"/>
                <v:imagedata o:title=""/>
                <o:lock v:ext="edit" aspectratio="f"/>
              </v:lin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6250305</wp:posOffset>
                </wp:positionH>
                <wp:positionV relativeFrom="paragraph">
                  <wp:posOffset>111125</wp:posOffset>
                </wp:positionV>
                <wp:extent cx="9525" cy="0"/>
                <wp:effectExtent l="0" t="0" r="0" b="0"/>
                <wp:wrapNone/>
                <wp:docPr id="57" name="直接连接符 57"/>
                <wp:cNvGraphicFramePr/>
                <a:graphic xmlns:a="http://schemas.openxmlformats.org/drawingml/2006/main">
                  <a:graphicData uri="http://schemas.microsoft.com/office/word/2010/wordprocessingShape">
                    <wps:wsp>
                      <wps:cNvCnPr/>
                      <wps:spPr>
                        <a:xfrm flipH="1">
                          <a:off x="7164705" y="5079365"/>
                          <a:ext cx="9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92.15pt;margin-top:8.75pt;height:0pt;width:0.75pt;z-index:251705344;mso-width-relative:page;mso-height-relative:page;" filled="f" stroked="t" coordsize="21600,21600" o:gfxdata="UEsDBAoAAAAAAIdO4kAAAAAAAAAAAAAAAAAEAAAAZHJzL1BLAwQUAAAACACHTuJAjvPnL9cAAAAJ&#10;AQAADwAAAGRycy9kb3ducmV2LnhtbE2PwU7DMBBE70j8g7VI3KiTQts0xOkBxAEuqAHUqxtv46jx&#10;OsROWv6eRRzguDNPszPF5uw6MeEQWk8K0lkCAqn2pqVGwfvb000GIkRNRneeUMEXBtiUlxeFzo0/&#10;0RanKjaCQyjkWoGNsc+lDLVFp8PM90jsHfzgdORzaKQZ9InDXSfnSbKUTrfEH6zu8cFifaxGp+C5&#10;0tvl6+cuxZf543T8aMeVrUelrq/S5B5ExHP8g+GnPleHkjvt/UgmiE7BOru7ZZSN1QIEA+tswVv2&#10;v4IsC/l/QfkNUEsDBBQAAAAIAIdO4kC9Gov8/wEAAMYDAAAOAAAAZHJzL2Uyb0RvYy54bWytU0uO&#10;EzEQ3SNxB8t70p1MPjOtdGaRaGCBIBJwAMdtd1vyTy5POrkEF0BiByuW7LkNwzEou5sBhs0s8MIq&#10;u8qv6r0qr69PRpOjCKCcrel0UlIiLHeNsm1N3729eXZJCURmG6adFTU9C6DXm6dP1r2vxMx1Tjci&#10;EASxUPW+pl2MvioK4J0wDCbOC4tO6YJhEY+hLZrAekQ3upiV5bLoXWh8cFwA4O1ucNIRMTwG0Emp&#10;uNg5fmuEjQNqEJpFpASd8kA3uVopBY+vpQQRia4pMo15xyRoH9JebNasagPzneJjCewxJTzgZJiy&#10;mPQeasciI7dB/QNlFA8OnIwT7kwxEMmKIItp+UCbNx3zInNBqcHfiw7/D5a/Ou4DUU1NFytKLDPY&#10;8bsPX7+///Tj20fc7758JuhBmXoPFUZv7T6MJ/D7kDifZDBEauVf4DxlFZAXOdV0NV3OV+WCkjPC&#10;l6uri+ViEFycIuEYcLWYoZejO3eiGLASpg8QnwtnSDJqqpVNQrCKHV9CxPwY+iskXVt3o7TOzdSW&#10;9DVdXiywxZzhgEocDDSNR5JgW0qYbnHyeQwZEZxWTXqdcCC0h60O5MhwXubz1Ww7TxVjtr/CUuod&#10;g26Iy66BmFERP4dWpqaXZVrja20RJCk4aJasg2vOWcp8j+3NacZRTPPz5zm//v39N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jvPnL9cAAAAJAQAADwAAAAAAAAABACAAAAAiAAAAZHJzL2Rvd25y&#10;ZXYueG1sUEsBAhQAFAAAAAgAh07iQL0ai/z/AQAAxgMAAA4AAAAAAAAAAQAgAAAAJgEAAGRycy9l&#10;Mm9Eb2MueG1sUEsFBgAAAAAGAAYAWQEAAJcFAAAAAA==&#10;">
                <v:fill on="f" focussize="0,0"/>
                <v:stroke weight="0.5pt" color="#4472C4 [3204]" miterlimit="8" joinstyle="miter"/>
                <v:imagedata o:title=""/>
                <o:lock v:ext="edit" aspectratio="f"/>
              </v:line>
            </w:pict>
          </mc:Fallback>
        </mc:AlternateContent>
      </w:r>
      <w:r>
        <w:rPr>
          <w:color w:val="auto"/>
          <w:sz w:val="24"/>
        </w:rPr>
        <mc:AlternateContent>
          <mc:Choice Requires="wps">
            <w:drawing>
              <wp:anchor distT="0" distB="0" distL="114300" distR="114300" simplePos="0" relativeHeight="251704320" behindDoc="0" locked="0" layoutInCell="1" allowOverlap="1">
                <wp:simplePos x="0" y="0"/>
                <wp:positionH relativeFrom="column">
                  <wp:posOffset>6238240</wp:posOffset>
                </wp:positionH>
                <wp:positionV relativeFrom="paragraph">
                  <wp:posOffset>225425</wp:posOffset>
                </wp:positionV>
                <wp:extent cx="1859915" cy="10795"/>
                <wp:effectExtent l="0" t="38735" r="6985" b="64770"/>
                <wp:wrapNone/>
                <wp:docPr id="50" name="直接箭头连接符 50"/>
                <wp:cNvGraphicFramePr/>
                <a:graphic xmlns:a="http://schemas.openxmlformats.org/drawingml/2006/main">
                  <a:graphicData uri="http://schemas.microsoft.com/office/word/2010/wordprocessingShape">
                    <wps:wsp>
                      <wps:cNvCnPr/>
                      <wps:spPr>
                        <a:xfrm flipH="1">
                          <a:off x="0" y="0"/>
                          <a:ext cx="1859915" cy="1079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_x0000_s1026" o:spid="_x0000_s1026" o:spt="32" type="#_x0000_t32" style="position:absolute;left:0pt;flip:x;margin-left:491.2pt;margin-top:17.75pt;height:0.85pt;width:146.45pt;z-index:251704320;mso-width-relative:page;mso-height-relative:page;" filled="f" stroked="t" coordsize="21600,21600" o:gfxdata="UEsDBAoAAAAAAIdO4kAAAAAAAAAAAAAAAAAEAAAAZHJzL1BLAwQUAAAACACHTuJAwjBY9doAAAAK&#10;AQAADwAAAGRycy9kb3ducmV2LnhtbE2Py07DMBBF90j8gzVI7KjTlNA2xKkEbVZ0ASmLLifxkET4&#10;Ednug3497gqWM3N059xiddaKHcn5wRoB00kCjExr5WA6AZ+76mEBzAc0EpU1JOCHPKzK25sCc2lP&#10;5oOOdehYDDE+RwF9CGPOuW970ugndiQTb1/WaQxxdB2XDk8xXCueJskT1ziY+KHHkV57ar/rgxYw&#10;7reby9tLhaG6qPXmndxuXTdC3N9Nk2dggc7hD4arflSHMjo19mCkZ0rAcpE+RlTALMuAXYF0ns2A&#10;NXEzT4GXBf9fofwFUEsDBBQAAAAIAIdO4kC03/cHGQIAAAAEAAAOAAAAZHJzL2Uyb0RvYy54bWyt&#10;U0uOEzEQ3SNxB8t70smgDEkrnVkkDCwQRAIOUHG7uy35p7InnVyCCyCxAlbAavacBoZjUHaHAMNm&#10;FvTCKrv8XtV7XV5c7I1mO4lBOVvxyWjMmbTC1cq2FX/96vLBjLMQwdagnZUVP8jAL5b37y16X8oz&#10;1zldS2REYkPZ+4p3MfqyKILopIEwcl5aSjYODUTaYlvUCD2xG12cjcfnRe+w9uiEDIFO10OSHxnx&#10;LoSuaZSQayeujLRxYEWpIZKk0Ckf+DJ32zRSxBdNE2RkuuKkNOaVilC8TWuxXEDZIvhOiWMLcJcW&#10;bmkyoCwVPVGtIQK7QvUPlVECXXBNHAlnikFIdoRUTMa3vHnZgZdZC1kd/Mn08P9oxfPdBpmqKz4l&#10;SywY+uM3b6+/v/lw8+Xzt/fXP76+S/Gnj4zyZFbvQ0mYld3gcRf8BpPyfYOGNVr5pzRV2QtSx/bZ&#10;6sPJarmPTNDhZDadzydTzgTlJuNH82liLwaaROcxxCfSGZaCioeIoNourpy19FMdDiVg9yzEAfgL&#10;kMDWXSqt6RxKbVlf8fOHSZ4AmteG5oRC40lzsC1noFt6CCJibjo4reqETuCA7Xalke0gjU/+jm3+&#10;dS2VXkPohns5la5BaVSkt6KVqfjshIYygtKPbc3iwZPdgOh6nro0suZMS+omRYMsbcmW5Prgc4q2&#10;rj5k+/M5DUY27jjEafL+3Gf074e7/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CMFj12gAAAAoB&#10;AAAPAAAAAAAAAAEAIAAAACIAAABkcnMvZG93bnJldi54bWxQSwECFAAUAAAACACHTuJAtN/3BxkC&#10;AAAABAAADgAAAAAAAAABACAAAAApAQAAZHJzL2Uyb0RvYy54bWxQSwUGAAAAAAYABgBZAQAAtAUA&#10;AAAA&#10;">
                <v:fill on="f" focussize="0,0"/>
                <v:stroke weight="0.5pt" color="#000000 [3200]" miterlimit="8" joinstyle="miter" endarrow="open"/>
                <v:imagedata o:title=""/>
                <o:lock v:ext="edit" aspectratio="f"/>
              </v:shape>
            </w:pict>
          </mc:Fallback>
        </mc:AlternateContent>
      </w:r>
      <w:r>
        <w:rPr>
          <w:rFonts w:ascii="Times New Roman" w:hAnsi="Times New Roman" w:cs="Times New Roman"/>
          <w:color w:val="auto"/>
          <w:sz w:val="24"/>
        </w:rPr>
        <mc:AlternateContent>
          <mc:Choice Requires="wps">
            <w:drawing>
              <wp:anchor distT="0" distB="0" distL="114300" distR="114300" simplePos="0" relativeHeight="251683840" behindDoc="0" locked="0" layoutInCell="1" allowOverlap="1">
                <wp:simplePos x="0" y="0"/>
                <wp:positionH relativeFrom="column">
                  <wp:posOffset>1358265</wp:posOffset>
                </wp:positionH>
                <wp:positionV relativeFrom="paragraph">
                  <wp:posOffset>150495</wp:posOffset>
                </wp:positionV>
                <wp:extent cx="1016635" cy="19050"/>
                <wp:effectExtent l="0" t="6350" r="12065" b="12700"/>
                <wp:wrapNone/>
                <wp:docPr id="46" name="直接连接符 46"/>
                <wp:cNvGraphicFramePr/>
                <a:graphic xmlns:a="http://schemas.openxmlformats.org/drawingml/2006/main">
                  <a:graphicData uri="http://schemas.microsoft.com/office/word/2010/wordprocessingShape">
                    <wps:wsp>
                      <wps:cNvCnPr/>
                      <wps:spPr>
                        <a:xfrm>
                          <a:off x="0" y="0"/>
                          <a:ext cx="1016635"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_x0000_s1026" o:spid="_x0000_s1026" o:spt="20" style="position:absolute;left:0pt;margin-left:106.95pt;margin-top:11.85pt;height:1.5pt;width:80.05pt;z-index:251683840;mso-width-relative:page;mso-height-relative:page;" filled="f" stroked="t" coordsize="21600,21600" o:gfxdata="UEsDBAoAAAAAAIdO4kAAAAAAAAAAAAAAAAAEAAAAZHJzL1BLAwQUAAAACACHTuJA6eD3PdkAAAAJ&#10;AQAADwAAAGRycy9kb3ducmV2LnhtbE2PQU/DMAyF70j8h8hI3FjaZVpZaToh0MSB08YEO2aNaas1&#10;TtVkXeHXY05ws/2enr9XrCfXiRGH0HrSkM4SEEiVty3VGvZvm7t7ECEasqbzhBq+MMC6vL4qTG79&#10;hbY47mItOIRCbjQ0Mfa5lKFq0Jkw8z0Sa59+cCbyOtTSDubC4a6T8yRZSmda4g+N6fGpweq0OzsN&#10;74/ZSU0vz4tN3O4Pgx/VK35/aH17kyYPICJO8c8Mv/iMDiUzHf2ZbBCdhnmqVmzlQWUg2KCyBZc7&#10;8mGZgSwL+b9B+QNQSwMEFAAAAAgAh07iQMCY6WHpAQAAuAMAAA4AAABkcnMvZTJvRG9jLnhtbK1T&#10;zY7TMBC+I/EOlu80SWHLEjXdw1bLBUEl4AFcx0ks+U8z3qZ9CV4AiRucOHLnbXZ5DMZO6S7LZQ/k&#10;4Izn5xt/n8fLi701bKcAtXcNr2YlZ8pJ32rXN/zjh6tn55xhFK4VxjvV8INCfrF6+mQ5hlrN/eBN&#10;q4ARiMN6DA0fYgx1UaAclBU480E5CnYerIi0hb5oQYyEbk0xL8tFMXpoA3ipEMm7noL8iAiPAfRd&#10;p6Vae3ltlYsTKigjIlHCQQfkq3zarlMyvus6VJGZhhPTmFdqQvY2rcVqKeoeRBi0PB5BPOYIDzhZ&#10;oR01PUGtRRTsGvQ/UFZL8Oi7OJPeFhORrAixqMoH2rwfRFCZC0mN4SQ6/j9Y+Xa3Aabbhr9YcOaE&#10;pRu//fzj5tPXXz+/0Hr7/RujCMk0Bqwp+9Jt4LjDsIHEed+BTX9iw/ZZ2sNJWrWPTJKzKqvF4vkZ&#10;Z5Ji1avyLEtf3BUHwPhaecuS0XCjXWIuarF7g5EaUuqflOR2/kobk2/PODYS5vxlSZcqBY1kR6NA&#10;pg1EC13PmTA9zbqMkCHRG92m8gSE0G8vDbCdSBOSv8SW2v2VlnqvBQ5TXg5Ns2N1pOdgtG34+f1q&#10;4wgkaTaplKytbw9ZvOynC81tjsOXJub+PlffPbj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ng&#10;9z3ZAAAACQEAAA8AAAAAAAAAAQAgAAAAIgAAAGRycy9kb3ducmV2LnhtbFBLAQIUABQAAAAIAIdO&#10;4kDAmOlh6QEAALgDAAAOAAAAAAAAAAEAIAAAACgBAABkcnMvZTJvRG9jLnhtbFBLBQYAAAAABgAG&#10;AFkBAACDBQAAAAA=&#10;">
                <v:fill on="f" focussize="0,0"/>
                <v:stroke weight="1pt" color="#000000 [3200]" miterlimit="8" joinstyle="miter"/>
                <v:imagedata o:title=""/>
                <o:lock v:ext="edit" aspectratio="f"/>
              </v:line>
            </w:pict>
          </mc:Fallback>
        </mc:AlternateContent>
      </w:r>
      <w:r>
        <w:rPr>
          <w:rFonts w:ascii="Times New Roman" w:hAnsi="Times New Roman" w:cs="Times New Roman"/>
          <w:color w:val="auto"/>
          <w:sz w:val="24"/>
        </w:rPr>
        <mc:AlternateContent>
          <mc:Choice Requires="wps">
            <w:drawing>
              <wp:anchor distT="0" distB="0" distL="114300" distR="114300" simplePos="0" relativeHeight="251682816" behindDoc="0" locked="0" layoutInCell="1" allowOverlap="1">
                <wp:simplePos x="0" y="0"/>
                <wp:positionH relativeFrom="column">
                  <wp:posOffset>153035</wp:posOffset>
                </wp:positionH>
                <wp:positionV relativeFrom="paragraph">
                  <wp:posOffset>36830</wp:posOffset>
                </wp:positionV>
                <wp:extent cx="1197610" cy="333375"/>
                <wp:effectExtent l="6350" t="6350" r="15240" b="22225"/>
                <wp:wrapNone/>
                <wp:docPr id="53" name="圆角矩形 53"/>
                <wp:cNvGraphicFramePr/>
                <a:graphic xmlns:a="http://schemas.openxmlformats.org/drawingml/2006/main">
                  <a:graphicData uri="http://schemas.microsoft.com/office/word/2010/wordprocessingShape">
                    <wps:wsp>
                      <wps:cNvSpPr/>
                      <wps:spPr>
                        <a:xfrm>
                          <a:off x="0" y="0"/>
                          <a:ext cx="1197610" cy="3333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rPr>
                                <w:rFonts w:ascii="Times New Roman" w:hAnsi="Times New Roman"/>
                              </w:rPr>
                            </w:pPr>
                            <w:r>
                              <w:rPr>
                                <w:rFonts w:ascii="Times New Roman" w:hAnsi="Times New Roman" w:eastAsia="仿宋_GB2312"/>
                                <w:kern w:val="0"/>
                                <w:sz w:val="18"/>
                                <w:szCs w:val="18"/>
                              </w:rPr>
                              <w:t>道路工程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2.05pt;margin-top:2.9pt;height:26.25pt;width:94.3pt;z-index:251682816;v-text-anchor:middle;mso-width-relative:page;mso-height-relative:page;" fillcolor="#FFFFFF [3201]" filled="t" stroked="t" coordsize="21600,21600" arcsize="0.166666666666667" o:gfxdata="UEsDBAoAAAAAAIdO4kAAAAAAAAAAAAAAAAAEAAAAZHJzL1BLAwQUAAAACACHTuJAqwyOJtQAAAAH&#10;AQAADwAAAGRycy9kb3ducmV2LnhtbE2PwU7DMBBE70j8g7VI3KjjlFKUxumhEhJIvdAicXXjbRxh&#10;r0PstuHv2Z7gOJrRzJt6PQUvzjimPpIGNStAILXR9tRp+Ni/PDyDSNmQNT4SavjBBOvm9qY2lY0X&#10;esfzLneCSyhVRoPLeaikTK3DYNIsDkjsHeMYTGY5dtKO5sLlwcuyKJ5kMD3xgjMDbhy2X7tT0DDm&#10;SS0n775pkV/D5q3dfsr5Vuv7O1WsQGSc8l8YrviMDg0zHeKJbBJeQ/moOKlhwQfYLlW5BHG46jnI&#10;ppb/+ZtfUEsDBBQAAAAIAIdO4kB+Zt87hQIAAAwFAAAOAAAAZHJzL2Uyb0RvYy54bWytVM1uEzEQ&#10;viPxDpbvdJP0J23UTRU1CkKqaEVBnB2vN2vJf9jOT3kAHoBzJSQuiIfgcSp4DD57t21aeuiBPXhn&#10;PONvZj7P+PhkoxVZCR+kNSXt7/QoEYbbSppFST+8n706pCREZiqmrBElvRKBnoxfvjheu5EY2Maq&#10;SngCEBNGa1fSJkY3KorAG6FZ2LFOGBhr6zWLUP2iqDxbA12rYtDrHRRr6yvnLRchYHfaGmmH6J8D&#10;aOtacjG1fKmFiS2qF4pFlBQa6QId52zrWvB4XtdBRKJKikpjXhEE8jytxfiYjRaeuUbyLgX2nBQe&#10;1aSZNAh6BzVlkZGll/9Aacm9DbaOO9zqoi0kM4Iq+r1H3Fw2zIlcC6gO7o708P9g+dvVhSeyKun+&#10;LiWGadz4zfWXPz++/v728+bXd4JtcLR2YQTXS3fhOy1ATAVvaq/TH6WQTeb16o5XsYmEY7PfPxoe&#10;9EE5h20X33A/gRb3p50P8bWwmiShpN4uTfUOl5c5ZauzEFv/W78UMVglq5lUKit+MT9VnqwYLnqW&#10;vy7EAzdlyBr5DIa9lA1D+9ZoG4jagYJgFpQwtcBc8Ohz7Aenw3aQXv6eCpKSnLLQtMlkhOTGRlpG&#10;jI6SuqSH26eVARmJ4pbUJMXNfNMxPbfVFe7I27Z5g+MziQhnLMQL5tGtKAXzHM+x1MqiPttJlDTW&#10;f35qP/mjiWClZI3uR+2flswLStQbg/Y66u/tATZmZW9/OIDity3zbYtZ6lML3vt4ORzPYvKP6las&#10;vdUfMfaTFBUmZjhityx3ymlspxIPBxeTSXbDiDgWz8yl4wk8UWjsZBltLXM/JKJadjr+MCS5rbqB&#10;TlO4rWev+0ds/B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rDI4m1AAAAAcBAAAPAAAAAAAAAAEA&#10;IAAAACIAAABkcnMvZG93bnJldi54bWxQSwECFAAUAAAACACHTuJAfmbfO4UCAAAMBQAADgAAAAAA&#10;AAABACAAAAAjAQAAZHJzL2Uyb0RvYy54bWxQSwUGAAAAAAYABgBZAQAAGgYAAAAA&#10;">
                <v:fill on="t" focussize="0,0"/>
                <v:stroke weight="1pt" color="#000000 [3213]" miterlimit="8" joinstyle="miter"/>
                <v:imagedata o:title=""/>
                <o:lock v:ext="edit" aspectratio="f"/>
                <v:textbox>
                  <w:txbxContent>
                    <w:p>
                      <w:pPr>
                        <w:rPr>
                          <w:rFonts w:ascii="Times New Roman" w:hAnsi="Times New Roman"/>
                        </w:rPr>
                      </w:pPr>
                      <w:r>
                        <w:rPr>
                          <w:rFonts w:ascii="Times New Roman" w:hAnsi="Times New Roman" w:eastAsia="仿宋_GB2312"/>
                          <w:kern w:val="0"/>
                          <w:sz w:val="18"/>
                          <w:szCs w:val="18"/>
                        </w:rPr>
                        <w:t>道路工程</w:t>
                      </w:r>
                    </w:p>
                  </w:txbxContent>
                </v:textbox>
              </v:roundrect>
            </w:pict>
          </mc:Fallback>
        </mc:AlternateContent>
      </w:r>
      <w:r>
        <w:rPr>
          <w:rFonts w:ascii="Times New Roman" w:hAnsi="Times New Roman" w:cs="Times New Roman"/>
          <w:color w:val="auto"/>
          <w:sz w:val="24"/>
        </w:rPr>
        <mc:AlternateContent>
          <mc:Choice Requires="wps">
            <w:drawing>
              <wp:anchor distT="0" distB="0" distL="114300" distR="114300" simplePos="0" relativeHeight="251684864" behindDoc="0" locked="0" layoutInCell="1" allowOverlap="1">
                <wp:simplePos x="0" y="0"/>
                <wp:positionH relativeFrom="column">
                  <wp:posOffset>3564890</wp:posOffset>
                </wp:positionH>
                <wp:positionV relativeFrom="paragraph">
                  <wp:posOffset>217170</wp:posOffset>
                </wp:positionV>
                <wp:extent cx="1470025" cy="5715"/>
                <wp:effectExtent l="0" t="50165" r="15875" b="58420"/>
                <wp:wrapNone/>
                <wp:docPr id="54" name="直接箭头连接符 54"/>
                <wp:cNvGraphicFramePr/>
                <a:graphic xmlns:a="http://schemas.openxmlformats.org/drawingml/2006/main">
                  <a:graphicData uri="http://schemas.microsoft.com/office/word/2010/wordprocessingShape">
                    <wps:wsp>
                      <wps:cNvCnPr/>
                      <wps:spPr>
                        <a:xfrm flipV="1">
                          <a:off x="0" y="0"/>
                          <a:ext cx="1470025" cy="5715"/>
                        </a:xfrm>
                        <a:prstGeom prst="straightConnector1">
                          <a:avLst/>
                        </a:prstGeom>
                        <a:ln>
                          <a:tailEnd type="arrow" w="med" len="med"/>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_x0000_s1026" o:spid="_x0000_s1026" o:spt="32" type="#_x0000_t32" style="position:absolute;left:0pt;flip:y;margin-left:280.7pt;margin-top:17.1pt;height:0.45pt;width:115.75pt;z-index:251684864;mso-width-relative:page;mso-height-relative:page;" filled="f" stroked="t" coordsize="21600,21600" o:gfxdata="UEsDBAoAAAAAAIdO4kAAAAAAAAAAAAAAAAAEAAAAZHJzL1BLAwQUAAAACACHTuJATs0IktsAAAAJ&#10;AQAADwAAAGRycy9kb3ducmV2LnhtbE2PUUvDMBDH3wW/QzjBN5embtPVpkMqwnATcQriW9acbbFJ&#10;SpJ29dvvfNLHu/vxv98/X0+mYyP60DorQcwSYGgrp1tbS3h/e7y6BRaislp1zqKEHwywLs7PcpVp&#10;d7SvOO5jzSjEhkxJaGLsM85D1aBRYeZ6tHT7ct6oSKOvufbqSOGm42mSLLlRraUPjeqxbLD63g9G&#10;wqZLd0/bXfnxIMrN8Lz1L5/30yjl5YVI7oBFnOIfDL/6pA4FOR3cYHVgnYTFUswJlXA9T4ERcLNK&#10;V8AOtFgI4EXO/zcoTlBLAwQUAAAACACHTuJAlOcETxgCAAAABAAADgAAAGRycy9lMm9Eb2MueG1s&#10;rVPNjtMwEL4j8Q6W7zRptWVXUdM9tCwXBCvxc586TmLJfxp7m/YleAEkTsAJ9rR3ngaWx2DslALL&#10;ZQ/kYI09/r6Z78t4cb4zmm0lBuVszaeTkjNphWuU7Wr++tXFozPOQgTbgHZW1nwvAz9fPnywGHwl&#10;Z653upHIiMSGavA172P0VVEE0UsDYeK8tJRsHRqItMWuaBAGYje6mJXl42Jw2Hh0QoZAp+sxyQ+M&#10;eB9C17ZKyLUTV0baOLKi1BBJUuiVD3yZu21bKeKLtg0yMl1zUhrzSkUo3qS1WC6g6hB8r8ShBbhP&#10;C3c0GVCWih6p1hCBXaH6h8oogS64Nk6EM8UoJDtCKqblHW9e9uBl1kJWB380Pfw/WvF8e4lMNTWf&#10;n3BmwdAfv3138/3tx9vrL98+3Pz4+j7Fnz8xypNZgw8VYVb2Eg+74C8xKd+1aFirlX9DU5W9IHVs&#10;l63eH62Wu8gEHU5PTstyNudMUG5+Op0n8mJkSWweQ3wqnWEpqHmICKrr48pZS//U4VgBts9CHIG/&#10;AAls3YXSms6h0pYNVG1G1agW0Ly2NCcUGk+ag+04A93RQxARc9PBadUkeEIH7DYrjWwLaXzyd+jz&#10;r2up9hpCP97LqXQNKqMivRWtTM3PjmioIij9xDYs7j3ZDYhu4KlNIxvOtKRuUjTq0pZ8Sa6PPqdo&#10;45p9tj+f02Bk5w5DnCbvz31G/364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OzQiS2wAAAAkB&#10;AAAPAAAAAAAAAAEAIAAAACIAAABkcnMvZG93bnJldi54bWxQSwECFAAUAAAACACHTuJAlOcETxgC&#10;AAAABAAADgAAAAAAAAABACAAAAAqAQAAZHJzL2Uyb0RvYy54bWxQSwUGAAAAAAYABgBZAQAAtAUA&#10;AAAA&#10;">
                <v:fill on="f" focussize="0,0"/>
                <v:stroke weight="1pt" color="#000000 [3200]" miterlimit="8" joinstyle="miter" endarrow="open"/>
                <v:imagedata o:title=""/>
                <o:lock v:ext="edit" aspectratio="f"/>
              </v:shape>
            </w:pict>
          </mc:Fallback>
        </mc:AlternateContent>
      </w:r>
    </w:p>
    <w:p>
      <w:pPr>
        <w:widowControl w:val="0"/>
        <w:spacing w:line="360" w:lineRule="auto"/>
        <w:rPr>
          <w:rFonts w:ascii="Times New Roman" w:hAnsi="Times New Roman" w:eastAsia="仿宋_GB2312" w:cs="Times New Roman"/>
          <w:color w:val="auto"/>
          <w:sz w:val="24"/>
          <w:szCs w:val="24"/>
        </w:rPr>
        <w:sectPr>
          <w:headerReference r:id="rId8" w:type="default"/>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color w:val="auto"/>
          <w:sz w:val="24"/>
        </w:rPr>
        <mc:AlternateContent>
          <mc:Choice Requires="wps">
            <w:drawing>
              <wp:anchor distT="0" distB="0" distL="114300" distR="114300" simplePos="0" relativeHeight="251687936" behindDoc="0" locked="0" layoutInCell="1" allowOverlap="1">
                <wp:simplePos x="0" y="0"/>
                <wp:positionH relativeFrom="column">
                  <wp:posOffset>6260465</wp:posOffset>
                </wp:positionH>
                <wp:positionV relativeFrom="paragraph">
                  <wp:posOffset>-62865</wp:posOffset>
                </wp:positionV>
                <wp:extent cx="1851660" cy="2540"/>
                <wp:effectExtent l="0" t="0" r="0" b="0"/>
                <wp:wrapNone/>
                <wp:docPr id="8" name="直接连接符 8"/>
                <wp:cNvGraphicFramePr/>
                <a:graphic xmlns:a="http://schemas.openxmlformats.org/drawingml/2006/main">
                  <a:graphicData uri="http://schemas.microsoft.com/office/word/2010/wordprocessingShape">
                    <wps:wsp>
                      <wps:cNvCnPr/>
                      <wps:spPr>
                        <a:xfrm flipV="1">
                          <a:off x="7075805" y="2577465"/>
                          <a:ext cx="1851660"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492.95pt;margin-top:-4.95pt;height:0.2pt;width:145.8pt;z-index:251687936;mso-width-relative:page;mso-height-relative:page;" filled="f" stroked="t" coordsize="21600,21600" o:gfxdata="UEsDBAoAAAAAAIdO4kAAAAAAAAAAAAAAAAAEAAAAZHJzL1BLAwQUAAAACACHTuJAVLALL9cAAAAK&#10;AQAADwAAAGRycy9kb3ducmV2LnhtbE2PwU7DMAyG70i8Q2QkblvaQdlS6k4MCbghsbF71pi2WuOU&#10;Jt3G25Oe4GTZ/vT7c7G+2E6caPCtY4R0noAgrpxpuUb43L3MViB80Gx055gQfsjDury+KnRu3Jk/&#10;6LQNtYgh7HON0ITQ51L6qiGr/dz1xHH35QarQ2yHWppBn2O47eQiSR6k1S3HC43u6bmh6rgdLcJm&#10;p+5ezX58O76re3raqNSP33vE25s0eQQR6BL+YJj0ozqU0engRjZedAhqlamIIsxUrBOwWC4zEIdp&#10;koEsC/n/hfIXUEsDBBQAAAAIAIdO4kBRwvUe+gEAAMoDAAAOAAAAZHJzL2Uyb0RvYy54bWytU82O&#10;0zAQviPxDpbvNGnZpFXUdA9bLRcElfi5u46dWPKfPN6mfQleAIkbnDhy521YHoOxU5ZlueyBHKyx&#10;/fmb+b6ZrC+PRpODCKCcbel8VlIiLHedsn1L3729fraiBCKzHdPOipaeBNDLzdMn69E3YuEGpzsR&#10;CJJYaEbf0iFG3xQF8EEYBjPnhcVL6YJhEbehL7rARmQ3uliUZV2MLnQ+OC4A8HQ7XdIzY3gMoZNS&#10;cbF1/MYIGyfWIDSLKAkG5YFucrVSCh5fSwkiEt1SVBrzikkw3qe12KxZ0wfmB8XPJbDHlPBAk2HK&#10;YtI7qi2LjNwE9Q+VUTw4cDLOuDPFJCQ7girm5QNv3gzMi6wFrQZ/Zzr8P1r+6rALRHUtxbZbZrDh&#10;tx+//fjw+ef3T7jefv1CVsmk0UOD2Cu7C+cd+F1Iio8yGCK18u9xmrIHqIocW7osl9WqrCg5tXRR&#10;LZcXdTXZLY6RcATMV9W8rrETPCMucjeKiTEx+wDxhXCGpKClWtlkBmvY4SVErAKhvyHp2LprpXVu&#10;qLZkbGn9vErkDIdU4nBgaDwKBdtTwnSP089jyIzgtOrS68QDod9f6UAOLM1M/lLdmO0vWEq9ZTBM&#10;uHw1yTMq4g+ilUFP77/WFkmSj5NzKdq77pQNzefY4pzmPI5phu7v8+s/v+D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SwCy/XAAAACgEAAA8AAAAAAAAAAQAgAAAAIgAAAGRycy9kb3ducmV2Lnht&#10;bFBLAQIUABQAAAAIAIdO4kBRwvUe+gEAAMoDAAAOAAAAAAAAAAEAIAAAACYBAABkcnMvZTJvRG9j&#10;LnhtbFBLBQYAAAAABgAGAFkBAACSBQAAAAA=&#10;">
                <v:fill on="f" focussize="0,0"/>
                <v:stroke weight="0.5pt" color="#000000 [3200]" miterlimit="8" joinstyle="miter"/>
                <v:imagedata o:title=""/>
                <o:lock v:ext="edit" aspectratio="f"/>
              </v:line>
            </w:pict>
          </mc:Fallback>
        </mc:AlternateContent>
      </w:r>
    </w:p>
    <w:p>
      <w:pPr>
        <w:keepNext/>
        <w:keepLines/>
        <w:spacing w:before="120" w:beforeLines="50" w:after="120" w:afterLines="50" w:line="360" w:lineRule="auto"/>
        <w:outlineLvl w:val="1"/>
        <w:rPr>
          <w:rFonts w:ascii="Times New Roman" w:hAnsi="Times New Roman" w:eastAsia="仿宋_GB2312" w:cs="Times New Roman"/>
          <w:b/>
          <w:color w:val="auto"/>
          <w:sz w:val="30"/>
          <w:szCs w:val="30"/>
          <w:lang w:val="zh-CN"/>
        </w:rPr>
      </w:pPr>
      <w:r>
        <w:rPr>
          <w:rFonts w:ascii="Times New Roman" w:hAnsi="Times New Roman" w:eastAsia="仿宋_GB2312" w:cs="Times New Roman"/>
          <w:b/>
          <w:color w:val="auto"/>
          <w:sz w:val="30"/>
          <w:szCs w:val="30"/>
          <w:lang w:val="zh-CN"/>
        </w:rPr>
        <w:t>2.5拆迁（移民）安置与专项设施改（迁）建</w:t>
      </w:r>
      <w:bookmarkEnd w:id="63"/>
      <w:bookmarkEnd w:id="64"/>
      <w:bookmarkEnd w:id="65"/>
      <w:bookmarkEnd w:id="66"/>
      <w:bookmarkEnd w:id="67"/>
    </w:p>
    <w:p>
      <w:pPr>
        <w:autoSpaceDE w:val="0"/>
        <w:autoSpaceDN w:val="0"/>
        <w:adjustRightInd w:val="0"/>
        <w:spacing w:line="360" w:lineRule="auto"/>
        <w:ind w:firstLine="480" w:firstLineChars="200"/>
        <w:rPr>
          <w:rFonts w:ascii="Times New Roman" w:hAnsi="Times New Roman" w:eastAsia="仿宋_GB2312" w:cs="Times New Roman"/>
          <w:color w:val="auto"/>
          <w:sz w:val="24"/>
          <w:lang w:val="zh-CN"/>
        </w:rPr>
      </w:pPr>
      <w:bookmarkStart w:id="68" w:name="_Toc8379062"/>
      <w:bookmarkStart w:id="69" w:name="_Toc5698783"/>
      <w:bookmarkStart w:id="70" w:name="_Toc5725728"/>
      <w:bookmarkStart w:id="71" w:name="_Hlk7861993"/>
      <w:r>
        <w:rPr>
          <w:rFonts w:ascii="Times New Roman" w:hAnsi="Times New Roman" w:eastAsia="仿宋_GB2312" w:cs="Times New Roman"/>
          <w:color w:val="auto"/>
          <w:sz w:val="24"/>
          <w:lang w:val="zh-CN"/>
        </w:rPr>
        <w:t>本项目不涉及拆迁安置。</w:t>
      </w:r>
    </w:p>
    <w:p>
      <w:pPr>
        <w:keepNext/>
        <w:keepLines/>
        <w:spacing w:before="120" w:beforeLines="50" w:after="120" w:afterLines="50" w:line="360" w:lineRule="auto"/>
        <w:outlineLvl w:val="1"/>
        <w:rPr>
          <w:rFonts w:ascii="Times New Roman" w:hAnsi="Times New Roman" w:eastAsia="仿宋_GB2312" w:cs="Times New Roman"/>
          <w:bCs/>
          <w:color w:val="auto"/>
          <w:sz w:val="32"/>
          <w:szCs w:val="24"/>
          <w:lang w:val="zh-CN"/>
        </w:rPr>
      </w:pPr>
      <w:bookmarkStart w:id="72" w:name="_Toc74588734"/>
      <w:bookmarkStart w:id="73" w:name="_Toc74588683"/>
      <w:r>
        <w:rPr>
          <w:rFonts w:ascii="Times New Roman" w:hAnsi="Times New Roman" w:eastAsia="仿宋_GB2312" w:cs="Times New Roman"/>
          <w:b/>
          <w:color w:val="auto"/>
          <w:sz w:val="30"/>
          <w:szCs w:val="30"/>
          <w:lang w:val="zh-CN"/>
        </w:rPr>
        <w:t>2.6施工进度</w:t>
      </w:r>
      <w:bookmarkEnd w:id="68"/>
      <w:bookmarkEnd w:id="69"/>
      <w:bookmarkEnd w:id="70"/>
      <w:bookmarkEnd w:id="72"/>
      <w:bookmarkEnd w:id="73"/>
    </w:p>
    <w:p>
      <w:pPr>
        <w:spacing w:line="360" w:lineRule="auto"/>
        <w:ind w:firstLine="480" w:firstLineChars="200"/>
        <w:rPr>
          <w:rFonts w:ascii="Times New Roman" w:hAnsi="Times New Roman" w:eastAsia="仿宋_GB2312" w:cs="Times New Roman"/>
          <w:b/>
          <w:bCs/>
          <w:color w:val="auto"/>
          <w:szCs w:val="21"/>
          <w:lang w:val="zh-CN"/>
        </w:rPr>
      </w:pPr>
      <w:bookmarkStart w:id="74" w:name="_Toc5725729"/>
      <w:bookmarkStart w:id="75" w:name="_Toc8379063"/>
      <w:bookmarkStart w:id="76" w:name="_Toc5698784"/>
      <w:r>
        <w:rPr>
          <w:rFonts w:ascii="Times New Roman" w:hAnsi="Times New Roman" w:eastAsia="仿宋_GB2312" w:cs="Times New Roman"/>
          <w:color w:val="auto"/>
          <w:sz w:val="24"/>
          <w:lang w:val="zh-CN"/>
        </w:rPr>
        <w:t>本工程计划</w:t>
      </w:r>
      <w:r>
        <w:rPr>
          <w:rFonts w:ascii="Times New Roman" w:hAnsi="Times New Roman" w:eastAsia="仿宋_GB2312" w:cs="Times New Roman"/>
          <w:color w:val="auto"/>
          <w:sz w:val="24"/>
          <w:szCs w:val="24"/>
        </w:rPr>
        <w:t>于2022年</w:t>
      </w:r>
      <w:r>
        <w:rPr>
          <w:rFonts w:hint="eastAsia" w:ascii="Times New Roman" w:hAnsi="Times New Roman" w:eastAsia="仿宋_GB2312" w:cs="Times New Roman"/>
          <w:color w:val="auto"/>
          <w:sz w:val="24"/>
          <w:szCs w:val="24"/>
          <w:lang w:val="en-US" w:eastAsia="zh-CN"/>
        </w:rPr>
        <w:t>9</w:t>
      </w:r>
      <w:r>
        <w:rPr>
          <w:rFonts w:ascii="Times New Roman" w:hAnsi="Times New Roman" w:eastAsia="仿宋_GB2312" w:cs="Times New Roman"/>
          <w:color w:val="auto"/>
          <w:sz w:val="24"/>
          <w:szCs w:val="24"/>
        </w:rPr>
        <w:t>月开工建设，于202</w:t>
      </w:r>
      <w:r>
        <w:rPr>
          <w:rFonts w:hint="eastAsia" w:ascii="Times New Roman" w:hAnsi="Times New Roman" w:eastAsia="仿宋_GB2312" w:cs="Times New Roman"/>
          <w:color w:val="auto"/>
          <w:sz w:val="24"/>
          <w:szCs w:val="24"/>
          <w:lang w:val="en-US" w:eastAsia="zh-CN"/>
        </w:rPr>
        <w:t>3</w:t>
      </w:r>
      <w:r>
        <w:rPr>
          <w:rFonts w:ascii="Times New Roman" w:hAnsi="Times New Roman" w:eastAsia="仿宋_GB2312" w:cs="Times New Roman"/>
          <w:color w:val="auto"/>
          <w:sz w:val="24"/>
          <w:szCs w:val="24"/>
        </w:rPr>
        <w:t>年</w:t>
      </w:r>
      <w:r>
        <w:rPr>
          <w:rFonts w:hint="eastAsia" w:ascii="Times New Roman" w:hAnsi="Times New Roman" w:eastAsia="仿宋_GB2312" w:cs="Times New Roman"/>
          <w:color w:val="auto"/>
          <w:sz w:val="24"/>
          <w:szCs w:val="24"/>
          <w:lang w:val="en-US" w:eastAsia="zh-CN"/>
        </w:rPr>
        <w:t>2</w:t>
      </w:r>
      <w:r>
        <w:rPr>
          <w:rFonts w:ascii="Times New Roman" w:hAnsi="Times New Roman" w:eastAsia="仿宋_GB2312" w:cs="Times New Roman"/>
          <w:color w:val="auto"/>
          <w:sz w:val="24"/>
          <w:szCs w:val="24"/>
        </w:rPr>
        <w:t>月竣工，总工期共6个月。</w:t>
      </w:r>
    </w:p>
    <w:p>
      <w:pPr>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77" w:name="_Toc74588735"/>
      <w:bookmarkStart w:id="78" w:name="_Toc74588684"/>
      <w:r>
        <w:rPr>
          <w:rFonts w:ascii="Times New Roman" w:hAnsi="Times New Roman" w:eastAsia="仿宋_GB2312" w:cs="Times New Roman"/>
          <w:b/>
          <w:color w:val="auto"/>
          <w:sz w:val="30"/>
          <w:szCs w:val="30"/>
          <w:lang w:val="zh-CN"/>
        </w:rPr>
        <w:t>2.7自然概况</w:t>
      </w:r>
      <w:bookmarkEnd w:id="74"/>
      <w:bookmarkEnd w:id="75"/>
      <w:bookmarkEnd w:id="76"/>
      <w:bookmarkEnd w:id="77"/>
      <w:bookmarkEnd w:id="78"/>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2.7.1 地形地貌</w:t>
      </w:r>
    </w:p>
    <w:p>
      <w:pPr>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该区域主要为四个地貌单元</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即山麓斜坡地貌</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山间冲沟地貌、山顶台地地貌、高丘地貌四</w:t>
      </w:r>
      <w:r>
        <w:rPr>
          <w:rFonts w:ascii="Times New Roman" w:hAnsi="Times New Roman" w:eastAsia="仿宋_GB2312" w:cs="Times New Roman"/>
          <w:color w:val="auto"/>
          <w:sz w:val="24"/>
          <w:szCs w:val="24"/>
        </w:rPr>
        <w:t>类地貌单元。</w:t>
      </w:r>
    </w:p>
    <w:p>
      <w:pPr>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低山麓斜坡地貌</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高程383.0~678.9m，相对高度80－295m，植被丰美。地形起伏较大，基岩裸露，基岩裂隙发育。耕地为旱地，经济作物主要以小麦、玉米为主。</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低山山间冲沟地貌：</w:t>
      </w:r>
      <w:r>
        <w:rPr>
          <w:rFonts w:ascii="Times New Roman" w:hAnsi="Times New Roman" w:eastAsia="仿宋_GB2312" w:cs="Times New Roman"/>
          <w:color w:val="auto"/>
          <w:sz w:val="24"/>
          <w:szCs w:val="24"/>
        </w:rPr>
        <w:t>海拔高程</w:t>
      </w:r>
      <w:r>
        <w:rPr>
          <w:rFonts w:hint="eastAsia" w:ascii="Times New Roman" w:hAnsi="Times New Roman" w:eastAsia="仿宋_GB2312" w:cs="Times New Roman"/>
          <w:color w:val="auto"/>
          <w:sz w:val="24"/>
          <w:szCs w:val="24"/>
        </w:rPr>
        <w:t>346.0</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387.0</w:t>
      </w:r>
      <w:r>
        <w:rPr>
          <w:rFonts w:ascii="Times New Roman" w:hAnsi="Times New Roman" w:eastAsia="仿宋_GB2312" w:cs="Times New Roman"/>
          <w:color w:val="auto"/>
          <w:sz w:val="24"/>
          <w:szCs w:val="24"/>
        </w:rPr>
        <w:t>m，沟谷呈</w:t>
      </w:r>
      <w:r>
        <w:rPr>
          <w:rFonts w:hint="eastAsia" w:ascii="Times New Roman" w:hAnsi="Times New Roman" w:eastAsia="仿宋_GB2312" w:cs="Times New Roman"/>
          <w:color w:val="auto"/>
          <w:sz w:val="24"/>
          <w:szCs w:val="24"/>
        </w:rPr>
        <w:t>U</w:t>
      </w:r>
      <w:r>
        <w:rPr>
          <w:rFonts w:ascii="Times New Roman" w:hAnsi="Times New Roman" w:eastAsia="仿宋_GB2312" w:cs="Times New Roman"/>
          <w:color w:val="auto"/>
          <w:sz w:val="24"/>
          <w:szCs w:val="24"/>
        </w:rPr>
        <w:t>形，多为山侧切沟，沟坎</w:t>
      </w:r>
      <w:r>
        <w:rPr>
          <w:rFonts w:hint="eastAsia" w:ascii="Times New Roman" w:hAnsi="Times New Roman" w:eastAsia="仿宋_GB2312" w:cs="Times New Roman"/>
          <w:color w:val="auto"/>
          <w:sz w:val="24"/>
          <w:szCs w:val="24"/>
        </w:rPr>
        <w:t>较陡</w:t>
      </w:r>
      <w:r>
        <w:rPr>
          <w:rFonts w:ascii="Times New Roman" w:hAnsi="Times New Roman" w:eastAsia="仿宋_GB2312" w:cs="Times New Roman"/>
          <w:color w:val="auto"/>
          <w:sz w:val="24"/>
          <w:szCs w:val="24"/>
        </w:rPr>
        <w:t>，植被茂密，沟宽</w:t>
      </w:r>
      <w:r>
        <w:rPr>
          <w:rFonts w:hint="eastAsia" w:ascii="Times New Roman" w:hAnsi="Times New Roman" w:eastAsia="仿宋_GB2312" w:cs="Times New Roman"/>
          <w:color w:val="auto"/>
          <w:sz w:val="24"/>
          <w:szCs w:val="24"/>
        </w:rPr>
        <w:t>50</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135</w:t>
      </w:r>
      <w:r>
        <w:rPr>
          <w:rFonts w:ascii="Times New Roman" w:hAnsi="Times New Roman" w:eastAsia="仿宋_GB2312" w:cs="Times New Roman"/>
          <w:color w:val="auto"/>
          <w:sz w:val="24"/>
          <w:szCs w:val="24"/>
        </w:rPr>
        <w:t>m，沟底狭窄，</w:t>
      </w:r>
      <w:r>
        <w:rPr>
          <w:rFonts w:hint="eastAsia" w:ascii="Times New Roman" w:hAnsi="Times New Roman" w:eastAsia="仿宋_GB2312" w:cs="Times New Roman"/>
          <w:color w:val="auto"/>
          <w:sz w:val="24"/>
          <w:szCs w:val="24"/>
        </w:rPr>
        <w:t>地表多为水田。经济作物主要以水稻为主。</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低山山顶台地地貌：海拔高度462~518.5m，相对高度56.5m，植被丰美，</w:t>
      </w:r>
      <w:r>
        <w:rPr>
          <w:rFonts w:ascii="Times New Roman" w:hAnsi="Times New Roman" w:eastAsia="仿宋_GB2312" w:cs="Times New Roman"/>
          <w:color w:val="auto"/>
          <w:sz w:val="24"/>
          <w:szCs w:val="24"/>
        </w:rPr>
        <w:t>顶部平坦</w:t>
      </w:r>
      <w:r>
        <w:rPr>
          <w:rFonts w:hint="eastAsia" w:ascii="Times New Roman" w:hAnsi="Times New Roman" w:eastAsia="仿宋_GB2312" w:cs="Times New Roman"/>
          <w:color w:val="auto"/>
          <w:sz w:val="24"/>
          <w:szCs w:val="24"/>
        </w:rPr>
        <w:t>，台地地形较差，两侧多发育冲沟，地表覆盖层浅薄。耕地多为水田，经济作物主要以小麦、水稻为主。</w:t>
      </w:r>
    </w:p>
    <w:p>
      <w:pPr>
        <w:widowControl w:val="0"/>
        <w:spacing w:line="360" w:lineRule="auto"/>
        <w:ind w:firstLine="480" w:firstLineChars="200"/>
        <w:rPr>
          <w:rFonts w:hint="eastAsia" w:ascii="Times New Roman" w:hAnsi="Times New Roman" w:eastAsia="仿宋_GB2312" w:cs="Times New Roman"/>
          <w:color w:val="auto"/>
          <w:sz w:val="24"/>
          <w:szCs w:val="24"/>
          <w:highlight w:val="red"/>
          <w:lang w:val="en-US" w:eastAsia="zh-CN"/>
        </w:rPr>
      </w:pPr>
      <w:r>
        <w:rPr>
          <w:rFonts w:hint="eastAsia" w:ascii="Times New Roman" w:hAnsi="Times New Roman" w:eastAsia="仿宋_GB2312" w:cs="Times New Roman"/>
          <w:color w:val="auto"/>
          <w:sz w:val="24"/>
          <w:szCs w:val="24"/>
        </w:rPr>
        <w:t>高丘地貌：</w:t>
      </w:r>
      <w:r>
        <w:rPr>
          <w:rFonts w:ascii="Times New Roman" w:hAnsi="Times New Roman" w:eastAsia="仿宋_GB2312" w:cs="Times New Roman"/>
          <w:color w:val="auto"/>
          <w:sz w:val="24"/>
          <w:szCs w:val="24"/>
        </w:rPr>
        <w:t>海拔高程</w:t>
      </w:r>
      <w:r>
        <w:rPr>
          <w:rFonts w:hint="eastAsia" w:ascii="Times New Roman" w:hAnsi="Times New Roman" w:eastAsia="仿宋_GB2312" w:cs="Times New Roman"/>
          <w:color w:val="auto"/>
          <w:sz w:val="24"/>
          <w:szCs w:val="24"/>
        </w:rPr>
        <w:t>433.0</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510.0</w:t>
      </w:r>
      <w:r>
        <w:rPr>
          <w:rFonts w:ascii="Times New Roman" w:hAnsi="Times New Roman" w:eastAsia="仿宋_GB2312" w:cs="Times New Roman"/>
          <w:color w:val="auto"/>
          <w:sz w:val="24"/>
          <w:szCs w:val="24"/>
        </w:rPr>
        <w:t>m</w:t>
      </w:r>
      <w:r>
        <w:rPr>
          <w:rFonts w:hint="eastAsia" w:ascii="Times New Roman" w:hAnsi="Times New Roman" w:eastAsia="仿宋_GB2312" w:cs="Times New Roman"/>
          <w:color w:val="auto"/>
          <w:sz w:val="24"/>
          <w:szCs w:val="24"/>
        </w:rPr>
        <w:t>，相对高程在20~77 m，植被覆盖率低，地形呈波浪状起伏，浅丘、冲沟、冲积平台地相互交错，耕地以水田为主，少量旱地，经济作物为水稻、红薯、玉米等等。</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79" w:name="_Toc5720770"/>
      <w:bookmarkStart w:id="80" w:name="_Toc5725730"/>
      <w:bookmarkStart w:id="81" w:name="_Toc5720141"/>
      <w:bookmarkStart w:id="82" w:name="_Toc5698785"/>
      <w:r>
        <w:rPr>
          <w:rFonts w:ascii="Times New Roman" w:hAnsi="Times New Roman" w:eastAsia="仿宋_GB2312" w:cs="Times New Roman"/>
          <w:b/>
          <w:bCs/>
          <w:color w:val="auto"/>
          <w:kern w:val="0"/>
          <w:sz w:val="28"/>
          <w:szCs w:val="28"/>
          <w:lang w:val="zh-CN"/>
        </w:rPr>
        <w:t>2.7.2 地质</w:t>
      </w:r>
      <w:bookmarkEnd w:id="79"/>
      <w:bookmarkEnd w:id="80"/>
      <w:bookmarkEnd w:id="81"/>
      <w:bookmarkEnd w:id="82"/>
    </w:p>
    <w:p>
      <w:pPr>
        <w:spacing w:line="360" w:lineRule="auto"/>
        <w:ind w:firstLine="480" w:firstLineChars="200"/>
        <w:rPr>
          <w:rFonts w:hint="eastAsia" w:ascii="Times New Roman" w:hAnsi="Times New Roman" w:eastAsia="仿宋_GB2312" w:cs="Times New Roman"/>
          <w:color w:val="auto"/>
          <w:sz w:val="24"/>
          <w:szCs w:val="24"/>
        </w:rPr>
      </w:pPr>
      <w:bookmarkStart w:id="83" w:name="_Toc5698786"/>
      <w:bookmarkStart w:id="84" w:name="_Toc5720771"/>
      <w:bookmarkStart w:id="85" w:name="_Toc5725731"/>
      <w:bookmarkStart w:id="86" w:name="_Toc5720142"/>
      <w:r>
        <w:rPr>
          <w:rFonts w:hint="eastAsia" w:ascii="Times New Roman" w:hAnsi="Times New Roman" w:eastAsia="仿宋_GB2312" w:cs="Times New Roman"/>
          <w:color w:val="auto"/>
          <w:sz w:val="24"/>
          <w:szCs w:val="24"/>
        </w:rPr>
        <w:t>岩性以粘土、粉质粘土为主。下卧基岩为侏罗系上统蓬莱镇组上段，这是一套黄色粉砂岩与紫红色泥岩构成的随机不等厚互层。</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区域地质构造始于燕山运动，成形于喜马拉雅山构造运动，属于新华夏四川沉降带中褶皱带。营山县境内以中生代白垩系中上统地层为主。区域内基岩稳定，地质构造简单，无大的断裂构造，裂隙构造不发育，未发现明显断层。</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仪陇西北面的龙门山褶皱带，北面的米苍山褶皱带，东北面的大巴山褶皱带，西南面的川中褶皱带，大体构成一个旋钮体系。仪陇－巴中－平昌莲花状构造就是这个旋钮体系的中心部分。县境内的义路－柳垭一带，相当于莲花状构造的砥柱部分，是旋钮的中心，约300km</w:t>
      </w:r>
      <w:r>
        <w:rPr>
          <w:rFonts w:hint="eastAsia" w:ascii="Times New Roman" w:hAnsi="Times New Roman" w:eastAsia="仿宋_GB2312" w:cs="Times New Roman"/>
          <w:color w:val="auto"/>
          <w:sz w:val="24"/>
          <w:szCs w:val="24"/>
          <w:vertAlign w:val="superscript"/>
        </w:rPr>
        <w:t>2</w:t>
      </w:r>
      <w:r>
        <w:rPr>
          <w:rFonts w:hint="eastAsia" w:ascii="Times New Roman" w:hAnsi="Times New Roman" w:eastAsia="仿宋_GB2312" w:cs="Times New Roman"/>
          <w:color w:val="auto"/>
          <w:sz w:val="24"/>
          <w:szCs w:val="24"/>
        </w:rPr>
        <w:t>范围内，岩层产状近似水平，地势低洼。围绕这个中心构造有一系列褶曲，呈弧状排列，有4组褶曲构造，一端疏散，一端紧凑，近似帚状构造。除仪陇背斜两翼倾角大于5°外，其他都小于或等于5°。</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根据四川省区域地质资料，勘察区附近未见断裂构造分布，属地震波及区域。经本次勘察揭示，勘察区第四系覆盖层主要为填土（Q42+ml）、粉质粘土（Q4al+dl）、粉质粘土（Q4al+pl）等构成，第四系覆盖层厚度一般均小于6.0m，下伏基岩为侏罗系（J3P）地层、勘察区除填土（不能做为地基使用）外未见对地震敏感性地层。勘察区场地的地震稳定性较好。</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根据“5.12”地震后《中国地震动参数区划图》(GB18306～2001 1∶400万)第一号通知单及《油气输送管道线路工程抗震技术规范》（GB/T50470～2008），工程区抗震设防烈度及地震动参数如下表。</w:t>
      </w:r>
    </w:p>
    <w:p>
      <w:pPr>
        <w:widowControl w:val="0"/>
        <w:spacing w:line="360" w:lineRule="auto"/>
        <w:jc w:val="center"/>
        <w:rPr>
          <w:rFonts w:hint="eastAsia" w:ascii="Times New Roman" w:hAnsi="Times New Roman" w:eastAsia="仿宋_GB2312" w:cs="Times New Roman"/>
          <w:b/>
          <w:color w:val="auto"/>
          <w:szCs w:val="21"/>
        </w:rPr>
      </w:pPr>
      <w:r>
        <w:rPr>
          <w:rFonts w:hint="eastAsia" w:ascii="Times New Roman" w:hAnsi="Times New Roman" w:eastAsia="仿宋_GB2312" w:cs="Times New Roman"/>
          <w:b/>
          <w:color w:val="auto"/>
          <w:szCs w:val="21"/>
        </w:rPr>
        <w:t>表2.</w:t>
      </w:r>
      <w:r>
        <w:rPr>
          <w:rFonts w:hint="eastAsia" w:ascii="Times New Roman" w:hAnsi="Times New Roman" w:eastAsia="仿宋_GB2312" w:cs="Times New Roman"/>
          <w:b/>
          <w:color w:val="auto"/>
          <w:szCs w:val="21"/>
          <w:lang w:val="en-US" w:eastAsia="zh-CN"/>
        </w:rPr>
        <w:t>7</w:t>
      </w:r>
      <w:r>
        <w:rPr>
          <w:rFonts w:hint="eastAsia" w:ascii="Times New Roman" w:hAnsi="Times New Roman" w:eastAsia="仿宋_GB2312" w:cs="Times New Roman"/>
          <w:b/>
          <w:color w:val="auto"/>
          <w:szCs w:val="21"/>
        </w:rPr>
        <w:t>-</w:t>
      </w:r>
      <w:r>
        <w:rPr>
          <w:rFonts w:hint="eastAsia" w:ascii="Times New Roman" w:hAnsi="Times New Roman" w:eastAsia="仿宋_GB2312" w:cs="Times New Roman"/>
          <w:b/>
          <w:color w:val="auto"/>
          <w:szCs w:val="21"/>
          <w:lang w:val="en-US" w:eastAsia="zh-CN"/>
        </w:rPr>
        <w:t>1</w:t>
      </w:r>
      <w:r>
        <w:rPr>
          <w:rFonts w:hint="eastAsia" w:ascii="Times New Roman" w:hAnsi="Times New Roman" w:eastAsia="仿宋_GB2312" w:cs="Times New Roman"/>
          <w:b/>
          <w:color w:val="auto"/>
          <w:szCs w:val="21"/>
        </w:rPr>
        <w:t>地震动参数</w:t>
      </w:r>
    </w:p>
    <w:tbl>
      <w:tblPr>
        <w:tblStyle w:val="3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078"/>
        <w:gridCol w:w="1047"/>
        <w:gridCol w:w="1175"/>
        <w:gridCol w:w="2022"/>
        <w:gridCol w:w="1907"/>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7" w:type="pct"/>
            <w:tcBorders>
              <w:left w:val="nil"/>
            </w:tcBorders>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序号</w:t>
            </w:r>
          </w:p>
        </w:tc>
        <w:tc>
          <w:tcPr>
            <w:tcW w:w="590"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市(区)县</w:t>
            </w:r>
          </w:p>
        </w:tc>
        <w:tc>
          <w:tcPr>
            <w:tcW w:w="573"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设计地震分组</w:t>
            </w:r>
          </w:p>
        </w:tc>
        <w:tc>
          <w:tcPr>
            <w:tcW w:w="643"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场地类别</w:t>
            </w:r>
          </w:p>
        </w:tc>
        <w:tc>
          <w:tcPr>
            <w:tcW w:w="1107"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抗震设防烈度（度）</w:t>
            </w:r>
          </w:p>
        </w:tc>
        <w:tc>
          <w:tcPr>
            <w:tcW w:w="1044"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设计基本地震动加速度值(g)</w:t>
            </w:r>
          </w:p>
        </w:tc>
        <w:tc>
          <w:tcPr>
            <w:tcW w:w="772" w:type="pct"/>
            <w:tcBorders>
              <w:right w:val="nil"/>
            </w:tcBorders>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特征周期（S）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7" w:type="pct"/>
            <w:tcBorders>
              <w:left w:val="nil"/>
            </w:tcBorders>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1</w:t>
            </w:r>
          </w:p>
        </w:tc>
        <w:tc>
          <w:tcPr>
            <w:tcW w:w="590"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仪陇县</w:t>
            </w:r>
          </w:p>
        </w:tc>
        <w:tc>
          <w:tcPr>
            <w:tcW w:w="573"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第一组</w:t>
            </w:r>
          </w:p>
        </w:tc>
        <w:tc>
          <w:tcPr>
            <w:tcW w:w="643"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Ⅱ</w:t>
            </w:r>
          </w:p>
        </w:tc>
        <w:tc>
          <w:tcPr>
            <w:tcW w:w="1107"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6</w:t>
            </w:r>
          </w:p>
        </w:tc>
        <w:tc>
          <w:tcPr>
            <w:tcW w:w="1044" w:type="pct"/>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0.05</w:t>
            </w:r>
          </w:p>
        </w:tc>
        <w:tc>
          <w:tcPr>
            <w:tcW w:w="772" w:type="pct"/>
            <w:tcBorders>
              <w:right w:val="nil"/>
            </w:tcBorders>
            <w:noWrap w:val="0"/>
            <w:vAlign w:val="center"/>
          </w:tcPr>
          <w:p>
            <w:pPr>
              <w:spacing w:line="360" w:lineRule="auto"/>
              <w:jc w:val="center"/>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0.35</w:t>
            </w:r>
          </w:p>
        </w:tc>
      </w:tr>
      <w:bookmarkEnd w:id="83"/>
      <w:bookmarkEnd w:id="84"/>
      <w:bookmarkEnd w:id="85"/>
      <w:bookmarkEnd w:id="86"/>
    </w:tbl>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87" w:name="_Toc5720143"/>
      <w:bookmarkStart w:id="88" w:name="_Toc5720772"/>
      <w:bookmarkStart w:id="89" w:name="_Toc5698787"/>
      <w:bookmarkStart w:id="90" w:name="_Toc5725732"/>
      <w:r>
        <w:rPr>
          <w:rFonts w:ascii="Times New Roman" w:hAnsi="Times New Roman" w:eastAsia="仿宋_GB2312" w:cs="Times New Roman"/>
          <w:b/>
          <w:bCs/>
          <w:color w:val="auto"/>
          <w:kern w:val="0"/>
          <w:sz w:val="28"/>
          <w:szCs w:val="28"/>
          <w:lang w:val="zh-CN"/>
        </w:rPr>
        <w:t>2.7.3 气象</w:t>
      </w:r>
      <w:bookmarkEnd w:id="87"/>
      <w:bookmarkEnd w:id="88"/>
      <w:bookmarkEnd w:id="89"/>
      <w:bookmarkEnd w:id="90"/>
    </w:p>
    <w:p>
      <w:pPr>
        <w:pStyle w:val="47"/>
        <w:spacing w:line="360" w:lineRule="auto"/>
        <w:ind w:firstLine="424" w:firstLineChars="177"/>
        <w:rPr>
          <w:rFonts w:ascii="Times New Roman" w:hAnsi="Times New Roman" w:eastAsia="仿宋_GB2312" w:cs="Times New Roman"/>
          <w:color w:val="auto"/>
          <w:sz w:val="24"/>
          <w:szCs w:val="24"/>
        </w:rPr>
      </w:pPr>
      <w:bookmarkStart w:id="91" w:name="_Toc5698788"/>
      <w:bookmarkStart w:id="92" w:name="_Toc5720773"/>
      <w:bookmarkStart w:id="93" w:name="_Toc5720144"/>
      <w:bookmarkStart w:id="94" w:name="_Toc5725733"/>
      <w:r>
        <w:rPr>
          <w:rFonts w:hint="eastAsia" w:ascii="Times New Roman" w:hAnsi="Times New Roman" w:eastAsia="仿宋_GB2312" w:cs="Times New Roman"/>
          <w:color w:val="auto"/>
          <w:sz w:val="24"/>
          <w:szCs w:val="24"/>
          <w:lang w:val="en-US" w:eastAsia="zh-CN"/>
        </w:rPr>
        <w:t>仪陇县属中亚热带湿润季风气候，气候温和，具有冬暖、夏长、霜期短，四季分明，热量充足，雨量充沛，雨热同季的气候特点作物四级均能生长。年均气温 15.8℃，年降水量 1075.5 毫米，降水充沛但分布不均。全年日照时数 1435.5 小时。年平均风速 2.0 米/秒，最多风向为 NNE 风。主要气象灾害有干旱、高温、暴雨洪涝、寒潮、低温阴雨、大风、雷暴、冰雹等。</w:t>
      </w:r>
      <w:r>
        <w:rPr>
          <w:rFonts w:ascii="Times New Roman" w:hAnsi="Times New Roman" w:eastAsia="仿宋" w:cs="Times New Roman"/>
          <w:color w:val="auto"/>
          <w:sz w:val="24"/>
        </w:rPr>
        <w:t>。</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4"/>
          <w:szCs w:val="32"/>
          <w:lang w:val="zh-CN"/>
        </w:rPr>
      </w:pPr>
      <w:r>
        <w:rPr>
          <w:rFonts w:ascii="Times New Roman" w:hAnsi="Times New Roman" w:eastAsia="仿宋_GB2312" w:cs="Times New Roman"/>
          <w:b/>
          <w:bCs/>
          <w:color w:val="auto"/>
          <w:kern w:val="0"/>
          <w:sz w:val="28"/>
          <w:szCs w:val="28"/>
          <w:lang w:val="zh-CN"/>
        </w:rPr>
        <w:t>2.7.4 水文</w:t>
      </w:r>
      <w:bookmarkEnd w:id="91"/>
      <w:bookmarkEnd w:id="92"/>
      <w:bookmarkEnd w:id="93"/>
      <w:bookmarkEnd w:id="94"/>
    </w:p>
    <w:p>
      <w:pPr>
        <w:spacing w:line="360" w:lineRule="auto"/>
        <w:ind w:firstLine="480" w:firstLineChars="200"/>
        <w:rPr>
          <w:rFonts w:hint="eastAsia" w:ascii="Times New Roman" w:hAnsi="Times New Roman" w:eastAsia="仿宋_GB2312" w:cs="Times New Roman"/>
          <w:color w:val="auto"/>
          <w:sz w:val="24"/>
          <w:szCs w:val="24"/>
        </w:rPr>
      </w:pPr>
      <w:bookmarkStart w:id="95" w:name="_Toc5720145"/>
      <w:bookmarkStart w:id="96" w:name="_Toc5698789"/>
      <w:bookmarkStart w:id="97" w:name="_Toc5720774"/>
      <w:bookmarkStart w:id="98" w:name="_Toc5725734"/>
      <w:r>
        <w:rPr>
          <w:rFonts w:hint="eastAsia" w:ascii="Times New Roman" w:hAnsi="Times New Roman" w:eastAsia="仿宋_GB2312" w:cs="Times New Roman"/>
          <w:color w:val="auto"/>
          <w:sz w:val="24"/>
          <w:szCs w:val="24"/>
        </w:rPr>
        <w:t>1</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rPr>
        <w:t>地下水</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勘察区地下水，按含水层类型划分，主要有第四系松散堆积孔隙水和碎屑岩孔隙裂隙水；第四系松散堆积孔隙水主要分布在坡、残积，粉质粘土层中，含水量稍富，埋藏浅，易开采。对土体状态影响较大，系滑坡形成的主要原因，碎屑岩孔隙裂隙水，广布于中丘和低山区的侏罗系地层，沿线出露地层为砂岩、泥岩互层，泥岩透水性差，深部岩层裂隙少，雨水难以渗入，地下水量不多，且随降雨多少而变化。</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2</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rPr>
        <w:t>地表径流</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勘察区附近径流主要为嘉陵江水系、渠江水系，统属嘉陵江流域。勘察区内河流多从西北、东北流向东南，蜿蜒曲折。河网分布不均，密度差异较大。低山区降水较多，地面坡度大，多为源短少水的溪流，河网较密；浅丘平坝区降水较少，地面平缓，地表径流少，水系不太发育，河网较疏。</w:t>
      </w:r>
    </w:p>
    <w:p>
      <w:pPr>
        <w:spacing w:line="360" w:lineRule="auto"/>
        <w:ind w:firstLine="480" w:firstLineChars="200"/>
        <w:rPr>
          <w:rFonts w:hint="eastAsia"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3</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rPr>
        <w:t>灌溉水</w:t>
      </w:r>
    </w:p>
    <w:p>
      <w:pPr>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工程区农田渠灌除用地表径流外，灌溉引水源主要为灌溉渠道，地貌区多常年水田，地表形成局部软土，对管道敷设及常年保护有一定的影响。</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4"/>
          <w:szCs w:val="32"/>
          <w:lang w:val="zh-CN"/>
        </w:rPr>
      </w:pPr>
      <w:r>
        <w:rPr>
          <w:rFonts w:ascii="Times New Roman" w:hAnsi="Times New Roman" w:eastAsia="仿宋_GB2312" w:cs="Times New Roman"/>
          <w:b/>
          <w:bCs/>
          <w:color w:val="auto"/>
          <w:kern w:val="0"/>
          <w:sz w:val="28"/>
          <w:szCs w:val="28"/>
          <w:lang w:val="zh-CN"/>
        </w:rPr>
        <w:t>2.7.5 土壤</w:t>
      </w:r>
      <w:bookmarkEnd w:id="95"/>
      <w:bookmarkEnd w:id="96"/>
      <w:bookmarkEnd w:id="97"/>
      <w:bookmarkEnd w:id="98"/>
    </w:p>
    <w:p>
      <w:pPr>
        <w:spacing w:line="360" w:lineRule="auto"/>
        <w:ind w:firstLine="480" w:firstLineChars="200"/>
        <w:rPr>
          <w:rFonts w:ascii="Times New Roman" w:hAnsi="Times New Roman" w:eastAsia="仿宋_GB2312" w:cs="Times New Roman"/>
          <w:color w:val="auto"/>
          <w:sz w:val="24"/>
          <w:szCs w:val="24"/>
        </w:rPr>
      </w:pPr>
      <w:bookmarkStart w:id="99" w:name="_Toc5725735"/>
      <w:bookmarkStart w:id="100" w:name="_Toc5720146"/>
      <w:bookmarkStart w:id="101" w:name="_Toc5720775"/>
      <w:bookmarkStart w:id="102" w:name="_Toc5698790"/>
      <w:r>
        <w:rPr>
          <w:rFonts w:hint="eastAsia" w:ascii="Times New Roman" w:hAnsi="Times New Roman" w:eastAsia="仿宋_GB2312" w:cs="Times New Roman"/>
          <w:color w:val="auto"/>
          <w:sz w:val="24"/>
          <w:szCs w:val="24"/>
        </w:rPr>
        <w:t>仪陇县境内土壤深受成土母岩影响。在特定的气候环境下，形成了以紫色土（石灰紫色土）、水稻土为主的土壤系列，紫色土约占全县耕地面积50%；水稻土约占全县耕地面积49.24%；潮土约占全县耕地面积0.2%；黄壤约占全县耕地面积的0.56%。紫色土壤结构良好、疏松透气好、微生物多、宜种性广</w:t>
      </w:r>
      <w:r>
        <w:rPr>
          <w:rFonts w:hint="eastAsia" w:ascii="Times New Roman" w:hAnsi="Times New Roman" w:eastAsia="仿宋_GB2312" w:cs="Times New Roman"/>
          <w:color w:val="auto"/>
          <w:sz w:val="24"/>
          <w:szCs w:val="24"/>
          <w:lang w:eastAsia="zh-CN"/>
        </w:rPr>
        <w:t>。</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4"/>
          <w:szCs w:val="32"/>
          <w:shd w:val="clear" w:color="auto" w:fill="auto"/>
          <w:lang w:val="zh-CN"/>
        </w:rPr>
      </w:pPr>
      <w:r>
        <w:rPr>
          <w:rFonts w:ascii="Times New Roman" w:hAnsi="Times New Roman" w:eastAsia="仿宋_GB2312" w:cs="Times New Roman"/>
          <w:b/>
          <w:bCs/>
          <w:color w:val="auto"/>
          <w:kern w:val="0"/>
          <w:sz w:val="28"/>
          <w:szCs w:val="28"/>
          <w:shd w:val="clear" w:color="auto" w:fill="auto"/>
          <w:lang w:val="zh-CN"/>
        </w:rPr>
        <w:t>2.7.6 植被</w:t>
      </w:r>
      <w:bookmarkEnd w:id="99"/>
      <w:bookmarkEnd w:id="100"/>
      <w:bookmarkEnd w:id="101"/>
      <w:bookmarkEnd w:id="102"/>
    </w:p>
    <w:bookmarkEnd w:id="71"/>
    <w:p>
      <w:pPr>
        <w:autoSpaceDE w:val="0"/>
        <w:autoSpaceDN w:val="0"/>
        <w:adjustRightInd w:val="0"/>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仪陇县气候温和，地处大巴山余脉地山丘陵过渡地带，森林植被丰富，有森林近100万亩，以马尾松和柏木纯林为主，森林覆盖率38.63%。植物1000多种，其中木本植物有松树、柏树、青冈、桤木、毛叶山桐子、银杏、柑橘、橙、苦楝、马桑、黄荆、梧桐、梨子、核桃、李子、苹果、板栗、黄柏、杜仲、麻柳等，草本植物主要有毛草、铁马鞭、车前草等97种。藤本植物主要有金银花、牵牛藤、何首乌、葛根等14种。</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103" w:name="_Hlk14709847"/>
      <w:r>
        <w:rPr>
          <w:rFonts w:ascii="Times New Roman" w:hAnsi="Times New Roman" w:eastAsia="仿宋_GB2312" w:cs="Times New Roman"/>
          <w:b/>
          <w:bCs/>
          <w:color w:val="auto"/>
          <w:kern w:val="0"/>
          <w:sz w:val="28"/>
          <w:szCs w:val="28"/>
          <w:lang w:val="zh-CN"/>
        </w:rPr>
        <w:t>2.7.7 水土保持敏感区</w:t>
      </w:r>
    </w:p>
    <w:bookmarkEnd w:id="103"/>
    <w:p>
      <w:pPr>
        <w:spacing w:line="360" w:lineRule="auto"/>
        <w:ind w:firstLine="424" w:firstLineChars="177"/>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项目涉及的</w:t>
      </w:r>
      <w:r>
        <w:rPr>
          <w:rFonts w:hint="eastAsia" w:ascii="Times New Roman" w:hAnsi="Times New Roman" w:eastAsia="仿宋_GB2312" w:cs="Times New Roman"/>
          <w:color w:val="auto"/>
          <w:sz w:val="24"/>
          <w:szCs w:val="24"/>
          <w:lang w:val="en-US" w:eastAsia="zh-CN"/>
        </w:rPr>
        <w:t>仪陇县</w:t>
      </w:r>
      <w:r>
        <w:rPr>
          <w:rFonts w:hint="eastAsia" w:ascii="Times New Roman" w:hAnsi="Times New Roman" w:eastAsia="仿宋_GB2312" w:cs="Times New Roman"/>
          <w:color w:val="auto"/>
          <w:sz w:val="24"/>
          <w:szCs w:val="24"/>
        </w:rPr>
        <w:t>属嘉陵江及沱江中</w:t>
      </w:r>
      <w:r>
        <w:rPr>
          <w:rFonts w:hint="eastAsia" w:ascii="Times New Roman" w:hAnsi="Times New Roman" w:eastAsia="仿宋_GB2312" w:cs="Times New Roman"/>
          <w:color w:val="auto"/>
          <w:sz w:val="24"/>
          <w:szCs w:val="24"/>
          <w:lang w:val="en-US" w:eastAsia="zh-CN"/>
        </w:rPr>
        <w:t>下</w:t>
      </w:r>
      <w:r>
        <w:rPr>
          <w:rFonts w:hint="eastAsia" w:ascii="Times New Roman" w:hAnsi="Times New Roman" w:eastAsia="仿宋_GB2312" w:cs="Times New Roman"/>
          <w:color w:val="auto"/>
          <w:sz w:val="24"/>
          <w:szCs w:val="24"/>
        </w:rPr>
        <w:t>游国家级水土流失重点治理区；本项目工程</w:t>
      </w:r>
      <w:r>
        <w:rPr>
          <w:rFonts w:ascii="Times New Roman" w:hAnsi="Times New Roman" w:eastAsia="仿宋_GB2312" w:cs="Times New Roman"/>
          <w:color w:val="auto"/>
          <w:sz w:val="24"/>
          <w:szCs w:val="24"/>
        </w:rPr>
        <w:t>选址</w:t>
      </w:r>
      <w:r>
        <w:rPr>
          <w:rFonts w:hint="eastAsia" w:ascii="Times New Roman" w:hAnsi="Times New Roman" w:eastAsia="仿宋_GB2312" w:cs="Times New Roman"/>
          <w:color w:val="auto"/>
          <w:sz w:val="24"/>
          <w:szCs w:val="24"/>
        </w:rPr>
        <w:t>（线）不涉及饮用水源保护区、水功能一级区的保护区和保留区、自然保护区、世界文化和自然遗产地、风景名胜区、地质公园、森林公园、重要湿地以及人文古迹等其他水土保持敏感地区。</w:t>
      </w:r>
    </w:p>
    <w:p>
      <w:pPr>
        <w:autoSpaceDE w:val="0"/>
        <w:autoSpaceDN w:val="0"/>
        <w:adjustRightInd w:val="0"/>
        <w:spacing w:line="360" w:lineRule="auto"/>
        <w:ind w:firstLine="480" w:firstLineChars="200"/>
        <w:rPr>
          <w:rFonts w:ascii="Times New Roman" w:hAnsi="Times New Roman" w:eastAsia="仿宋_GB2312" w:cs="Times New Roman"/>
          <w:color w:val="auto"/>
          <w:sz w:val="24"/>
          <w:szCs w:val="24"/>
        </w:rPr>
        <w:sectPr>
          <w:pgSz w:w="11920" w:h="16845"/>
          <w:pgMar w:top="1418" w:right="1588" w:bottom="1418" w:left="1701" w:header="850" w:footer="850" w:gutter="0"/>
          <w:pgBorders>
            <w:top w:val="none" w:sz="0" w:space="0"/>
            <w:left w:val="none" w:sz="0" w:space="0"/>
            <w:bottom w:val="none" w:sz="0" w:space="0"/>
            <w:right w:val="none" w:sz="0" w:space="0"/>
          </w:pgBorders>
          <w:pgNumType w:fmt="decimal"/>
          <w:cols w:equalWidth="0" w:num="1">
            <w:col w:w="8912"/>
          </w:cols>
          <w:docGrid w:linePitch="360" w:charSpace="0"/>
        </w:sectPr>
      </w:pPr>
    </w:p>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bookmarkStart w:id="104" w:name="_Toc74588736"/>
      <w:bookmarkStart w:id="105" w:name="_Toc74588685"/>
      <w:r>
        <w:rPr>
          <w:rFonts w:ascii="Times New Roman" w:hAnsi="Times New Roman" w:eastAsia="仿宋_GB2312" w:cs="Times New Roman"/>
          <w:b/>
          <w:bCs/>
          <w:color w:val="auto"/>
          <w:kern w:val="44"/>
          <w:sz w:val="44"/>
          <w:szCs w:val="44"/>
          <w:lang w:val="zh-CN"/>
        </w:rPr>
        <w:t>3项目水土保持评价</w:t>
      </w:r>
      <w:bookmarkEnd w:id="104"/>
      <w:bookmarkEnd w:id="105"/>
    </w:p>
    <w:p>
      <w:pPr>
        <w:keepNext/>
        <w:keepLines/>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106" w:name="_Toc8379065"/>
      <w:bookmarkStart w:id="107" w:name="_Toc74588686"/>
      <w:bookmarkStart w:id="108" w:name="_Toc5698792"/>
      <w:bookmarkStart w:id="109" w:name="_Toc5725738"/>
      <w:bookmarkStart w:id="110" w:name="_Toc74588737"/>
      <w:r>
        <w:rPr>
          <w:rFonts w:ascii="Times New Roman" w:hAnsi="Times New Roman" w:eastAsia="仿宋_GB2312" w:cs="Times New Roman"/>
          <w:b/>
          <w:color w:val="auto"/>
          <w:sz w:val="30"/>
          <w:szCs w:val="30"/>
          <w:lang w:val="zh-CN"/>
        </w:rPr>
        <w:t>3.1主体工程选址（线）水土保持评价</w:t>
      </w:r>
      <w:bookmarkEnd w:id="106"/>
      <w:bookmarkEnd w:id="107"/>
      <w:bookmarkEnd w:id="108"/>
      <w:bookmarkEnd w:id="109"/>
      <w:bookmarkEnd w:id="110"/>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3.1.1</w:t>
      </w:r>
      <w:r>
        <w:rPr>
          <w:rFonts w:ascii="Times New Roman" w:hAnsi="Times New Roman" w:cs="Times New Roman"/>
          <w:color w:val="auto"/>
        </w:rPr>
        <w:t xml:space="preserve"> </w:t>
      </w:r>
      <w:r>
        <w:rPr>
          <w:rFonts w:ascii="Times New Roman" w:hAnsi="Times New Roman" w:eastAsia="仿宋_GB2312" w:cs="Times New Roman"/>
          <w:b/>
          <w:bCs/>
          <w:color w:val="auto"/>
          <w:kern w:val="0"/>
          <w:sz w:val="28"/>
          <w:szCs w:val="28"/>
          <w:lang w:val="zh-CN"/>
        </w:rPr>
        <w:t>与国家现行产业政策及相关规划的符合性</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本项目为页岩气开发钻井工程，符合《促进产业结构调整暂行规定》（国发〔2005〕40号）第二章第五条“加强能源、交通、水利和信息等基础设施建设，增强对经济社会发展的保障能力”的要求。根据《产业结构调整指导目录（2019）本》（2019年8月27日中华人民共和国发展和改革委员会令第29号发布），本项目属于鼓励类中第七条“石油、天然气”中的第二款：“页岩气、页岩油、致密油、油砂、天然气水合物等非常规资源勘探开发”，项目建设符合国家现行产业政策。</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3.1.2 主体工程选址制约性因素分析评价</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本方案分别按《中华人民共和国水土保持法》、《生产建设项目水土保持技术标准》（GB50433-2018）和相关规范性文件中关于水土保持限制和约束性规定对本项目主体工程选址制约性因素进行分析评价。</w:t>
      </w:r>
    </w:p>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3.1.2.1 与《中华人民共和国水土保持法》的符合性分析</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对本项目进行与水土保持法符合性的对照分析，本工程符合《中华人民共和国水土保持法》的相关规定，符合批准条件，详见下表。</w:t>
      </w:r>
    </w:p>
    <w:p>
      <w:pPr>
        <w:adjustRightInd w:val="0"/>
        <w:spacing w:line="360" w:lineRule="auto"/>
        <w:ind w:firstLine="422" w:firstLineChars="200"/>
        <w:jc w:val="center"/>
        <w:rPr>
          <w:rFonts w:ascii="Times New Roman" w:hAnsi="Times New Roman" w:eastAsia="仿宋_GB2312" w:cs="Times New Roman"/>
          <w:b/>
          <w:color w:val="auto"/>
          <w:szCs w:val="21"/>
        </w:rPr>
      </w:pPr>
      <w:r>
        <w:rPr>
          <w:rFonts w:ascii="Times New Roman" w:hAnsi="Times New Roman" w:eastAsia="仿宋_GB2312" w:cs="Times New Roman"/>
          <w:b/>
          <w:color w:val="auto"/>
          <w:szCs w:val="21"/>
        </w:rPr>
        <w:t>表3.1-1工程与《中华人民共和国水土保持法》的符合性对照分析表</w:t>
      </w:r>
    </w:p>
    <w:tbl>
      <w:tblPr>
        <w:tblStyle w:val="39"/>
        <w:tblW w:w="88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03"/>
        <w:gridCol w:w="3606"/>
        <w:gridCol w:w="7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4503" w:type="dxa"/>
            <w:vAlign w:val="center"/>
          </w:tcPr>
          <w:p>
            <w:pPr>
              <w:adjustRightInd w:val="0"/>
              <w:snapToGrid w:val="0"/>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《中华人民共和国水土保持法》规定</w:t>
            </w:r>
          </w:p>
        </w:tc>
        <w:tc>
          <w:tcPr>
            <w:tcW w:w="3606" w:type="dxa"/>
            <w:vAlign w:val="center"/>
          </w:tcPr>
          <w:p>
            <w:pPr>
              <w:adjustRightInd w:val="0"/>
              <w:snapToGrid w:val="0"/>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本项目情况</w:t>
            </w:r>
          </w:p>
        </w:tc>
        <w:tc>
          <w:tcPr>
            <w:tcW w:w="738" w:type="dxa"/>
            <w:vAlign w:val="center"/>
          </w:tcPr>
          <w:p>
            <w:pPr>
              <w:adjustRightInd w:val="0"/>
              <w:snapToGrid w:val="0"/>
              <w:ind w:left="-105" w:leftChars="-50" w:right="-105" w:rightChars="-50"/>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3"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b/>
                <w:bCs/>
                <w:kern w:val="0"/>
                <w:sz w:val="18"/>
                <w:szCs w:val="18"/>
              </w:rPr>
              <w:t>第十七条</w:t>
            </w:r>
            <w:r>
              <w:rPr>
                <w:rFonts w:ascii="Times New Roman" w:hAnsi="Times New Roman" w:eastAsia="仿宋_GB2312" w:cs="Times New Roman"/>
                <w:kern w:val="0"/>
                <w:sz w:val="18"/>
                <w:szCs w:val="18"/>
              </w:rPr>
              <w:t xml:space="preserve">  地方各级人民政府应当加强对取土、挖砂、采石等活动的管理，预防和减轻水土流失。禁止在崩塌、滑坡危险区和泥石流易发区从事取土、挖砂、采石等可能造成水土流失的活动。</w:t>
            </w:r>
          </w:p>
        </w:tc>
        <w:tc>
          <w:tcPr>
            <w:tcW w:w="3606"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本项目</w:t>
            </w:r>
            <w:r>
              <w:rPr>
                <w:rFonts w:hint="eastAsia" w:ascii="Times New Roman" w:hAnsi="Times New Roman" w:eastAsia="仿宋_GB2312" w:cs="Times New Roman"/>
                <w:kern w:val="0"/>
                <w:sz w:val="18"/>
                <w:szCs w:val="18"/>
              </w:rPr>
              <w:t>不</w:t>
            </w:r>
            <w:r>
              <w:rPr>
                <w:rFonts w:ascii="Times New Roman" w:hAnsi="Times New Roman" w:eastAsia="仿宋_GB2312" w:cs="Times New Roman"/>
                <w:kern w:val="0"/>
                <w:sz w:val="18"/>
                <w:szCs w:val="18"/>
              </w:rPr>
              <w:t>设置取土场</w:t>
            </w:r>
          </w:p>
        </w:tc>
        <w:tc>
          <w:tcPr>
            <w:tcW w:w="738" w:type="dxa"/>
            <w:vAlign w:val="center"/>
          </w:tcPr>
          <w:p>
            <w:pPr>
              <w:adjustRightInd w:val="0"/>
              <w:snapToGrid w:val="0"/>
              <w:ind w:left="-31" w:leftChars="-15" w:right="-31" w:rightChars="-15"/>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符合法律要求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3"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b/>
                <w:bCs/>
                <w:kern w:val="0"/>
                <w:sz w:val="18"/>
                <w:szCs w:val="18"/>
              </w:rPr>
              <w:t>第十八条</w:t>
            </w:r>
            <w:r>
              <w:rPr>
                <w:rFonts w:ascii="Times New Roman" w:hAnsi="Times New Roman" w:eastAsia="仿宋_GB2312" w:cs="Times New Roman"/>
                <w:kern w:val="0"/>
                <w:sz w:val="18"/>
                <w:szCs w:val="18"/>
              </w:rPr>
              <w:t xml:space="preserve">  水土流失严重、生态脆弱的地区，应当限制或者禁止可能造成水土流失的生产建设活动，严格保护植物、沙壳、结皮、地衣等。</w:t>
            </w:r>
          </w:p>
        </w:tc>
        <w:tc>
          <w:tcPr>
            <w:tcW w:w="3606"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本工程所在区域为非生态脆弱区</w:t>
            </w:r>
          </w:p>
        </w:tc>
        <w:tc>
          <w:tcPr>
            <w:tcW w:w="738" w:type="dxa"/>
            <w:vAlign w:val="center"/>
          </w:tcPr>
          <w:p>
            <w:pPr>
              <w:adjustRightInd w:val="0"/>
              <w:snapToGrid w:val="0"/>
              <w:ind w:left="-31" w:leftChars="-15" w:right="-31" w:rightChars="-15"/>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符合法律要求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3"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b/>
                <w:bCs/>
                <w:kern w:val="0"/>
                <w:sz w:val="18"/>
                <w:szCs w:val="18"/>
              </w:rPr>
              <w:t>第二十四条</w:t>
            </w:r>
            <w:r>
              <w:rPr>
                <w:rFonts w:ascii="Times New Roman" w:hAnsi="Times New Roman" w:eastAsia="仿宋_GB2312" w:cs="Times New Roman"/>
                <w:kern w:val="0"/>
                <w:sz w:val="18"/>
                <w:szCs w:val="18"/>
              </w:rPr>
              <w:t xml:space="preserve">  生产建设项目选址、选线应当避让水土流失重点预防区和重点治理区；无法避让的，应当提高防治标准，优化施工工艺，减少地表扰动和植被损坏范围，有效控制可能造成的水土流失。</w:t>
            </w:r>
          </w:p>
        </w:tc>
        <w:tc>
          <w:tcPr>
            <w:tcW w:w="3606"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项目选线无法避让</w:t>
            </w:r>
            <w:r>
              <w:rPr>
                <w:rFonts w:hint="eastAsia" w:ascii="Times New Roman" w:hAnsi="Times New Roman" w:eastAsia="仿宋_GB2312" w:cs="Times New Roman"/>
                <w:kern w:val="0"/>
                <w:sz w:val="18"/>
                <w:szCs w:val="18"/>
              </w:rPr>
              <w:t>嘉陵江及沱江中下游国家级水土流失重点治理区</w:t>
            </w:r>
            <w:r>
              <w:rPr>
                <w:rFonts w:ascii="Times New Roman" w:hAnsi="Times New Roman" w:eastAsia="仿宋_GB2312" w:cs="Times New Roman"/>
                <w:kern w:val="0"/>
                <w:sz w:val="18"/>
                <w:szCs w:val="18"/>
              </w:rPr>
              <w:t>，本方案通过提高防治标准</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优化施工工艺</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控制地表扰动和植被损坏范围</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有效控制新增水土流失</w:t>
            </w:r>
          </w:p>
        </w:tc>
        <w:tc>
          <w:tcPr>
            <w:tcW w:w="738" w:type="dxa"/>
            <w:vAlign w:val="center"/>
          </w:tcPr>
          <w:p>
            <w:pPr>
              <w:adjustRightInd w:val="0"/>
              <w:snapToGrid w:val="0"/>
              <w:ind w:left="-31" w:leftChars="-15" w:right="-31" w:rightChars="-15"/>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符合法律要求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3"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b/>
                <w:bCs/>
                <w:kern w:val="0"/>
                <w:sz w:val="18"/>
                <w:szCs w:val="18"/>
              </w:rPr>
              <w:t>第二十八条</w:t>
            </w:r>
            <w:r>
              <w:rPr>
                <w:rFonts w:ascii="Times New Roman" w:hAnsi="Times New Roman" w:eastAsia="仿宋_GB2312" w:cs="Times New Roman"/>
                <w:kern w:val="0"/>
                <w:sz w:val="18"/>
                <w:szCs w:val="18"/>
              </w:rPr>
              <w:t xml:space="preserve">  依法应当编制水土保持方案的生产建设项目，其生产建设活动中排弃的砂、石、土、矸石、尾矿、废渣等应当综合利用；不能综合利用，确需废弃的，应当堆放在水土保持方案确定的专门存放地，并采取措施保证不产生新的危害。</w:t>
            </w:r>
          </w:p>
        </w:tc>
        <w:tc>
          <w:tcPr>
            <w:tcW w:w="3606" w:type="dxa"/>
            <w:vAlign w:val="center"/>
          </w:tcPr>
          <w:p>
            <w:pPr>
              <w:adjustRightInd w:val="0"/>
              <w:snapToGrid w:val="0"/>
              <w:rPr>
                <w:rFonts w:ascii="Times New Roman" w:hAnsi="Times New Roman" w:eastAsia="仿宋_GB2312" w:cs="Times New Roman"/>
                <w:kern w:val="0"/>
                <w:sz w:val="18"/>
                <w:szCs w:val="18"/>
              </w:rPr>
            </w:pPr>
            <w:r>
              <w:rPr>
                <w:rFonts w:hint="eastAsia" w:ascii="Times New Roman" w:hAnsi="Times New Roman" w:eastAsia="仿宋_GB2312" w:cs="Times New Roman"/>
                <w:kern w:val="0"/>
                <w:sz w:val="18"/>
                <w:szCs w:val="18"/>
              </w:rPr>
              <w:t>本项目</w:t>
            </w:r>
            <w:r>
              <w:rPr>
                <w:rFonts w:ascii="Times New Roman" w:hAnsi="Times New Roman" w:eastAsia="仿宋_GB2312" w:cs="Times New Roman"/>
                <w:kern w:val="0"/>
                <w:sz w:val="18"/>
                <w:szCs w:val="18"/>
              </w:rPr>
              <w:t>开挖土石方</w:t>
            </w:r>
            <w:r>
              <w:rPr>
                <w:rFonts w:hint="eastAsia" w:ascii="Times New Roman" w:hAnsi="Times New Roman" w:eastAsia="仿宋_GB2312" w:cs="Times New Roman"/>
                <w:kern w:val="0"/>
                <w:sz w:val="18"/>
                <w:szCs w:val="18"/>
              </w:rPr>
              <w:t>全部</w:t>
            </w:r>
            <w:r>
              <w:rPr>
                <w:rFonts w:ascii="Times New Roman" w:hAnsi="Times New Roman" w:eastAsia="仿宋_GB2312" w:cs="Times New Roman"/>
                <w:kern w:val="0"/>
                <w:sz w:val="18"/>
                <w:szCs w:val="18"/>
              </w:rPr>
              <w:t>综合利用</w:t>
            </w:r>
          </w:p>
        </w:tc>
        <w:tc>
          <w:tcPr>
            <w:tcW w:w="738" w:type="dxa"/>
            <w:vAlign w:val="center"/>
          </w:tcPr>
          <w:p>
            <w:pPr>
              <w:adjustRightInd w:val="0"/>
              <w:snapToGrid w:val="0"/>
              <w:ind w:left="-31" w:leftChars="-15" w:right="-31" w:rightChars="-15"/>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符合法律要求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4503"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b/>
                <w:bCs/>
                <w:kern w:val="0"/>
                <w:sz w:val="18"/>
                <w:szCs w:val="18"/>
              </w:rPr>
              <w:t>第三十八条</w:t>
            </w:r>
            <w:r>
              <w:rPr>
                <w:rFonts w:ascii="Times New Roman" w:hAnsi="Times New Roman" w:eastAsia="仿宋_GB2312" w:cs="Times New Roman"/>
                <w:kern w:val="0"/>
                <w:sz w:val="18"/>
                <w:szCs w:val="18"/>
              </w:rPr>
              <w:t xml:space="preserve">  对生产建设活动所占用土地的地表土应当进行分层剥离、保存和利用，做到土石方挖填平衡，减少地表扰动范围；对废弃的砂、石、土、矸石、尾矿、废渣等存放地，应当采取拦挡、坡面防护、防洪排导等措施。生产建设活动结束后应当及时在取土场、开挖面和存放地的裸露土地上种树植草、恢复植被。</w:t>
            </w:r>
          </w:p>
        </w:tc>
        <w:tc>
          <w:tcPr>
            <w:tcW w:w="3606" w:type="dxa"/>
            <w:vAlign w:val="center"/>
          </w:tcPr>
          <w:p>
            <w:pPr>
              <w:adjustRightInd w:val="0"/>
              <w:snapToGrid w:val="0"/>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主体设计了表土剥离</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保存及利用措施，做到了土石方平衡，</w:t>
            </w:r>
            <w:r>
              <w:rPr>
                <w:rFonts w:hint="eastAsia" w:ascii="Times New Roman" w:hAnsi="Times New Roman" w:eastAsia="仿宋_GB2312" w:cs="Times New Roman"/>
                <w:kern w:val="0"/>
                <w:sz w:val="18"/>
                <w:szCs w:val="18"/>
              </w:rPr>
              <w:t>临时</w:t>
            </w:r>
            <w:r>
              <w:rPr>
                <w:rFonts w:ascii="Times New Roman" w:hAnsi="Times New Roman" w:eastAsia="仿宋_GB2312" w:cs="Times New Roman"/>
                <w:kern w:val="0"/>
                <w:sz w:val="18"/>
                <w:szCs w:val="18"/>
              </w:rPr>
              <w:t>堆土区域均采取了拦挡</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坡面防护</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截排水等措施</w:t>
            </w:r>
            <w:r>
              <w:rPr>
                <w:rFonts w:hint="eastAsia" w:ascii="Times New Roman" w:hAnsi="Times New Roman" w:eastAsia="仿宋_GB2312" w:cs="Times New Roman"/>
                <w:kern w:val="0"/>
                <w:sz w:val="18"/>
                <w:szCs w:val="18"/>
              </w:rPr>
              <w:t>，</w:t>
            </w:r>
            <w:r>
              <w:rPr>
                <w:rFonts w:ascii="Times New Roman" w:hAnsi="Times New Roman" w:eastAsia="仿宋_GB2312" w:cs="Times New Roman"/>
                <w:kern w:val="0"/>
                <w:sz w:val="18"/>
                <w:szCs w:val="18"/>
              </w:rPr>
              <w:t>施工结束后对施工迹地采取了恢复</w:t>
            </w:r>
            <w:r>
              <w:rPr>
                <w:rFonts w:hint="eastAsia" w:ascii="Times New Roman" w:hAnsi="Times New Roman" w:eastAsia="仿宋_GB2312" w:cs="Times New Roman"/>
                <w:kern w:val="0"/>
                <w:sz w:val="18"/>
                <w:szCs w:val="18"/>
              </w:rPr>
              <w:t>措施</w:t>
            </w:r>
          </w:p>
        </w:tc>
        <w:tc>
          <w:tcPr>
            <w:tcW w:w="738" w:type="dxa"/>
            <w:vAlign w:val="center"/>
          </w:tcPr>
          <w:p>
            <w:pPr>
              <w:adjustRightInd w:val="0"/>
              <w:snapToGrid w:val="0"/>
              <w:ind w:left="-31" w:leftChars="-15" w:right="-31" w:rightChars="-15"/>
              <w:jc w:val="center"/>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符合法律要求</w:t>
            </w:r>
          </w:p>
        </w:tc>
      </w:tr>
    </w:tbl>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3.1.2.2 与《生产建设项目水土保持技术标准》（GB 50433-2018）的符合性分析</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对本项目进行与《生产建设项目水土保持技术标准》（GB 50433-2018）符合性的对照分析，本项目符合《生产建设项目水土保持技术标准》要求，详见下表。</w:t>
      </w:r>
    </w:p>
    <w:p>
      <w:pPr>
        <w:adjustRightInd w:val="0"/>
        <w:spacing w:line="360" w:lineRule="auto"/>
        <w:ind w:firstLine="422" w:firstLineChars="200"/>
        <w:jc w:val="center"/>
        <w:rPr>
          <w:rFonts w:ascii="Times New Roman" w:hAnsi="Times New Roman" w:eastAsia="仿宋_GB2312" w:cs="Times New Roman"/>
          <w:b/>
          <w:color w:val="auto"/>
          <w:szCs w:val="21"/>
        </w:rPr>
      </w:pPr>
      <w:r>
        <w:rPr>
          <w:rFonts w:ascii="Times New Roman" w:hAnsi="Times New Roman" w:eastAsia="仿宋_GB2312" w:cs="Times New Roman"/>
          <w:b/>
          <w:color w:val="auto"/>
          <w:szCs w:val="21"/>
        </w:rPr>
        <w:t>表3.1-2 工程与《生产建设项目水土保持技术标准》的符合性对照分析表</w:t>
      </w:r>
    </w:p>
    <w:tbl>
      <w:tblPr>
        <w:tblStyle w:val="39"/>
        <w:tblW w:w="8801" w:type="dxa"/>
        <w:tblInd w:w="0" w:type="dxa"/>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Layout w:type="fixed"/>
        <w:tblCellMar>
          <w:top w:w="28" w:type="dxa"/>
          <w:left w:w="85" w:type="dxa"/>
          <w:bottom w:w="28" w:type="dxa"/>
          <w:right w:w="85" w:type="dxa"/>
        </w:tblCellMar>
      </w:tblPr>
      <w:tblGrid>
        <w:gridCol w:w="453"/>
        <w:gridCol w:w="537"/>
        <w:gridCol w:w="3695"/>
        <w:gridCol w:w="3394"/>
        <w:gridCol w:w="722"/>
      </w:tblGrid>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283" w:hRule="atLeast"/>
          <w:tblHeader/>
        </w:trPr>
        <w:tc>
          <w:tcPr>
            <w:tcW w:w="453" w:type="dxa"/>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11" w:name="_Toc491269631"/>
            <w:bookmarkStart w:id="112" w:name="_Toc529017689"/>
            <w:bookmarkStart w:id="113" w:name="_Toc528763607"/>
            <w:bookmarkStart w:id="114" w:name="_Toc491166561"/>
            <w:bookmarkStart w:id="115" w:name="_Toc525144688"/>
            <w:bookmarkStart w:id="116" w:name="_Toc512609599"/>
            <w:bookmarkStart w:id="117" w:name="_Toc524825503"/>
            <w:bookmarkStart w:id="118" w:name="_Toc512669111"/>
            <w:bookmarkStart w:id="119" w:name="_Toc526704848"/>
            <w:bookmarkStart w:id="120" w:name="_Toc520031880"/>
            <w:bookmarkStart w:id="121" w:name="_Toc31582"/>
            <w:r>
              <w:rPr>
                <w:rFonts w:ascii="Times New Roman" w:hAnsi="Times New Roman" w:eastAsia="仿宋_GB2312" w:cs="Times New Roman"/>
                <w:color w:val="auto"/>
                <w:kern w:val="0"/>
                <w:sz w:val="18"/>
                <w:szCs w:val="18"/>
              </w:rPr>
              <w:t>序号</w:t>
            </w:r>
            <w:bookmarkEnd w:id="111"/>
            <w:bookmarkEnd w:id="112"/>
            <w:bookmarkEnd w:id="113"/>
            <w:bookmarkEnd w:id="114"/>
            <w:bookmarkEnd w:id="115"/>
            <w:bookmarkEnd w:id="116"/>
            <w:bookmarkEnd w:id="117"/>
            <w:bookmarkEnd w:id="118"/>
            <w:bookmarkEnd w:id="119"/>
            <w:bookmarkEnd w:id="120"/>
            <w:bookmarkEnd w:id="121"/>
          </w:p>
        </w:tc>
        <w:tc>
          <w:tcPr>
            <w:tcW w:w="537" w:type="dxa"/>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22" w:name="_Toc491269632"/>
            <w:bookmarkStart w:id="123" w:name="_Toc23916"/>
            <w:bookmarkStart w:id="124" w:name="_Toc512669112"/>
            <w:bookmarkStart w:id="125" w:name="_Toc524825504"/>
            <w:bookmarkStart w:id="126" w:name="_Toc525144689"/>
            <w:bookmarkStart w:id="127" w:name="_Toc528763608"/>
            <w:bookmarkStart w:id="128" w:name="_Toc520031881"/>
            <w:bookmarkStart w:id="129" w:name="_Toc512609600"/>
            <w:bookmarkStart w:id="130" w:name="_Toc491166562"/>
            <w:bookmarkStart w:id="131" w:name="_Toc529017690"/>
            <w:bookmarkStart w:id="132" w:name="_Toc526704849"/>
            <w:r>
              <w:rPr>
                <w:rFonts w:ascii="Times New Roman" w:hAnsi="Times New Roman" w:eastAsia="仿宋_GB2312" w:cs="Times New Roman"/>
                <w:color w:val="auto"/>
                <w:kern w:val="0"/>
                <w:sz w:val="18"/>
                <w:szCs w:val="18"/>
              </w:rPr>
              <w:t>项目</w:t>
            </w:r>
          </w:p>
          <w:p>
            <w:pPr>
              <w:adjustRightInd w:val="0"/>
              <w:snapToGrid w:val="0"/>
              <w:ind w:left="-53" w:leftChars="-25" w:right="-53" w:rightChars="-25"/>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名称</w:t>
            </w:r>
            <w:bookmarkEnd w:id="122"/>
            <w:bookmarkEnd w:id="123"/>
            <w:bookmarkEnd w:id="124"/>
            <w:bookmarkEnd w:id="125"/>
            <w:bookmarkEnd w:id="126"/>
            <w:bookmarkEnd w:id="127"/>
            <w:bookmarkEnd w:id="128"/>
            <w:bookmarkEnd w:id="129"/>
            <w:bookmarkEnd w:id="130"/>
            <w:bookmarkEnd w:id="131"/>
            <w:bookmarkEnd w:id="132"/>
          </w:p>
        </w:tc>
        <w:tc>
          <w:tcPr>
            <w:tcW w:w="3695" w:type="dxa"/>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33" w:name="_Toc24288"/>
            <w:bookmarkStart w:id="134" w:name="_Toc512609601"/>
            <w:bookmarkStart w:id="135" w:name="_Toc491166563"/>
            <w:bookmarkStart w:id="136" w:name="_Toc524825505"/>
            <w:bookmarkStart w:id="137" w:name="_Toc528763609"/>
            <w:bookmarkStart w:id="138" w:name="_Toc526704850"/>
            <w:bookmarkStart w:id="139" w:name="_Toc491269633"/>
            <w:bookmarkStart w:id="140" w:name="_Toc512669113"/>
            <w:bookmarkStart w:id="141" w:name="_Toc529017691"/>
            <w:bookmarkStart w:id="142" w:name="_Toc525144690"/>
            <w:bookmarkStart w:id="143" w:name="_Toc520031882"/>
            <w:r>
              <w:rPr>
                <w:rFonts w:ascii="Times New Roman" w:hAnsi="Times New Roman" w:eastAsia="仿宋_GB2312" w:cs="Times New Roman"/>
                <w:color w:val="auto"/>
                <w:kern w:val="0"/>
                <w:sz w:val="18"/>
                <w:szCs w:val="18"/>
              </w:rPr>
              <w:t>约束性规定</w:t>
            </w:r>
            <w:bookmarkEnd w:id="133"/>
            <w:bookmarkEnd w:id="134"/>
            <w:bookmarkEnd w:id="135"/>
            <w:bookmarkEnd w:id="136"/>
            <w:bookmarkEnd w:id="137"/>
            <w:bookmarkEnd w:id="138"/>
            <w:bookmarkEnd w:id="139"/>
            <w:bookmarkEnd w:id="140"/>
            <w:bookmarkEnd w:id="141"/>
            <w:bookmarkEnd w:id="142"/>
            <w:bookmarkEnd w:id="143"/>
          </w:p>
        </w:tc>
        <w:tc>
          <w:tcPr>
            <w:tcW w:w="3394" w:type="dxa"/>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44" w:name="_Toc512609602"/>
            <w:bookmarkStart w:id="145" w:name="_Toc528763610"/>
            <w:bookmarkStart w:id="146" w:name="_Toc491166564"/>
            <w:bookmarkStart w:id="147" w:name="_Toc525144691"/>
            <w:bookmarkStart w:id="148" w:name="_Toc512669114"/>
            <w:bookmarkStart w:id="149" w:name="_Toc524825506"/>
            <w:bookmarkStart w:id="150" w:name="_Toc29468"/>
            <w:bookmarkStart w:id="151" w:name="_Toc520031883"/>
            <w:bookmarkStart w:id="152" w:name="_Toc526704851"/>
            <w:bookmarkStart w:id="153" w:name="_Toc491269634"/>
            <w:bookmarkStart w:id="154" w:name="_Toc529017692"/>
            <w:r>
              <w:rPr>
                <w:rFonts w:ascii="Times New Roman" w:hAnsi="Times New Roman" w:eastAsia="仿宋_GB2312" w:cs="Times New Roman"/>
                <w:color w:val="auto"/>
                <w:kern w:val="0"/>
                <w:sz w:val="18"/>
                <w:szCs w:val="18"/>
              </w:rPr>
              <w:t>工程执行情况</w:t>
            </w:r>
            <w:bookmarkEnd w:id="144"/>
            <w:bookmarkEnd w:id="145"/>
            <w:bookmarkEnd w:id="146"/>
            <w:bookmarkEnd w:id="147"/>
            <w:bookmarkEnd w:id="148"/>
            <w:bookmarkEnd w:id="149"/>
            <w:bookmarkEnd w:id="150"/>
            <w:bookmarkEnd w:id="151"/>
            <w:bookmarkEnd w:id="152"/>
            <w:bookmarkEnd w:id="153"/>
            <w:bookmarkEnd w:id="154"/>
          </w:p>
        </w:tc>
        <w:tc>
          <w:tcPr>
            <w:tcW w:w="722" w:type="dxa"/>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55" w:name="_Toc529017693"/>
            <w:bookmarkStart w:id="156" w:name="_Toc520031884"/>
            <w:bookmarkStart w:id="157" w:name="_Toc512669115"/>
            <w:bookmarkStart w:id="158" w:name="_Toc526704852"/>
            <w:bookmarkStart w:id="159" w:name="_Toc524825507"/>
            <w:bookmarkStart w:id="160" w:name="_Toc512609603"/>
            <w:bookmarkStart w:id="161" w:name="_Toc32333"/>
            <w:bookmarkStart w:id="162" w:name="_Toc528763611"/>
            <w:bookmarkStart w:id="163" w:name="_Toc491166565"/>
            <w:bookmarkStart w:id="164" w:name="_Toc491269635"/>
            <w:bookmarkStart w:id="165" w:name="_Toc525144692"/>
            <w:r>
              <w:rPr>
                <w:rFonts w:ascii="Times New Roman" w:hAnsi="Times New Roman" w:eastAsia="仿宋_GB2312" w:cs="Times New Roman"/>
                <w:color w:val="auto"/>
                <w:kern w:val="0"/>
                <w:sz w:val="18"/>
                <w:szCs w:val="18"/>
              </w:rPr>
              <w:t>评价</w:t>
            </w:r>
          </w:p>
          <w:p>
            <w:pPr>
              <w:adjustRightInd w:val="0"/>
              <w:snapToGrid w:val="0"/>
              <w:ind w:left="-53" w:leftChars="-25" w:right="-53" w:rightChars="-25"/>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结论</w:t>
            </w:r>
            <w:bookmarkEnd w:id="155"/>
            <w:bookmarkEnd w:id="156"/>
            <w:bookmarkEnd w:id="157"/>
            <w:bookmarkEnd w:id="158"/>
            <w:bookmarkEnd w:id="159"/>
            <w:bookmarkEnd w:id="160"/>
            <w:bookmarkEnd w:id="161"/>
            <w:bookmarkEnd w:id="162"/>
            <w:bookmarkEnd w:id="163"/>
            <w:bookmarkEnd w:id="164"/>
            <w:bookmarkEnd w:id="165"/>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283" w:hRule="atLeast"/>
        </w:trPr>
        <w:tc>
          <w:tcPr>
            <w:tcW w:w="453" w:type="dxa"/>
            <w:vMerge w:val="restart"/>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66" w:name="_Toc512669116"/>
            <w:bookmarkStart w:id="167" w:name="_Toc528763612"/>
            <w:bookmarkStart w:id="168" w:name="_Toc491166566"/>
            <w:bookmarkStart w:id="169" w:name="_Toc4089"/>
            <w:bookmarkStart w:id="170" w:name="_Toc529017694"/>
            <w:bookmarkStart w:id="171" w:name="_Toc520031885"/>
            <w:bookmarkStart w:id="172" w:name="_Toc526704853"/>
            <w:bookmarkStart w:id="173" w:name="_Toc491269636"/>
            <w:bookmarkStart w:id="174" w:name="_Toc512609604"/>
            <w:bookmarkStart w:id="175" w:name="_Toc525144693"/>
            <w:bookmarkStart w:id="176" w:name="_Toc524825508"/>
            <w:r>
              <w:rPr>
                <w:rFonts w:ascii="Times New Roman" w:hAnsi="Times New Roman" w:eastAsia="仿宋_GB2312" w:cs="Times New Roman"/>
                <w:color w:val="auto"/>
                <w:kern w:val="0"/>
                <w:sz w:val="18"/>
                <w:szCs w:val="18"/>
              </w:rPr>
              <w:t>1</w:t>
            </w:r>
            <w:bookmarkEnd w:id="166"/>
            <w:bookmarkEnd w:id="167"/>
            <w:bookmarkEnd w:id="168"/>
            <w:bookmarkEnd w:id="169"/>
            <w:bookmarkEnd w:id="170"/>
            <w:bookmarkEnd w:id="171"/>
            <w:bookmarkEnd w:id="172"/>
            <w:bookmarkEnd w:id="173"/>
            <w:bookmarkEnd w:id="174"/>
            <w:bookmarkEnd w:id="175"/>
            <w:bookmarkEnd w:id="176"/>
          </w:p>
        </w:tc>
        <w:tc>
          <w:tcPr>
            <w:tcW w:w="537" w:type="dxa"/>
            <w:vMerge w:val="restart"/>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bookmarkStart w:id="177" w:name="_Toc525144694"/>
            <w:bookmarkStart w:id="178" w:name="_Toc512669117"/>
            <w:bookmarkStart w:id="179" w:name="_Toc524825509"/>
            <w:bookmarkStart w:id="180" w:name="_Toc528763613"/>
            <w:bookmarkStart w:id="181" w:name="_Toc520031886"/>
            <w:bookmarkStart w:id="182" w:name="_Toc24683"/>
            <w:bookmarkStart w:id="183" w:name="_Toc512609605"/>
            <w:bookmarkStart w:id="184" w:name="_Toc491269637"/>
            <w:bookmarkStart w:id="185" w:name="_Toc526704854"/>
            <w:bookmarkStart w:id="186" w:name="_Toc529017695"/>
            <w:bookmarkStart w:id="187" w:name="_Toc491166567"/>
            <w:r>
              <w:rPr>
                <w:rFonts w:ascii="Times New Roman" w:hAnsi="Times New Roman" w:eastAsia="仿宋_GB2312" w:cs="Times New Roman"/>
                <w:color w:val="auto"/>
                <w:kern w:val="0"/>
                <w:sz w:val="18"/>
                <w:szCs w:val="18"/>
              </w:rPr>
              <w:t>工程</w:t>
            </w:r>
          </w:p>
          <w:p>
            <w:pPr>
              <w:adjustRightInd w:val="0"/>
              <w:snapToGrid w:val="0"/>
              <w:ind w:left="-53" w:leftChars="-25" w:right="-53" w:rightChars="-25"/>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选址</w:t>
            </w:r>
            <w:bookmarkEnd w:id="177"/>
            <w:bookmarkEnd w:id="178"/>
            <w:bookmarkEnd w:id="179"/>
            <w:bookmarkEnd w:id="180"/>
            <w:bookmarkEnd w:id="181"/>
            <w:bookmarkEnd w:id="182"/>
            <w:bookmarkEnd w:id="183"/>
            <w:bookmarkEnd w:id="184"/>
            <w:bookmarkEnd w:id="185"/>
            <w:bookmarkEnd w:id="186"/>
            <w:bookmarkEnd w:id="187"/>
          </w:p>
        </w:tc>
        <w:tc>
          <w:tcPr>
            <w:tcW w:w="3695" w:type="dxa"/>
            <w:vMerge w:val="restart"/>
            <w:vAlign w:val="center"/>
          </w:tcPr>
          <w:p>
            <w:pPr>
              <w:adjustRightInd w:val="0"/>
              <w:snapToGrid w:val="0"/>
              <w:ind w:left="-53" w:leftChars="-25" w:right="-53" w:rightChars="-25"/>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主体工程选址（线）应避让下列区域：</w:t>
            </w:r>
          </w:p>
          <w:p>
            <w:pPr>
              <w:adjustRightInd w:val="0"/>
              <w:snapToGrid w:val="0"/>
              <w:ind w:left="-53" w:leftChars="-25" w:right="-53" w:rightChars="-25"/>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1、水土流失重点预防区和重点治理区；</w:t>
            </w:r>
          </w:p>
          <w:p>
            <w:pPr>
              <w:adjustRightInd w:val="0"/>
              <w:snapToGrid w:val="0"/>
              <w:ind w:left="-53" w:leftChars="-25" w:right="-53" w:rightChars="-25"/>
              <w:rPr>
                <w:rFonts w:ascii="Times New Roman" w:hAnsi="Times New Roman" w:eastAsia="仿宋_GB2312" w:cs="Times New Roman"/>
                <w:kern w:val="0"/>
                <w:sz w:val="18"/>
                <w:szCs w:val="18"/>
              </w:rPr>
            </w:pPr>
            <w:r>
              <w:rPr>
                <w:rFonts w:ascii="Times New Roman" w:hAnsi="Times New Roman" w:eastAsia="仿宋_GB2312" w:cs="Times New Roman"/>
                <w:kern w:val="0"/>
                <w:sz w:val="18"/>
                <w:szCs w:val="18"/>
              </w:rPr>
              <w:t>2、河流两岸、湖泊和水库周边的植物保护带；</w:t>
            </w:r>
          </w:p>
          <w:p>
            <w:pPr>
              <w:adjustRightInd w:val="0"/>
              <w:snapToGrid w:val="0"/>
              <w:ind w:left="-53" w:leftChars="-25" w:right="-53" w:rightChars="-25"/>
              <w:rPr>
                <w:rFonts w:ascii="Times New Roman" w:hAnsi="Times New Roman" w:eastAsia="仿宋_GB2312" w:cs="Times New Roman"/>
                <w:b/>
                <w:color w:val="auto"/>
                <w:kern w:val="0"/>
                <w:sz w:val="18"/>
                <w:szCs w:val="18"/>
              </w:rPr>
            </w:pPr>
            <w:r>
              <w:rPr>
                <w:rFonts w:ascii="Times New Roman" w:hAnsi="Times New Roman" w:eastAsia="仿宋_GB2312" w:cs="Times New Roman"/>
                <w:kern w:val="0"/>
                <w:sz w:val="18"/>
                <w:szCs w:val="18"/>
              </w:rPr>
              <w:t>3、全国水土保持监测网络中的水土保持监测站点、重点试验区及国家确定的水土保持长期定位观测站。</w:t>
            </w:r>
          </w:p>
        </w:tc>
        <w:tc>
          <w:tcPr>
            <w:tcW w:w="3394" w:type="dxa"/>
            <w:vAlign w:val="center"/>
          </w:tcPr>
          <w:p>
            <w:pPr>
              <w:adjustRightInd w:val="0"/>
              <w:snapToGrid w:val="0"/>
              <w:ind w:left="-53" w:leftChars="-25" w:right="-53" w:rightChars="-25"/>
              <w:rPr>
                <w:rFonts w:ascii="Times New Roman" w:hAnsi="Times New Roman" w:eastAsia="仿宋_GB2312" w:cs="Times New Roman"/>
                <w:color w:val="auto"/>
                <w:kern w:val="0"/>
                <w:sz w:val="18"/>
                <w:szCs w:val="18"/>
              </w:rPr>
            </w:pPr>
            <w:r>
              <w:rPr>
                <w:rFonts w:ascii="Times New Roman" w:hAnsi="Times New Roman" w:eastAsia="仿宋_GB2312" w:cs="Times New Roman"/>
                <w:kern w:val="0"/>
                <w:sz w:val="18"/>
                <w:szCs w:val="18"/>
              </w:rPr>
              <w:t>1、</w:t>
            </w:r>
            <w:r>
              <w:rPr>
                <w:rFonts w:hint="eastAsia" w:ascii="Times New Roman" w:hAnsi="Times New Roman" w:eastAsia="仿宋_GB2312" w:cs="Times New Roman"/>
                <w:kern w:val="0"/>
                <w:sz w:val="18"/>
                <w:szCs w:val="18"/>
              </w:rPr>
              <w:t>项目选线无法避让嘉陵江及沱江中下游国家级水土流失重点治理区，本方案通过提高防治标准，优化施工工艺，控制地表扰动和植被损坏范围，有效控制新增水土流失</w:t>
            </w:r>
          </w:p>
        </w:tc>
        <w:tc>
          <w:tcPr>
            <w:tcW w:w="722" w:type="dxa"/>
            <w:vMerge w:val="restart"/>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符合规范要求</w:t>
            </w: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283" w:hRule="atLeast"/>
        </w:trPr>
        <w:tc>
          <w:tcPr>
            <w:tcW w:w="453" w:type="dxa"/>
            <w:vMerge w:val="continue"/>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p>
        </w:tc>
        <w:tc>
          <w:tcPr>
            <w:tcW w:w="537" w:type="dxa"/>
            <w:vMerge w:val="continue"/>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p>
        </w:tc>
        <w:tc>
          <w:tcPr>
            <w:tcW w:w="3695" w:type="dxa"/>
            <w:vMerge w:val="continue"/>
            <w:vAlign w:val="center"/>
          </w:tcPr>
          <w:p>
            <w:pPr>
              <w:adjustRightInd w:val="0"/>
              <w:snapToGrid w:val="0"/>
              <w:ind w:left="-53" w:leftChars="-25" w:right="-53" w:rightChars="-25"/>
              <w:rPr>
                <w:rFonts w:ascii="Times New Roman" w:hAnsi="Times New Roman" w:eastAsia="仿宋_GB2312" w:cs="Times New Roman"/>
                <w:b/>
                <w:color w:val="auto"/>
                <w:kern w:val="0"/>
                <w:sz w:val="18"/>
                <w:szCs w:val="18"/>
              </w:rPr>
            </w:pPr>
          </w:p>
        </w:tc>
        <w:tc>
          <w:tcPr>
            <w:tcW w:w="3394" w:type="dxa"/>
            <w:vAlign w:val="center"/>
          </w:tcPr>
          <w:p>
            <w:pPr>
              <w:adjustRightInd w:val="0"/>
              <w:snapToGrid w:val="0"/>
              <w:ind w:left="-53" w:leftChars="-25" w:right="-53" w:rightChars="-25"/>
              <w:rPr>
                <w:rFonts w:ascii="Times New Roman" w:hAnsi="Times New Roman" w:eastAsia="仿宋_GB2312" w:cs="Times New Roman"/>
                <w:color w:val="auto"/>
                <w:kern w:val="0"/>
                <w:sz w:val="18"/>
                <w:szCs w:val="18"/>
              </w:rPr>
            </w:pPr>
            <w:r>
              <w:rPr>
                <w:rFonts w:ascii="Times New Roman" w:hAnsi="Times New Roman" w:eastAsia="仿宋_GB2312" w:cs="Times New Roman"/>
                <w:kern w:val="0"/>
                <w:sz w:val="18"/>
                <w:szCs w:val="18"/>
              </w:rPr>
              <w:t>2、本项目选址不在河流两岸、湖泊和水库周边的植物保护带内</w:t>
            </w:r>
          </w:p>
        </w:tc>
        <w:tc>
          <w:tcPr>
            <w:tcW w:w="722" w:type="dxa"/>
            <w:vMerge w:val="continue"/>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p>
        </w:tc>
      </w:tr>
      <w:tr>
        <w:tblPrEx>
          <w:tblBorders>
            <w:top w:val="single" w:color="auto" w:sz="12" w:space="0"/>
            <w:left w:val="none" w:color="auto" w:sz="0" w:space="0"/>
            <w:bottom w:val="single" w:color="000000" w:sz="12" w:space="0"/>
            <w:right w:val="none" w:color="auto" w:sz="0" w:space="0"/>
            <w:insideH w:val="single" w:color="auto" w:sz="4" w:space="0"/>
            <w:insideV w:val="single" w:color="auto" w:sz="4" w:space="0"/>
          </w:tblBorders>
          <w:tblCellMar>
            <w:top w:w="28" w:type="dxa"/>
            <w:left w:w="85" w:type="dxa"/>
            <w:bottom w:w="28" w:type="dxa"/>
            <w:right w:w="85" w:type="dxa"/>
          </w:tblCellMar>
        </w:tblPrEx>
        <w:trPr>
          <w:trHeight w:val="283" w:hRule="atLeast"/>
        </w:trPr>
        <w:tc>
          <w:tcPr>
            <w:tcW w:w="453" w:type="dxa"/>
            <w:vMerge w:val="continue"/>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p>
        </w:tc>
        <w:tc>
          <w:tcPr>
            <w:tcW w:w="537" w:type="dxa"/>
            <w:vMerge w:val="continue"/>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p>
        </w:tc>
        <w:tc>
          <w:tcPr>
            <w:tcW w:w="3695" w:type="dxa"/>
            <w:vMerge w:val="continue"/>
            <w:vAlign w:val="center"/>
          </w:tcPr>
          <w:p>
            <w:pPr>
              <w:adjustRightInd w:val="0"/>
              <w:snapToGrid w:val="0"/>
              <w:ind w:left="-53" w:leftChars="-25" w:right="-53" w:rightChars="-25"/>
              <w:rPr>
                <w:rFonts w:ascii="Times New Roman" w:hAnsi="Times New Roman" w:eastAsia="仿宋_GB2312" w:cs="Times New Roman"/>
                <w:b/>
                <w:color w:val="auto"/>
                <w:kern w:val="0"/>
                <w:sz w:val="18"/>
                <w:szCs w:val="18"/>
              </w:rPr>
            </w:pPr>
          </w:p>
        </w:tc>
        <w:tc>
          <w:tcPr>
            <w:tcW w:w="3394" w:type="dxa"/>
            <w:vAlign w:val="center"/>
          </w:tcPr>
          <w:p>
            <w:pPr>
              <w:adjustRightInd w:val="0"/>
              <w:snapToGrid w:val="0"/>
              <w:ind w:left="-53" w:leftChars="-25" w:right="-53" w:rightChars="-25"/>
              <w:rPr>
                <w:rFonts w:ascii="Times New Roman" w:hAnsi="Times New Roman" w:eastAsia="仿宋_GB2312" w:cs="Times New Roman"/>
                <w:color w:val="auto"/>
                <w:kern w:val="0"/>
                <w:sz w:val="18"/>
                <w:szCs w:val="18"/>
              </w:rPr>
            </w:pPr>
            <w:r>
              <w:rPr>
                <w:rFonts w:ascii="Times New Roman" w:hAnsi="Times New Roman" w:eastAsia="仿宋_GB2312" w:cs="Times New Roman"/>
                <w:kern w:val="0"/>
                <w:sz w:val="18"/>
                <w:szCs w:val="18"/>
              </w:rPr>
              <w:t>3、项目占地范围内无水土保持监测站点、重点试验区和水土保持长期定位观测站</w:t>
            </w:r>
          </w:p>
        </w:tc>
        <w:tc>
          <w:tcPr>
            <w:tcW w:w="722" w:type="dxa"/>
            <w:vMerge w:val="continue"/>
            <w:vAlign w:val="center"/>
          </w:tcPr>
          <w:p>
            <w:pPr>
              <w:adjustRightInd w:val="0"/>
              <w:snapToGrid w:val="0"/>
              <w:ind w:left="-53" w:leftChars="-25" w:right="-53" w:rightChars="-25"/>
              <w:jc w:val="center"/>
              <w:rPr>
                <w:rFonts w:ascii="Times New Roman" w:hAnsi="Times New Roman" w:eastAsia="仿宋_GB2312" w:cs="Times New Roman"/>
                <w:color w:val="auto"/>
                <w:kern w:val="0"/>
                <w:sz w:val="18"/>
                <w:szCs w:val="18"/>
              </w:rPr>
            </w:pPr>
          </w:p>
        </w:tc>
      </w:tr>
    </w:tbl>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3.1.2.3  水土保持敏感区政策相符性分析</w:t>
      </w:r>
    </w:p>
    <w:p>
      <w:pPr>
        <w:spacing w:line="360" w:lineRule="auto"/>
        <w:ind w:firstLine="460" w:firstLineChars="192"/>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经调查，项目涉及的</w:t>
      </w:r>
      <w:r>
        <w:rPr>
          <w:rFonts w:hint="eastAsia" w:ascii="Times New Roman" w:hAnsi="Times New Roman" w:eastAsia="仿宋_GB2312" w:cs="Times New Roman"/>
          <w:color w:val="auto"/>
          <w:sz w:val="24"/>
          <w:szCs w:val="24"/>
          <w:lang w:val="en-US" w:eastAsia="zh-CN"/>
        </w:rPr>
        <w:t>仪陇县</w:t>
      </w:r>
      <w:r>
        <w:rPr>
          <w:rFonts w:hint="eastAsia" w:ascii="Times New Roman" w:hAnsi="Times New Roman" w:eastAsia="仿宋_GB2312" w:cs="Times New Roman"/>
          <w:color w:val="auto"/>
          <w:sz w:val="24"/>
          <w:szCs w:val="24"/>
        </w:rPr>
        <w:t>属嘉陵江及沱江中下游国家级水土流失重点治理区；工程</w:t>
      </w:r>
      <w:r>
        <w:rPr>
          <w:rFonts w:ascii="Times New Roman" w:hAnsi="Times New Roman" w:eastAsia="仿宋_GB2312" w:cs="Times New Roman"/>
          <w:color w:val="auto"/>
          <w:sz w:val="24"/>
          <w:szCs w:val="24"/>
        </w:rPr>
        <w:t>选址</w:t>
      </w:r>
      <w:r>
        <w:rPr>
          <w:rFonts w:hint="eastAsia" w:ascii="Times New Roman" w:hAnsi="Times New Roman" w:eastAsia="仿宋_GB2312" w:cs="Times New Roman"/>
          <w:color w:val="auto"/>
          <w:sz w:val="24"/>
          <w:szCs w:val="24"/>
        </w:rPr>
        <w:t>（线）不涉及饮用水源保护区、水功能一级区的保护区和保留区、自然保护区、世界文化和自然遗产地、风景名胜区、地质公园、森林公园、重要湿地以及人文古迹等其他水土保持敏感地区。</w:t>
      </w:r>
    </w:p>
    <w:p>
      <w:pPr>
        <w:spacing w:line="360" w:lineRule="auto"/>
        <w:ind w:firstLine="460" w:firstLineChars="192"/>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rPr>
        <w:t>项目沿线涉及的</w:t>
      </w:r>
      <w:r>
        <w:rPr>
          <w:rFonts w:hint="eastAsia" w:ascii="Times New Roman" w:hAnsi="Times New Roman" w:eastAsia="仿宋_GB2312" w:cs="Times New Roman"/>
          <w:color w:val="auto"/>
          <w:sz w:val="24"/>
          <w:szCs w:val="24"/>
          <w:lang w:val="en-US" w:eastAsia="zh-CN"/>
        </w:rPr>
        <w:t>仪陇县</w:t>
      </w:r>
      <w:r>
        <w:rPr>
          <w:rFonts w:hint="eastAsia" w:ascii="Times New Roman" w:hAnsi="Times New Roman" w:eastAsia="仿宋_GB2312" w:cs="Times New Roman"/>
          <w:color w:val="auto"/>
          <w:sz w:val="24"/>
          <w:szCs w:val="24"/>
        </w:rPr>
        <w:t>全境均属嘉陵江及沱江中下游国家级水土流失重点治理区，工程选址（线）无法避让。本方案通过提高防治标准（包括截排水工程、拦挡工程的工程等级和防洪标准提高一级；提高植物措施标准，林草覆盖率提高2个百分点），优化施工工艺（控制施工扰动范围，减少大挖大填），严格控制地表扰动和植被损坏范围，可有效控制新增水土流失，符合水土保持相关要求。</w:t>
      </w:r>
    </w:p>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3.1.2.4  项目经过水土流失重点预防区和重点治理区分析</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项目涉及的</w:t>
      </w:r>
      <w:r>
        <w:rPr>
          <w:rFonts w:hint="eastAsia" w:ascii="Times New Roman" w:hAnsi="Times New Roman" w:eastAsia="仿宋_GB2312" w:cs="Times New Roman"/>
          <w:color w:val="auto"/>
          <w:sz w:val="24"/>
          <w:szCs w:val="24"/>
          <w:lang w:val="en-US" w:eastAsia="zh-CN"/>
        </w:rPr>
        <w:t>仪陇</w:t>
      </w:r>
      <w:r>
        <w:rPr>
          <w:rFonts w:ascii="Times New Roman" w:hAnsi="Times New Roman" w:eastAsia="仿宋_GB2312" w:cs="Times New Roman"/>
          <w:color w:val="auto"/>
          <w:sz w:val="24"/>
          <w:szCs w:val="24"/>
        </w:rPr>
        <w:t>县全境属</w:t>
      </w:r>
      <w:r>
        <w:rPr>
          <w:rFonts w:hint="eastAsia" w:ascii="Times New Roman" w:hAnsi="Times New Roman" w:eastAsia="仿宋_GB2312" w:cs="Times New Roman"/>
          <w:color w:val="auto"/>
          <w:sz w:val="24"/>
          <w:szCs w:val="24"/>
        </w:rPr>
        <w:t>嘉陵江及沱江中下游国家级水土流失重点治理区</w:t>
      </w:r>
      <w:r>
        <w:rPr>
          <w:rFonts w:ascii="Times New Roman" w:hAnsi="Times New Roman" w:eastAsia="仿宋_GB2312" w:cs="Times New Roman"/>
          <w:color w:val="auto"/>
          <w:sz w:val="24"/>
          <w:szCs w:val="24"/>
        </w:rPr>
        <w:t>，项目选址（线）无法避让国家级水土流失重点治理区和省级水土流失重点治理区。本项目水土流失防治标准采取西南紫色土区一级防治标准，并提高植物措施标准，提高林草覆盖率和截排水工程、拦挡工程的工程等级和防洪标准，符合水土保持要求。</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设计在初步设计阶段对本方案对工程占地进行了复核优化，主体设计对站场等采取阶梯式布置，减少了土石方挖填量，土石方就地综合利用，符合水土保持要求。主体设计对截排水工程、拦挡工程的工程等级和防洪标准均提高一级，符合水土保持要求。</w:t>
      </w:r>
    </w:p>
    <w:p>
      <w:pPr>
        <w:pStyle w:val="2"/>
        <w:ind w:firstLine="480"/>
        <w:rPr>
          <w:rFonts w:ascii="Times New Roman" w:hAnsi="Times New Roman"/>
          <w:color w:val="auto"/>
        </w:rPr>
      </w:pPr>
      <w:r>
        <w:rPr>
          <w:rFonts w:ascii="Times New Roman" w:hAnsi="Times New Roman"/>
          <w:color w:val="auto"/>
          <w:sz w:val="24"/>
        </w:rPr>
        <w:t>综合，项目虽然无法避让省级水土流失重点治理区，但通过主体设计和本方案采取的优化方案，并提高防护工程等级和防治标准，</w:t>
      </w:r>
      <w:r>
        <w:rPr>
          <w:rFonts w:hint="eastAsia" w:ascii="Times New Roman" w:hAnsi="Times New Roman"/>
          <w:color w:val="auto"/>
          <w:sz w:val="24"/>
          <w:lang w:val="en-US" w:eastAsia="zh-CN"/>
        </w:rPr>
        <w:t>可</w:t>
      </w:r>
      <w:r>
        <w:rPr>
          <w:rFonts w:ascii="Times New Roman" w:hAnsi="Times New Roman"/>
          <w:color w:val="auto"/>
          <w:sz w:val="24"/>
        </w:rPr>
        <w:t>满足水土保持要求。</w:t>
      </w:r>
    </w:p>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3.1.2.5  结论及建议</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（1）本项目建设符合国家现行产业政策，符合当地的发展规划。</w:t>
      </w:r>
    </w:p>
    <w:p>
      <w:pPr>
        <w:widowControl w:val="0"/>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本项目主体工程选址不涉及河流两岸、湖泊和水库周边的植物保护带，不再涉及全国水土保持监测网络中的水土保持监测站、重点试验区及国家确定的水土保持长期定位观测站，但无法避让沱江下游省级水土流失重点治理区，方案提高防治标准，提出水土保持防护措施及施工管理建议，从水土保持角度来看，通过提高防治标准，采取积极的水土保持措施，加强工程施工期间的临</w:t>
      </w:r>
      <w:r>
        <w:rPr>
          <w:rFonts w:hint="eastAsia" w:ascii="Times New Roman" w:hAnsi="Times New Roman" w:eastAsia="仿宋_GB2312" w:cs="Times New Roman"/>
          <w:color w:val="auto"/>
          <w:sz w:val="24"/>
          <w:szCs w:val="24"/>
          <w:lang w:val="en-US" w:eastAsia="zh-CN"/>
        </w:rPr>
        <w:t xml:space="preserve"> </w:t>
      </w:r>
      <w:r>
        <w:rPr>
          <w:rFonts w:ascii="Times New Roman" w:hAnsi="Times New Roman" w:eastAsia="仿宋_GB2312" w:cs="Times New Roman"/>
          <w:color w:val="auto"/>
          <w:sz w:val="24"/>
          <w:szCs w:val="24"/>
        </w:rPr>
        <w:t>时防护以及管控，可以将不利影响降到最低。</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（3）工程选址（线）不涉及饮用水源保护区、水功能一级区的保护区和保留区、自然保护区、世界文化和自然遗产地、风景名胜区、地质公园、森林公园、重要湿地以及人文古迹等其他水土保持敏感地区。</w:t>
      </w:r>
    </w:p>
    <w:p>
      <w:pPr>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snapToGrid w:val="0"/>
          <w:color w:val="auto"/>
          <w:sz w:val="24"/>
          <w:szCs w:val="24"/>
        </w:rPr>
        <w:t>综上所述，</w:t>
      </w:r>
      <w:r>
        <w:rPr>
          <w:rFonts w:ascii="Times New Roman" w:hAnsi="Times New Roman" w:eastAsia="仿宋_GB2312" w:cs="Times New Roman"/>
          <w:color w:val="auto"/>
          <w:sz w:val="24"/>
          <w:szCs w:val="24"/>
        </w:rPr>
        <w:t>本工程</w:t>
      </w:r>
      <w:r>
        <w:rPr>
          <w:rFonts w:ascii="Times New Roman" w:hAnsi="Times New Roman" w:eastAsia="仿宋_GB2312" w:cs="Times New Roman"/>
          <w:snapToGrid w:val="0"/>
          <w:color w:val="auto"/>
          <w:sz w:val="24"/>
          <w:szCs w:val="24"/>
        </w:rPr>
        <w:t>选址</w:t>
      </w:r>
      <w:r>
        <w:rPr>
          <w:rFonts w:ascii="Times New Roman" w:hAnsi="Times New Roman" w:eastAsia="仿宋_GB2312" w:cs="Times New Roman"/>
          <w:color w:val="auto"/>
          <w:sz w:val="24"/>
          <w:szCs w:val="24"/>
        </w:rPr>
        <w:t>满足</w:t>
      </w:r>
      <w:r>
        <w:rPr>
          <w:rFonts w:ascii="Times New Roman" w:hAnsi="Times New Roman" w:eastAsia="仿宋_GB2312" w:cs="Times New Roman"/>
          <w:snapToGrid w:val="0"/>
          <w:color w:val="auto"/>
          <w:sz w:val="24"/>
          <w:szCs w:val="24"/>
        </w:rPr>
        <w:t>《中华人民共和国水土保持法》、《生产建设项目水土保持技术标准</w:t>
      </w:r>
      <w:r>
        <w:rPr>
          <w:rFonts w:ascii="Times New Roman" w:hAnsi="Times New Roman" w:eastAsia="仿宋_GB2312" w:cs="Times New Roman"/>
          <w:color w:val="auto"/>
          <w:sz w:val="24"/>
          <w:szCs w:val="24"/>
        </w:rPr>
        <w:t>（GB50433-2018）》中有关</w:t>
      </w:r>
      <w:r>
        <w:rPr>
          <w:rFonts w:ascii="Times New Roman" w:hAnsi="Times New Roman" w:eastAsia="仿宋_GB2312" w:cs="Times New Roman"/>
          <w:snapToGrid w:val="0"/>
          <w:color w:val="auto"/>
          <w:sz w:val="24"/>
          <w:szCs w:val="24"/>
        </w:rPr>
        <w:t>规范性文件中的规定</w:t>
      </w:r>
      <w:r>
        <w:rPr>
          <w:rFonts w:ascii="Times New Roman" w:hAnsi="Times New Roman" w:eastAsia="仿宋_GB2312" w:cs="Times New Roman"/>
          <w:color w:val="auto"/>
          <w:sz w:val="24"/>
          <w:szCs w:val="24"/>
        </w:rPr>
        <w:t>。</w:t>
      </w:r>
      <w:r>
        <w:rPr>
          <w:rFonts w:ascii="Times New Roman" w:hAnsi="Times New Roman" w:eastAsia="仿宋_GB2312" w:cs="Times New Roman"/>
          <w:bCs/>
          <w:color w:val="auto"/>
          <w:sz w:val="24"/>
          <w:szCs w:val="24"/>
        </w:rPr>
        <w:t>因此，本工程不存在水土保持方面的制约性因素。</w:t>
      </w:r>
    </w:p>
    <w:p>
      <w:pPr>
        <w:keepNext/>
        <w:keepLines/>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188" w:name="_Toc8379066"/>
      <w:bookmarkStart w:id="189" w:name="_Toc74588738"/>
      <w:bookmarkStart w:id="190" w:name="_Toc5698793"/>
      <w:bookmarkStart w:id="191" w:name="_Toc74588687"/>
      <w:bookmarkStart w:id="192" w:name="_Toc5725739"/>
      <w:r>
        <w:rPr>
          <w:rFonts w:ascii="Times New Roman" w:hAnsi="Times New Roman" w:eastAsia="仿宋_GB2312" w:cs="Times New Roman"/>
          <w:b/>
          <w:color w:val="auto"/>
          <w:sz w:val="30"/>
          <w:szCs w:val="30"/>
          <w:lang w:val="zh-CN"/>
        </w:rPr>
        <w:t>3.2建设方案与布局水土保持评价</w:t>
      </w:r>
      <w:bookmarkEnd w:id="188"/>
      <w:bookmarkEnd w:id="189"/>
      <w:bookmarkEnd w:id="190"/>
      <w:bookmarkEnd w:id="191"/>
      <w:bookmarkEnd w:id="192"/>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193" w:name="_Toc5725740"/>
      <w:bookmarkStart w:id="194" w:name="_Toc5720150"/>
      <w:bookmarkStart w:id="195" w:name="_Toc5720779"/>
      <w:bookmarkStart w:id="196" w:name="_Toc5698794"/>
      <w:r>
        <w:rPr>
          <w:rFonts w:ascii="Times New Roman" w:hAnsi="Times New Roman" w:eastAsia="仿宋_GB2312" w:cs="Times New Roman"/>
          <w:b/>
          <w:bCs/>
          <w:color w:val="auto"/>
          <w:kern w:val="0"/>
          <w:sz w:val="28"/>
          <w:szCs w:val="28"/>
          <w:lang w:val="zh-CN"/>
        </w:rPr>
        <w:t>3.2.1建</w:t>
      </w:r>
      <w:bookmarkEnd w:id="193"/>
      <w:bookmarkEnd w:id="194"/>
      <w:bookmarkEnd w:id="195"/>
      <w:bookmarkEnd w:id="196"/>
      <w:r>
        <w:rPr>
          <w:rFonts w:ascii="Times New Roman" w:hAnsi="Times New Roman" w:eastAsia="仿宋_GB2312" w:cs="Times New Roman"/>
          <w:b/>
          <w:bCs/>
          <w:color w:val="auto"/>
          <w:kern w:val="0"/>
          <w:sz w:val="28"/>
          <w:szCs w:val="28"/>
          <w:lang w:val="zh-CN"/>
        </w:rPr>
        <w:t>设方案评价</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本项目为</w:t>
      </w:r>
      <w:r>
        <w:rPr>
          <w:rFonts w:hint="eastAsia" w:ascii="Times New Roman" w:hAnsi="Times New Roman" w:eastAsia="仿宋_GB2312" w:cs="Times New Roman"/>
          <w:color w:val="auto"/>
          <w:sz w:val="24"/>
          <w:szCs w:val="24"/>
          <w:lang w:val="en-US" w:eastAsia="zh-CN"/>
        </w:rPr>
        <w:t>点</w:t>
      </w:r>
      <w:r>
        <w:rPr>
          <w:rFonts w:ascii="Times New Roman" w:hAnsi="Times New Roman" w:eastAsia="仿宋_GB2312" w:cs="Times New Roman"/>
          <w:color w:val="auto"/>
          <w:sz w:val="24"/>
          <w:szCs w:val="24"/>
        </w:rPr>
        <w:t>型项目，位于丘陵区，项目沿线涉及的</w:t>
      </w:r>
      <w:r>
        <w:rPr>
          <w:rFonts w:hint="eastAsia" w:ascii="Times New Roman" w:hAnsi="Times New Roman" w:eastAsia="仿宋_GB2312" w:cs="Times New Roman"/>
          <w:color w:val="auto"/>
          <w:sz w:val="24"/>
          <w:szCs w:val="24"/>
          <w:lang w:val="en-US" w:eastAsia="zh-CN"/>
        </w:rPr>
        <w:t>仪陇</w:t>
      </w:r>
      <w:r>
        <w:rPr>
          <w:rFonts w:ascii="Times New Roman" w:hAnsi="Times New Roman" w:eastAsia="仿宋_GB2312" w:cs="Times New Roman"/>
          <w:color w:val="auto"/>
          <w:sz w:val="24"/>
          <w:szCs w:val="24"/>
        </w:rPr>
        <w:t>县全境均属</w:t>
      </w:r>
      <w:r>
        <w:rPr>
          <w:rFonts w:hint="eastAsia" w:ascii="Times New Roman" w:hAnsi="Times New Roman" w:eastAsia="仿宋_GB2312" w:cs="Times New Roman"/>
          <w:color w:val="auto"/>
          <w:sz w:val="24"/>
          <w:szCs w:val="24"/>
        </w:rPr>
        <w:t>嘉陵江及沱江中下游国家级水土流失重点治理区</w:t>
      </w:r>
      <w:r>
        <w:rPr>
          <w:rFonts w:ascii="Times New Roman" w:hAnsi="Times New Roman" w:eastAsia="仿宋_GB2312" w:cs="Times New Roman"/>
          <w:color w:val="auto"/>
          <w:sz w:val="24"/>
          <w:szCs w:val="24"/>
        </w:rPr>
        <w:t>，工程选址（线）无法避让。建设方案从以下4个方面进行了优化补救：</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1、优化方案及施工工艺</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井场建设充分考虑所在地地形地貌，井场平整以半挖半填为主，以达到土石方平衡，减少弃渣；道路工程无填高大于20m或挖深大于30m的路段，减少地表扰动，减少土石方挖填量；施工生活采用活动板房，采用预制板基础，结构紧凑，节约占地，仅对地表进行占压，扰动较小，便于后期迹地恢复。</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2、提高防治标准</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本项目排水工程、拦挡工程的工程等级和防洪标准均提高一级；提高植物措施标准，符合水土保持要求。</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3、布设排水、沉沙措施</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本项目各施工点均考虑布设排水、沉沙措施，有效控制水土流失，符合水保要求。</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4、减少地表扰动和植被损坏范围</w:t>
      </w:r>
    </w:p>
    <w:p>
      <w:pPr>
        <w:widowControl w:val="0"/>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工程施工均严格在红线范围内及临时占地范围内进行，严禁将工程开挖弃渣乱堆乱放，对施工征地范围以外的植被、耕地等禁止乱砍滥伐和占用，减少地表扰动和植被损坏范围。</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综上所述，本项目建设方案、工程布局基本满足水土保持的要求，不足的部分本方案提出要求加以补充，无限制性因素。</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197" w:name="_Toc5720151"/>
      <w:bookmarkStart w:id="198" w:name="_Toc5698795"/>
      <w:bookmarkStart w:id="199" w:name="_Toc5725741"/>
      <w:bookmarkStart w:id="200" w:name="_Toc5720780"/>
      <w:bookmarkStart w:id="201" w:name="_Hlk14604060"/>
      <w:r>
        <w:rPr>
          <w:rFonts w:ascii="Times New Roman" w:hAnsi="Times New Roman" w:eastAsia="仿宋_GB2312" w:cs="Times New Roman"/>
          <w:b/>
          <w:bCs/>
          <w:color w:val="auto"/>
          <w:kern w:val="0"/>
          <w:sz w:val="28"/>
          <w:szCs w:val="28"/>
          <w:lang w:val="zh-CN"/>
        </w:rPr>
        <w:t>3.2.2工程占地分析评价</w:t>
      </w:r>
      <w:bookmarkEnd w:id="197"/>
      <w:bookmarkEnd w:id="198"/>
      <w:bookmarkEnd w:id="199"/>
      <w:bookmarkEnd w:id="200"/>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本项目总占地面积</w:t>
      </w:r>
      <w:r>
        <w:rPr>
          <w:rFonts w:hint="eastAsia" w:ascii="Times New Roman" w:hAnsi="Times New Roman" w:eastAsia="仿宋_GB2312" w:cs="Times New Roman"/>
          <w:color w:val="auto"/>
          <w:sz w:val="24"/>
          <w:szCs w:val="24"/>
          <w:lang w:val="en-US" w:eastAsia="zh-CN"/>
        </w:rPr>
        <w:t>1.76</w:t>
      </w:r>
      <w:r>
        <w:rPr>
          <w:rFonts w:hint="eastAsia" w:ascii="Times New Roman" w:hAnsi="Times New Roman" w:eastAsia="仿宋_GB2312" w:cs="Times New Roman"/>
          <w:color w:val="auto"/>
          <w:sz w:val="24"/>
          <w:szCs w:val="24"/>
          <w:lang w:eastAsia="zh-CN"/>
        </w:rPr>
        <w:t>hm</w:t>
      </w:r>
      <w:r>
        <w:rPr>
          <w:rFonts w:hint="eastAsia" w:ascii="Times New Roman" w:hAnsi="Times New Roman" w:eastAsia="仿宋_GB2312" w:cs="Times New Roman"/>
          <w:color w:val="auto"/>
          <w:sz w:val="24"/>
          <w:szCs w:val="24"/>
          <w:vertAlign w:val="superscript"/>
          <w:lang w:eastAsia="zh-CN"/>
        </w:rPr>
        <w:t>2</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lang w:val="en-US" w:eastAsia="zh-CN"/>
        </w:rPr>
        <w:t>全为</w:t>
      </w:r>
      <w:r>
        <w:rPr>
          <w:rFonts w:ascii="Times New Roman" w:hAnsi="Times New Roman" w:eastAsia="仿宋_GB2312" w:cs="Times New Roman"/>
          <w:color w:val="auto"/>
          <w:sz w:val="24"/>
        </w:rPr>
        <w:t>临时占地</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lang w:eastAsia="zh-CN"/>
        </w:rPr>
        <w:t>占地类型主要为</w:t>
      </w:r>
      <w:r>
        <w:rPr>
          <w:rFonts w:hint="eastAsia" w:ascii="Times New Roman" w:hAnsi="Times New Roman" w:eastAsia="仿宋_GB2312" w:cs="Times New Roman"/>
          <w:color w:val="auto"/>
          <w:sz w:val="24"/>
          <w:szCs w:val="24"/>
          <w:lang w:val="en-US" w:eastAsia="zh-CN"/>
        </w:rPr>
        <w:t>耕地（水田、旱地）、公路用地、林地</w:t>
      </w:r>
      <w:r>
        <w:rPr>
          <w:rFonts w:ascii="Times New Roman" w:hAnsi="Times New Roman" w:eastAsia="仿宋_GB2312" w:cs="Times New Roman"/>
          <w:color w:val="auto"/>
          <w:sz w:val="24"/>
        </w:rPr>
        <w:t>。</w:t>
      </w:r>
      <w:r>
        <w:rPr>
          <w:rFonts w:ascii="Times New Roman" w:hAnsi="Times New Roman" w:eastAsia="仿宋_GB2312" w:cs="Times New Roman"/>
          <w:color w:val="auto"/>
          <w:sz w:val="24"/>
          <w:szCs w:val="24"/>
        </w:rPr>
        <w:t>工程占地全部位于</w:t>
      </w:r>
      <w:r>
        <w:rPr>
          <w:rFonts w:hint="eastAsia" w:ascii="Times New Roman" w:hAnsi="Times New Roman" w:eastAsia="仿宋_GB2312" w:cs="Times New Roman"/>
          <w:color w:val="auto"/>
          <w:sz w:val="24"/>
          <w:szCs w:val="24"/>
          <w:lang w:val="en-US" w:eastAsia="zh-CN"/>
        </w:rPr>
        <w:t>仪陇</w:t>
      </w:r>
      <w:r>
        <w:rPr>
          <w:rFonts w:ascii="Times New Roman" w:hAnsi="Times New Roman" w:eastAsia="仿宋_GB2312" w:cs="Times New Roman"/>
          <w:color w:val="auto"/>
          <w:sz w:val="24"/>
          <w:szCs w:val="24"/>
        </w:rPr>
        <w:t>县境内。</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本工程充分利用土地资源，节约使用土地，井场及附属工程、施工生产生活区及道路工程施工场地均在主体设计占地范围内解决，不另外征地。</w:t>
      </w:r>
    </w:p>
    <w:p>
      <w:pPr>
        <w:spacing w:line="360" w:lineRule="auto"/>
        <w:ind w:firstLine="460" w:firstLineChars="192"/>
        <w:rPr>
          <w:rFonts w:ascii="Times New Roman" w:hAnsi="Times New Roman" w:eastAsia="仿宋_GB2312" w:cs="Times New Roman"/>
          <w:color w:val="auto"/>
          <w:sz w:val="24"/>
          <w:szCs w:val="24"/>
        </w:rPr>
      </w:pPr>
      <w:bookmarkStart w:id="202" w:name="_Toc5698796"/>
      <w:bookmarkStart w:id="203" w:name="_Toc5725742"/>
      <w:bookmarkStart w:id="204" w:name="_Toc5720152"/>
      <w:bookmarkStart w:id="205" w:name="_Toc5720781"/>
      <w:r>
        <w:rPr>
          <w:rFonts w:ascii="Times New Roman" w:hAnsi="Times New Roman" w:eastAsia="仿宋_GB2312" w:cs="Times New Roman"/>
          <w:color w:val="auto"/>
          <w:sz w:val="24"/>
          <w:szCs w:val="24"/>
        </w:rPr>
        <w:t>（1）占地性质和占地类型合理性分析</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根据《土地利用现状分类》（GB/T21010-2017），工程占地范围内的土地利用类型为耕地，根据国土资源部、国家发展和改革委员会“关于发布实施《限制用地项目目录》和《禁止用地项目目录》的通知”，本项目属于国家重点扶持的能源基础设施用地项目，不属于国家限制和禁止用地项目，符合国家用地政策。</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施工</w:t>
      </w:r>
      <w:r>
        <w:rPr>
          <w:rFonts w:hint="eastAsia" w:ascii="Times New Roman" w:hAnsi="Times New Roman" w:eastAsia="仿宋_GB2312" w:cs="Times New Roman"/>
          <w:color w:val="auto"/>
          <w:sz w:val="24"/>
          <w:szCs w:val="24"/>
          <w:lang w:eastAsia="zh-CN"/>
        </w:rPr>
        <w:t>临时生活区</w:t>
      </w:r>
      <w:r>
        <w:rPr>
          <w:rFonts w:ascii="Times New Roman" w:hAnsi="Times New Roman" w:eastAsia="仿宋_GB2312" w:cs="Times New Roman"/>
          <w:color w:val="auto"/>
          <w:sz w:val="24"/>
          <w:szCs w:val="24"/>
        </w:rPr>
        <w:t>占地</w:t>
      </w:r>
      <w:r>
        <w:rPr>
          <w:rFonts w:hint="eastAsia" w:ascii="Times New Roman" w:hAnsi="Times New Roman" w:eastAsia="仿宋_GB2312" w:cs="Times New Roman"/>
          <w:color w:val="auto"/>
          <w:sz w:val="24"/>
          <w:szCs w:val="24"/>
          <w:lang w:val="en-US" w:eastAsia="zh-CN"/>
        </w:rPr>
        <w:t>0.23</w:t>
      </w:r>
      <w:r>
        <w:rPr>
          <w:rFonts w:hint="eastAsia" w:ascii="Times New Roman" w:hAnsi="Times New Roman" w:eastAsia="仿宋_GB2312" w:cs="Times New Roman"/>
          <w:color w:val="auto"/>
          <w:sz w:val="24"/>
          <w:szCs w:val="24"/>
          <w:lang w:eastAsia="zh-CN"/>
        </w:rPr>
        <w:t>hm</w:t>
      </w:r>
      <w:r>
        <w:rPr>
          <w:rFonts w:hint="eastAsia" w:ascii="Times New Roman" w:hAnsi="Times New Roman" w:eastAsia="仿宋_GB2312" w:cs="Times New Roman"/>
          <w:color w:val="auto"/>
          <w:sz w:val="24"/>
          <w:szCs w:val="24"/>
          <w:vertAlign w:val="superscript"/>
          <w:lang w:eastAsia="zh-CN"/>
        </w:rPr>
        <w:t>2</w:t>
      </w:r>
      <w:r>
        <w:rPr>
          <w:rFonts w:ascii="Times New Roman" w:hAnsi="Times New Roman" w:eastAsia="仿宋_GB2312" w:cs="Times New Roman"/>
          <w:color w:val="auto"/>
          <w:sz w:val="24"/>
          <w:szCs w:val="24"/>
        </w:rPr>
        <w:t>，距离井口大于100m，满足《钻井工程及井场布置技术要求》，位置布置合理；表土堆放场占地0.</w:t>
      </w:r>
      <w:r>
        <w:rPr>
          <w:rFonts w:hint="eastAsia" w:ascii="Times New Roman" w:hAnsi="Times New Roman" w:eastAsia="仿宋_GB2312" w:cs="Times New Roman"/>
          <w:color w:val="auto"/>
          <w:sz w:val="24"/>
          <w:szCs w:val="24"/>
          <w:lang w:val="en-US" w:eastAsia="zh-CN"/>
        </w:rPr>
        <w:t>10</w:t>
      </w:r>
      <w:r>
        <w:rPr>
          <w:rFonts w:hint="eastAsia" w:ascii="Times New Roman" w:hAnsi="Times New Roman" w:eastAsia="仿宋_GB2312" w:cs="Times New Roman"/>
          <w:color w:val="auto"/>
          <w:sz w:val="24"/>
          <w:szCs w:val="24"/>
          <w:lang w:eastAsia="zh-CN"/>
        </w:rPr>
        <w:t>hm</w:t>
      </w:r>
      <w:r>
        <w:rPr>
          <w:rFonts w:hint="eastAsia" w:ascii="Times New Roman" w:hAnsi="Times New Roman" w:eastAsia="仿宋_GB2312" w:cs="Times New Roman"/>
          <w:color w:val="auto"/>
          <w:sz w:val="24"/>
          <w:szCs w:val="24"/>
          <w:vertAlign w:val="superscript"/>
          <w:lang w:eastAsia="zh-CN"/>
        </w:rPr>
        <w:t>2</w:t>
      </w:r>
      <w:r>
        <w:rPr>
          <w:rFonts w:ascii="Times New Roman" w:hAnsi="Times New Roman" w:eastAsia="仿宋_GB2312" w:cs="Times New Roman"/>
          <w:color w:val="auto"/>
          <w:sz w:val="24"/>
          <w:szCs w:val="24"/>
        </w:rPr>
        <w:t>，</w:t>
      </w:r>
      <w:r>
        <w:rPr>
          <w:rFonts w:ascii="Times New Roman" w:hAnsi="Times New Roman" w:eastAsia="仿宋_GB2312" w:cs="Times New Roman"/>
          <w:color w:val="auto"/>
          <w:sz w:val="24"/>
          <w:szCs w:val="24"/>
          <w:highlight w:val="none"/>
        </w:rPr>
        <w:t>布置在</w:t>
      </w:r>
      <w:r>
        <w:rPr>
          <w:rFonts w:hint="eastAsia" w:ascii="Times New Roman" w:hAnsi="Times New Roman" w:eastAsia="仿宋_GB2312" w:cs="Times New Roman"/>
          <w:color w:val="auto"/>
          <w:sz w:val="24"/>
          <w:szCs w:val="24"/>
          <w:highlight w:val="none"/>
          <w:lang w:val="en-US" w:eastAsia="zh-CN"/>
        </w:rPr>
        <w:t>井场右侧</w:t>
      </w:r>
      <w:r>
        <w:rPr>
          <w:rFonts w:ascii="Times New Roman" w:hAnsi="Times New Roman" w:eastAsia="仿宋_GB2312" w:cs="Times New Roman"/>
          <w:color w:val="auto"/>
          <w:sz w:val="24"/>
          <w:szCs w:val="24"/>
          <w:highlight w:val="none"/>
        </w:rPr>
        <w:t>，</w:t>
      </w:r>
      <w:r>
        <w:rPr>
          <w:rFonts w:ascii="Times New Roman" w:hAnsi="Times New Roman" w:eastAsia="仿宋_GB2312" w:cs="Times New Roman"/>
          <w:color w:val="auto"/>
          <w:sz w:val="24"/>
          <w:szCs w:val="24"/>
        </w:rPr>
        <w:t>便于临时堆土及后期覆土。施工临时占地区虽位于耕地内，但都是临时占地，施工期将采取水保措施，减少水土流失量，施工后期会进行植被恢复和复耕，对项目区周边影响较小，符合水土保持相关规定。</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综上所述，本工程占地面积控制严格，同时在施工结束后采取一定的恢复措施，基本可以满足用地要求；占地面积尽量控制在征地红线范围内，对周边产生的影响较小，符合水土保持少占土地的原则；对于临时占地在使用后尽量恢复至原状，符合水土保持要求。但项目实施过程中，还应加强项目占地范围监督和管理。</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（2）占地面积合理性分析</w:t>
      </w:r>
    </w:p>
    <w:p>
      <w:pPr>
        <w:widowControl w:val="0"/>
        <w:spacing w:line="360" w:lineRule="auto"/>
        <w:ind w:firstLine="460" w:firstLineChars="192"/>
        <w:rPr>
          <w:rFonts w:hint="eastAsia" w:ascii="Times New Roman" w:hAnsi="Times New Roman" w:eastAsia="仿宋_GB2312" w:cs="Times New Roman"/>
          <w:color w:val="auto"/>
          <w:sz w:val="24"/>
          <w:szCs w:val="24"/>
          <w:lang w:val="en-US" w:eastAsia="zh-CN"/>
        </w:rPr>
      </w:pPr>
      <w:r>
        <w:rPr>
          <w:rFonts w:ascii="Times New Roman" w:hAnsi="Times New Roman" w:eastAsia="仿宋_GB2312" w:cs="Times New Roman"/>
          <w:color w:val="auto"/>
          <w:sz w:val="24"/>
          <w:szCs w:val="24"/>
        </w:rPr>
        <w:t>根据《石油天然气工程项目用地控制指标》：3.2.1和3.2.2采气井场用地同采油井场用地一样，根据地貌条件分别考虑钻井作业井场和井下作业井场两种情况，因此其用地指标的确定方法同采油井场用地指标。根据《钻井井场、设备、作业安全技术规程》关于井场安全要求，本工程井场的有效使用面积宜满足10000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的要求（不包括活动住房、其他建筑电力线、通信线、井场外管线等井场附属设施的占地面积），本工程实际有效使用面积小于规定有效使用面积，符合相关规定</w:t>
      </w:r>
      <w:r>
        <w:rPr>
          <w:rFonts w:hint="eastAsia" w:ascii="Times New Roman" w:hAnsi="Times New Roman" w:eastAsia="仿宋_GB2312" w:cs="Times New Roman"/>
          <w:color w:val="auto"/>
          <w:sz w:val="24"/>
          <w:szCs w:val="24"/>
          <w:lang w:eastAsia="zh-CN"/>
        </w:rPr>
        <w:t>。</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故本方案认为，本工程占用土地的水土流失影响有限，占地规划是可行的。</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3.2.3土石方平衡评价</w:t>
      </w:r>
      <w:bookmarkEnd w:id="202"/>
      <w:bookmarkEnd w:id="203"/>
      <w:bookmarkEnd w:id="204"/>
      <w:bookmarkEnd w:id="205"/>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根据主体设计资料分析及现场踏勘复核，经土石方平衡分析，本工程挖方总量</w:t>
      </w:r>
      <w:r>
        <w:rPr>
          <w:rFonts w:hint="eastAsia" w:ascii="Times New Roman" w:hAnsi="Times New Roman" w:eastAsia="仿宋_GB2312" w:cs="Times New Roman"/>
          <w:color w:val="auto"/>
          <w:sz w:val="24"/>
          <w:szCs w:val="24"/>
          <w:lang w:val="en-US" w:eastAsia="zh-CN"/>
        </w:rPr>
        <w:t>2.13万</w:t>
      </w:r>
      <w:r>
        <w:rPr>
          <w:rFonts w:ascii="Times New Roman" w:hAnsi="Times New Roman" w:eastAsia="仿宋_GB2312" w:cs="Times New Roman"/>
          <w:color w:val="auto"/>
          <w:sz w:val="24"/>
          <w:szCs w:val="24"/>
        </w:rPr>
        <w:t>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（自然方，下同，含表土剥离</w:t>
      </w:r>
      <w:r>
        <w:rPr>
          <w:rFonts w:hint="eastAsia" w:ascii="Times New Roman" w:hAnsi="Times New Roman" w:eastAsia="仿宋_GB2312" w:cs="Times New Roman"/>
          <w:color w:val="auto"/>
          <w:sz w:val="24"/>
          <w:szCs w:val="24"/>
          <w:lang w:val="en-US" w:eastAsia="zh-CN"/>
        </w:rPr>
        <w:t>0.54万</w:t>
      </w:r>
      <w:r>
        <w:rPr>
          <w:rFonts w:ascii="Times New Roman" w:hAnsi="Times New Roman" w:eastAsia="仿宋_GB2312" w:cs="Times New Roman"/>
          <w:color w:val="auto"/>
          <w:sz w:val="24"/>
          <w:szCs w:val="24"/>
        </w:rPr>
        <w:t>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），总填方量</w:t>
      </w:r>
      <w:r>
        <w:rPr>
          <w:rFonts w:hint="eastAsia" w:ascii="Times New Roman" w:hAnsi="Times New Roman" w:eastAsia="仿宋_GB2312" w:cs="Times New Roman"/>
          <w:color w:val="auto"/>
          <w:sz w:val="24"/>
          <w:szCs w:val="24"/>
          <w:lang w:val="en-US" w:eastAsia="zh-CN"/>
        </w:rPr>
        <w:t>2.13万</w:t>
      </w:r>
      <w:r>
        <w:rPr>
          <w:rFonts w:ascii="Times New Roman" w:hAnsi="Times New Roman" w:eastAsia="仿宋_GB2312" w:cs="Times New Roman"/>
          <w:color w:val="auto"/>
          <w:sz w:val="24"/>
          <w:szCs w:val="24"/>
        </w:rPr>
        <w:t>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（含表土利用</w:t>
      </w:r>
      <w:r>
        <w:rPr>
          <w:rFonts w:hint="eastAsia" w:ascii="Times New Roman" w:hAnsi="Times New Roman" w:eastAsia="仿宋_GB2312" w:cs="Times New Roman"/>
          <w:color w:val="auto"/>
          <w:sz w:val="24"/>
          <w:szCs w:val="24"/>
          <w:lang w:val="en-US" w:eastAsia="zh-CN"/>
        </w:rPr>
        <w:t>0.54万</w:t>
      </w:r>
      <w:r>
        <w:rPr>
          <w:rFonts w:ascii="Times New Roman" w:hAnsi="Times New Roman" w:eastAsia="仿宋_GB2312" w:cs="Times New Roman"/>
          <w:color w:val="auto"/>
          <w:sz w:val="24"/>
          <w:szCs w:val="24"/>
        </w:rPr>
        <w:t>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vertAlign w:val="baseline"/>
          <w:lang w:val="en-US" w:eastAsia="zh-CN"/>
        </w:rPr>
        <w:t>，本项目建设最终无借方、无弃方</w:t>
      </w:r>
      <w:r>
        <w:rPr>
          <w:rFonts w:ascii="Times New Roman" w:hAnsi="Times New Roman" w:eastAsia="仿宋_GB2312" w:cs="Times New Roman"/>
          <w:color w:val="auto"/>
          <w:sz w:val="24"/>
          <w:szCs w:val="24"/>
        </w:rPr>
        <w:t>。</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1、表土平衡评价</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根据对工程表土可剥离区域、剥离量的分析，结合项目区地形条件、施工方法、表土层厚度，以及目前的技术经济条件，按照“应剥尽剥”的原则，对工程占地范围内表土进行了剥离，共计</w:t>
      </w:r>
      <w:r>
        <w:rPr>
          <w:rFonts w:hint="eastAsia" w:ascii="Times New Roman" w:hAnsi="Times New Roman" w:eastAsia="仿宋_GB2312" w:cs="Times New Roman"/>
          <w:color w:val="auto"/>
          <w:sz w:val="24"/>
          <w:szCs w:val="24"/>
          <w:lang w:val="en-US" w:eastAsia="zh-CN"/>
        </w:rPr>
        <w:t>0.54万</w:t>
      </w:r>
      <w:r>
        <w:rPr>
          <w:rFonts w:ascii="Times New Roman" w:hAnsi="Times New Roman" w:eastAsia="仿宋_GB2312" w:cs="Times New Roman"/>
          <w:color w:val="auto"/>
          <w:sz w:val="24"/>
          <w:szCs w:val="24"/>
        </w:rPr>
        <w:t>m</w:t>
      </w:r>
      <w:r>
        <w:rPr>
          <w:rFonts w:hint="eastAsia" w:ascii="Times New Roman" w:hAnsi="Times New Roman" w:eastAsia="仿宋_GB2312" w:cs="Times New Roman"/>
          <w:color w:val="auto"/>
          <w:sz w:val="24"/>
          <w:szCs w:val="24"/>
          <w:vertAlign w:val="superscript"/>
          <w:lang w:val="en-US" w:eastAsia="zh-CN"/>
        </w:rPr>
        <w:t>3</w:t>
      </w:r>
      <w:r>
        <w:rPr>
          <w:rFonts w:ascii="Times New Roman" w:hAnsi="Times New Roman" w:eastAsia="仿宋_GB2312" w:cs="Times New Roman"/>
          <w:color w:val="auto"/>
          <w:sz w:val="24"/>
          <w:szCs w:val="24"/>
        </w:rPr>
        <w:t>，剥离表土满足主体工程绿化及临时设施迹地恢复覆土的需要。对于表土堆放场对地表施工扰动程度较低的区域可不进行表土剥离，采取铺垫等保护措施。表土资源得到了有效保护，符合水土保持相关要求。</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2、土石方平衡评价</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本项目土石方主要来自于井场及配套工程，其次是道路工程。本项目剥离的表土满足本工程后期绿化覆土的需求，工程开挖土石方优先综合利用，本项目土石方流向合理。</w:t>
      </w:r>
    </w:p>
    <w:p>
      <w:pPr>
        <w:snapToGrid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主体设计中，各工程土石方挖填根据实际地形计算，计算结果较为准确；不同工程间土石方调配综合利用，实现挖填平衡，</w:t>
      </w:r>
      <w:r>
        <w:rPr>
          <w:rFonts w:hint="eastAsia" w:ascii="Times New Roman" w:hAnsi="Times New Roman" w:eastAsia="仿宋_GB2312" w:cs="Times New Roman"/>
          <w:color w:val="auto"/>
          <w:sz w:val="24"/>
          <w:szCs w:val="24"/>
          <w:lang w:val="en-US" w:eastAsia="zh-CN"/>
        </w:rPr>
        <w:t>剩余方量拉运至丰光村处理，</w:t>
      </w:r>
      <w:r>
        <w:rPr>
          <w:rFonts w:ascii="Times New Roman" w:hAnsi="Times New Roman" w:eastAsia="仿宋_GB2312" w:cs="Times New Roman"/>
          <w:color w:val="auto"/>
          <w:sz w:val="24"/>
          <w:szCs w:val="24"/>
        </w:rPr>
        <w:t>不设弃渣场；井场场平充分考虑当地地形，以半挖半填为主，尽可能平衡挖填方，并减少挖填方量。开挖土石方首先考虑在各区域间综合调配，满足施工时序。本项目土石方调配合理可行，土石方基本平衡，减少了远距离输送产生的水土流失。</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综上，主体工程对土石方进行了合理的平衡与调配，充分利用表土，开挖土方尽量就地利用，回填方来自本工程挖方。土石方流向合理，符合水土保持的要求。</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3.2.4取土（石、砂）场设置评价</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项目建设过程中的砂石料及其它建筑材料全部外购，料场开采及物料运输过程中相关的水土流失防治责任由建材经营方负责。</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r>
        <w:rPr>
          <w:rFonts w:ascii="Times New Roman" w:hAnsi="Times New Roman" w:eastAsia="仿宋_GB2312" w:cs="Times New Roman"/>
          <w:b/>
          <w:bCs/>
          <w:color w:val="auto"/>
          <w:kern w:val="0"/>
          <w:sz w:val="28"/>
          <w:szCs w:val="28"/>
          <w:lang w:val="zh-CN"/>
        </w:rPr>
        <w:t>3.2.5弃土（石、渣、灰、矸石、尾矿）场设置评价</w:t>
      </w:r>
    </w:p>
    <w:p>
      <w:pPr>
        <w:snapToGrid w:val="0"/>
        <w:spacing w:line="360" w:lineRule="auto"/>
        <w:ind w:firstLine="480" w:firstLineChars="200"/>
        <w:rPr>
          <w:rFonts w:ascii="Times New Roman" w:hAnsi="Times New Roman" w:eastAsia="仿宋_GB2312" w:cs="Times New Roman"/>
          <w:color w:val="auto"/>
          <w:kern w:val="0"/>
          <w:sz w:val="24"/>
          <w:szCs w:val="21"/>
          <w:lang w:val="zh-CN"/>
        </w:rPr>
      </w:pPr>
      <w:r>
        <w:rPr>
          <w:rFonts w:ascii="Times New Roman" w:hAnsi="Times New Roman" w:eastAsia="仿宋_GB2312" w:cs="Times New Roman"/>
          <w:color w:val="auto"/>
          <w:kern w:val="0"/>
          <w:sz w:val="24"/>
          <w:szCs w:val="21"/>
          <w:lang w:val="zh-CN"/>
        </w:rPr>
        <w:t>本项目不设弃土场。</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206" w:name="_Toc5720155"/>
      <w:bookmarkStart w:id="207" w:name="_Toc5725745"/>
      <w:bookmarkStart w:id="208" w:name="_Toc5698799"/>
      <w:bookmarkStart w:id="209" w:name="_Toc5720784"/>
      <w:r>
        <w:rPr>
          <w:rFonts w:ascii="Times New Roman" w:hAnsi="Times New Roman" w:eastAsia="仿宋_GB2312" w:cs="Times New Roman"/>
          <w:b/>
          <w:bCs/>
          <w:color w:val="auto"/>
          <w:kern w:val="0"/>
          <w:sz w:val="28"/>
          <w:szCs w:val="28"/>
          <w:lang w:val="zh-CN"/>
        </w:rPr>
        <w:t>3.2.</w:t>
      </w:r>
      <w:r>
        <w:rPr>
          <w:rFonts w:ascii="Times New Roman" w:hAnsi="Times New Roman" w:eastAsia="仿宋_GB2312" w:cs="Times New Roman"/>
          <w:b/>
          <w:bCs/>
          <w:color w:val="auto"/>
          <w:kern w:val="0"/>
          <w:sz w:val="28"/>
          <w:szCs w:val="28"/>
        </w:rPr>
        <w:t>6</w:t>
      </w:r>
      <w:r>
        <w:rPr>
          <w:rFonts w:ascii="Times New Roman" w:hAnsi="Times New Roman" w:eastAsia="仿宋_GB2312" w:cs="Times New Roman"/>
          <w:b/>
          <w:bCs/>
          <w:color w:val="auto"/>
          <w:kern w:val="0"/>
          <w:sz w:val="28"/>
          <w:szCs w:val="28"/>
          <w:lang w:val="zh-CN"/>
        </w:rPr>
        <w:t>施工方法与工艺评价</w:t>
      </w:r>
      <w:bookmarkEnd w:id="206"/>
      <w:bookmarkEnd w:id="207"/>
      <w:bookmarkEnd w:id="208"/>
      <w:bookmarkEnd w:id="209"/>
    </w:p>
    <w:p>
      <w:pPr>
        <w:spacing w:line="360" w:lineRule="auto"/>
        <w:ind w:firstLine="460" w:firstLineChars="192"/>
        <w:rPr>
          <w:rFonts w:ascii="Times New Roman" w:hAnsi="Times New Roman" w:eastAsia="仿宋_GB2312" w:cs="Times New Roman"/>
          <w:color w:val="auto"/>
          <w:sz w:val="24"/>
          <w:szCs w:val="24"/>
        </w:rPr>
      </w:pPr>
      <w:bookmarkStart w:id="210" w:name="_Toc5720156"/>
      <w:bookmarkStart w:id="211" w:name="_Toc5720785"/>
      <w:bookmarkStart w:id="212" w:name="_Toc5698800"/>
      <w:bookmarkStart w:id="213" w:name="_Toc5725746"/>
      <w:r>
        <w:rPr>
          <w:rFonts w:ascii="Times New Roman" w:hAnsi="Times New Roman" w:eastAsia="仿宋_GB2312" w:cs="Times New Roman"/>
          <w:color w:val="auto"/>
          <w:sz w:val="24"/>
          <w:szCs w:val="24"/>
        </w:rPr>
        <w:t>（1）施工组织的水土保持分析与评价</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本项目施工过程中加强施工组织管理，采用先进的施工方法与工艺。施工过程中采用机械施工与人工施工相结合的方法，统筹、合理、科学安排施工工序，避免重复施工和土方乱流，施工组织大纲中增加水土保持要求，施工单位严格按照施工组织大纲施工。</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道路工程选址结合地形高差和满足车辆行驶条件等因素，在施工前期，本方案新增临时防护措施，加强施工期的临时排水、覆盖等，排除多余的雨水，避免产生大量的水土流失。</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从水土流失的成因分析，雨季施工最易产生水土流失，工期安排是否合理直接决定了可能发生的水土流失量。根据施工时序安排，本项目雨季时主体工程仍然处于施工阶段，应采取相应的水土保持措施，预防和减少因雨水冲刷造成的水土流失，同时也避免了产生大量的水土流失。</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（2）施工工艺的水土保持分析与评价</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施工应尽量避开阴雨天气施工，严禁大雨期间进行开挖或回填施工，并做好防雨及排水措施，在挖方未修整前用塑料布遮盖，有效减少施工过程中的水土流失。整个场地按设计进行平整，挖方区按设计标高进行开挖，开挖从上到下分层分段依次进行，随时作一定的坡度以利泄水，尽量做到当天土方挖填平衡，减少临时堆土量。根据地质条件分析而修建的井场填方段或道路填方段的挡土墙，有利于井场的稳固和水土保持。</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项目施工过程中加强表土资源的保护，项目区施工前对项目区进行表土剥离，表土集中堆放在表土堆放场，施工完成后及时用于工程区复耕或绿化。</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（3）施工管理的水土保持分析与评价</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工程建议的施工组织形式落实了责任，明确了相互之间的关系，有利于水土保持措施和责任的落实，从水土保持角度来看是合理的。施工生产管理中还应将水土保持工程纳入招标文件和施工生产合同中，将施工过程中的防治水土流失责任落实到单位；工程监理文件中应落实水土保持建立的具体内容和要求，由监理单位控制水土保持工程的进度、质量和投资；建设单位应通过合同管理、宣传培训和检查验收等手段对水土流失防治工作进行控制；工程检查验收文件中应落实水土保持工程检查验收程序、标准和要求，在主体工程竣工验收前完成水土保持设施的专项验收。</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lang w:val="zh-CN"/>
        </w:rPr>
      </w:pPr>
      <w:bookmarkStart w:id="214" w:name="_Hlk14532846"/>
      <w:r>
        <w:rPr>
          <w:rFonts w:ascii="Times New Roman" w:hAnsi="Times New Roman" w:eastAsia="仿宋_GB2312" w:cs="Times New Roman"/>
          <w:b/>
          <w:bCs/>
          <w:color w:val="auto"/>
          <w:kern w:val="0"/>
          <w:sz w:val="28"/>
          <w:szCs w:val="28"/>
          <w:lang w:val="zh-CN"/>
        </w:rPr>
        <w:t>3.2.</w:t>
      </w:r>
      <w:r>
        <w:rPr>
          <w:rFonts w:ascii="Times New Roman" w:hAnsi="Times New Roman" w:eastAsia="仿宋_GB2312" w:cs="Times New Roman"/>
          <w:b/>
          <w:bCs/>
          <w:color w:val="auto"/>
          <w:kern w:val="0"/>
          <w:sz w:val="28"/>
          <w:szCs w:val="28"/>
        </w:rPr>
        <w:t>7主体工程设计中</w:t>
      </w:r>
      <w:r>
        <w:rPr>
          <w:rFonts w:ascii="Times New Roman" w:hAnsi="Times New Roman" w:eastAsia="仿宋_GB2312" w:cs="Times New Roman"/>
          <w:b/>
          <w:bCs/>
          <w:color w:val="auto"/>
          <w:kern w:val="0"/>
          <w:sz w:val="28"/>
          <w:szCs w:val="28"/>
          <w:lang w:val="zh-CN"/>
        </w:rPr>
        <w:t>具有水土保持功能工程的评价</w:t>
      </w:r>
      <w:bookmarkEnd w:id="210"/>
      <w:bookmarkEnd w:id="211"/>
      <w:bookmarkEnd w:id="212"/>
      <w:bookmarkEnd w:id="213"/>
    </w:p>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bookmarkStart w:id="215" w:name="_Toc282426262"/>
      <w:bookmarkStart w:id="216" w:name="_Toc8379067"/>
      <w:bookmarkStart w:id="217" w:name="_Toc5720157"/>
      <w:bookmarkStart w:id="218" w:name="_Toc5725747"/>
      <w:bookmarkStart w:id="219" w:name="_Toc5698801"/>
      <w:r>
        <w:rPr>
          <w:rFonts w:ascii="Times New Roman" w:hAnsi="Times New Roman" w:eastAsia="仿宋_GB2312" w:cs="Times New Roman"/>
          <w:b/>
          <w:bCs/>
          <w:color w:val="auto"/>
          <w:sz w:val="24"/>
          <w:szCs w:val="28"/>
        </w:rPr>
        <w:t>3.2.7.1井场及附属工程</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主体工程中设计了表土剥离、挡土墙、砖砌排水沟、挡水（污）墙、集水（污）坑、场地硬化等措施。</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1、表土剥离</w:t>
      </w:r>
    </w:p>
    <w:p>
      <w:pPr>
        <w:adjustRightInd w:val="0"/>
        <w:snapToGrid w:val="0"/>
        <w:spacing w:line="360" w:lineRule="auto"/>
        <w:ind w:firstLine="480" w:firstLineChars="200"/>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主体设计在土建工程施工期对</w:t>
      </w:r>
      <w:r>
        <w:rPr>
          <w:rFonts w:ascii="Times New Roman" w:hAnsi="Times New Roman" w:eastAsia="仿宋_GB2312" w:cs="Times New Roman"/>
          <w:color w:val="auto"/>
          <w:sz w:val="24"/>
          <w:szCs w:val="24"/>
        </w:rPr>
        <w:t>井场及附属工程区内占用耕地</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林地</w:t>
      </w:r>
      <w:r>
        <w:rPr>
          <w:rFonts w:ascii="Times New Roman" w:hAnsi="Times New Roman" w:eastAsia="仿宋_GB2312" w:cs="Times New Roman"/>
          <w:color w:val="auto"/>
          <w:sz w:val="24"/>
          <w:szCs w:val="24"/>
        </w:rPr>
        <w:t>区域进行表土剥离，剥离厚度</w:t>
      </w:r>
      <w:r>
        <w:rPr>
          <w:rFonts w:hint="eastAsia" w:ascii="Times New Roman" w:hAnsi="Times New Roman" w:eastAsia="仿宋_GB2312" w:cs="Times New Roman"/>
          <w:color w:val="auto"/>
          <w:sz w:val="24"/>
          <w:szCs w:val="24"/>
          <w:lang w:val="en-US" w:eastAsia="zh-CN"/>
        </w:rPr>
        <w:t>约0.3m~0.5m</w:t>
      </w:r>
      <w:r>
        <w:rPr>
          <w:rFonts w:hint="eastAsia" w:ascii="Times New Roman" w:hAnsi="Times New Roman" w:eastAsia="仿宋_GB2312" w:cs="Times New Roman"/>
          <w:color w:val="auto"/>
          <w:sz w:val="24"/>
          <w:szCs w:val="24"/>
          <w:lang w:eastAsia="zh-CN"/>
        </w:rPr>
        <w:t>，</w:t>
      </w:r>
      <w:r>
        <w:rPr>
          <w:rFonts w:ascii="Times New Roman" w:hAnsi="Times New Roman" w:eastAsia="仿宋_GB2312" w:cs="Times New Roman"/>
          <w:color w:val="auto"/>
          <w:sz w:val="24"/>
          <w:szCs w:val="24"/>
        </w:rPr>
        <w:t>表土剥离总量约0.</w:t>
      </w:r>
      <w:r>
        <w:rPr>
          <w:rFonts w:hint="eastAsia" w:ascii="Times New Roman" w:hAnsi="Times New Roman" w:eastAsia="仿宋_GB2312" w:cs="Times New Roman"/>
          <w:color w:val="auto"/>
          <w:sz w:val="24"/>
          <w:szCs w:val="24"/>
          <w:lang w:val="en-US" w:eastAsia="zh-CN"/>
        </w:rPr>
        <w:t>45</w:t>
      </w:r>
      <w:r>
        <w:rPr>
          <w:rFonts w:ascii="Times New Roman" w:hAnsi="Times New Roman" w:eastAsia="仿宋_GB2312" w:cs="Times New Roman"/>
          <w:color w:val="auto"/>
          <w:sz w:val="24"/>
          <w:szCs w:val="24"/>
        </w:rPr>
        <w:t>万m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，剥离的表土全部堆存于表土堆放场，后期用于边坡绿化和施工迹地复耕覆土</w:t>
      </w:r>
      <w:r>
        <w:rPr>
          <w:rFonts w:ascii="Times New Roman" w:hAnsi="Times New Roman" w:eastAsia="仿宋_GB2312" w:cs="Times New Roman"/>
          <w:color w:val="auto"/>
          <w:kern w:val="0"/>
          <w:sz w:val="24"/>
          <w:szCs w:val="24"/>
        </w:rPr>
        <w:t>。</w:t>
      </w:r>
    </w:p>
    <w:p>
      <w:pPr>
        <w:adjustRightInd w:val="0"/>
        <w:snapToGrid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水土保持分析评价：主体工程对表土进行剥离，为后期复耕或绿化覆土提供来源的同时，其丰富的机质含量，也有利于植被的生长，且对表土的综合利用，也减少了工程产生的弃方，是土地资源最合理的利用。因此，表土剥离与覆土均应界定为水土保持工程。</w:t>
      </w:r>
    </w:p>
    <w:bookmarkEnd w:id="215"/>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2、场地硬化</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井场场基主要分为硬化区、少部分设备场地区域及井口四周单独设计区域。硬化区域采用原状地基土、素填土压实度≥93%、20cm厚砂砾（卵）石基层和20cm厚C25碎石砼面层。</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水土保持分析评价：场地硬化主要是为主体工程服务，不界定为水土保持措施。</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3、排水措施</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（1）场外排水</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井场</w:t>
      </w:r>
      <w:r>
        <w:rPr>
          <w:rFonts w:hint="eastAsia" w:ascii="Times New Roman" w:hAnsi="Times New Roman" w:eastAsia="仿宋_GB2312" w:cs="Times New Roman"/>
          <w:color w:val="auto"/>
          <w:sz w:val="24"/>
          <w:szCs w:val="24"/>
          <w:highlight w:val="none"/>
          <w:lang w:val="en-US" w:eastAsia="zh-CN"/>
        </w:rPr>
        <w:t>挖方边坡坡脚</w:t>
      </w:r>
      <w:r>
        <w:rPr>
          <w:rFonts w:ascii="Times New Roman" w:hAnsi="Times New Roman" w:eastAsia="仿宋_GB2312" w:cs="Times New Roman"/>
          <w:color w:val="auto"/>
          <w:sz w:val="24"/>
          <w:szCs w:val="24"/>
          <w:highlight w:val="none"/>
        </w:rPr>
        <w:t>设置</w:t>
      </w:r>
      <w:r>
        <w:rPr>
          <w:rFonts w:hint="eastAsia" w:ascii="Times New Roman" w:hAnsi="Times New Roman" w:eastAsia="仿宋_GB2312" w:cs="Times New Roman"/>
          <w:color w:val="auto"/>
          <w:sz w:val="24"/>
          <w:szCs w:val="24"/>
          <w:highlight w:val="none"/>
          <w:lang w:val="en-US" w:eastAsia="zh-CN"/>
        </w:rPr>
        <w:t>场外</w:t>
      </w:r>
      <w:r>
        <w:rPr>
          <w:rFonts w:ascii="Times New Roman" w:hAnsi="Times New Roman" w:eastAsia="仿宋_GB2312" w:cs="Times New Roman"/>
          <w:color w:val="auto"/>
          <w:sz w:val="24"/>
          <w:szCs w:val="24"/>
          <w:highlight w:val="none"/>
        </w:rPr>
        <w:t>排水沟，排水与自然水系连通，排出场内雨水。场外排水沟采用M7.5浆砌</w:t>
      </w:r>
      <w:r>
        <w:rPr>
          <w:rFonts w:hint="eastAsia" w:ascii="Times New Roman" w:hAnsi="Times New Roman" w:eastAsia="仿宋_GB2312" w:cs="Times New Roman"/>
          <w:color w:val="auto"/>
          <w:sz w:val="24"/>
          <w:szCs w:val="24"/>
          <w:highlight w:val="none"/>
          <w:lang w:val="en-US" w:eastAsia="zh-CN"/>
        </w:rPr>
        <w:t>砖</w:t>
      </w:r>
      <w:r>
        <w:rPr>
          <w:rFonts w:ascii="Times New Roman" w:hAnsi="Times New Roman" w:eastAsia="仿宋_GB2312" w:cs="Times New Roman"/>
          <w:color w:val="auto"/>
          <w:sz w:val="24"/>
          <w:szCs w:val="24"/>
          <w:highlight w:val="none"/>
        </w:rPr>
        <w:t>砌筑矩形断面，设计尺寸为宽×高</w:t>
      </w:r>
      <w:r>
        <w:rPr>
          <w:rFonts w:hint="eastAsia" w:ascii="Times New Roman" w:hAnsi="Times New Roman" w:eastAsia="仿宋_GB2312" w:cs="Times New Roman"/>
          <w:color w:val="auto"/>
          <w:sz w:val="24"/>
          <w:szCs w:val="24"/>
          <w:highlight w:val="none"/>
          <w:lang w:val="en-US" w:eastAsia="zh-CN"/>
        </w:rPr>
        <w:t>0.6</w:t>
      </w:r>
      <w:r>
        <w:rPr>
          <w:rFonts w:ascii="Times New Roman" w:hAnsi="Times New Roman" w:eastAsia="仿宋_GB2312" w:cs="Times New Roman"/>
          <w:color w:val="auto"/>
          <w:sz w:val="24"/>
          <w:szCs w:val="24"/>
          <w:highlight w:val="none"/>
        </w:rPr>
        <w:t>m×</w:t>
      </w:r>
      <w:r>
        <w:rPr>
          <w:rFonts w:hint="eastAsia" w:ascii="Times New Roman" w:hAnsi="Times New Roman" w:eastAsia="仿宋_GB2312" w:cs="Times New Roman"/>
          <w:color w:val="auto"/>
          <w:sz w:val="24"/>
          <w:szCs w:val="24"/>
          <w:highlight w:val="none"/>
          <w:lang w:val="en-US" w:eastAsia="zh-CN"/>
        </w:rPr>
        <w:t>0.6</w:t>
      </w:r>
      <w:r>
        <w:rPr>
          <w:rFonts w:ascii="Times New Roman" w:hAnsi="Times New Roman" w:eastAsia="仿宋_GB2312" w:cs="Times New Roman"/>
          <w:color w:val="auto"/>
          <w:sz w:val="24"/>
          <w:szCs w:val="24"/>
          <w:highlight w:val="none"/>
        </w:rPr>
        <w:t>m，沟壁厚</w:t>
      </w:r>
      <w:r>
        <w:rPr>
          <w:rFonts w:hint="eastAsia" w:ascii="Times New Roman" w:hAnsi="Times New Roman" w:eastAsia="仿宋_GB2312" w:cs="Times New Roman"/>
          <w:color w:val="auto"/>
          <w:sz w:val="24"/>
          <w:szCs w:val="24"/>
          <w:highlight w:val="none"/>
          <w:lang w:val="en-US" w:eastAsia="zh-CN"/>
        </w:rPr>
        <w:t>0.30</w:t>
      </w:r>
      <w:r>
        <w:rPr>
          <w:rFonts w:ascii="Times New Roman" w:hAnsi="Times New Roman" w:eastAsia="仿宋_GB2312" w:cs="Times New Roman"/>
          <w:color w:val="auto"/>
          <w:sz w:val="24"/>
          <w:szCs w:val="24"/>
          <w:highlight w:val="none"/>
        </w:rPr>
        <w:t>m，底板厚度</w:t>
      </w:r>
      <w:r>
        <w:rPr>
          <w:rFonts w:hint="eastAsia" w:ascii="Times New Roman" w:hAnsi="Times New Roman" w:eastAsia="仿宋_GB2312" w:cs="Times New Roman"/>
          <w:color w:val="auto"/>
          <w:sz w:val="24"/>
          <w:szCs w:val="24"/>
          <w:highlight w:val="none"/>
          <w:lang w:val="en-US" w:eastAsia="zh-CN"/>
        </w:rPr>
        <w:t>0.15</w:t>
      </w:r>
      <w:r>
        <w:rPr>
          <w:rFonts w:ascii="Times New Roman" w:hAnsi="Times New Roman" w:eastAsia="仿宋_GB2312" w:cs="Times New Roman"/>
          <w:color w:val="auto"/>
          <w:sz w:val="24"/>
          <w:szCs w:val="24"/>
          <w:highlight w:val="none"/>
        </w:rPr>
        <w:t>m。场外汇水经排水沟汇入自然水系，经统计，共设置场外排水沟</w:t>
      </w:r>
      <w:r>
        <w:rPr>
          <w:rFonts w:hint="eastAsia" w:ascii="Times New Roman" w:hAnsi="Times New Roman" w:eastAsia="仿宋_GB2312" w:cs="Times New Roman"/>
          <w:color w:val="auto"/>
          <w:sz w:val="24"/>
          <w:szCs w:val="24"/>
          <w:highlight w:val="none"/>
          <w:lang w:val="en-US" w:eastAsia="zh-CN"/>
        </w:rPr>
        <w:t>433</w:t>
      </w:r>
      <w:r>
        <w:rPr>
          <w:rFonts w:ascii="Times New Roman" w:hAnsi="Times New Roman" w:eastAsia="仿宋_GB2312" w:cs="Times New Roman"/>
          <w:color w:val="auto"/>
          <w:sz w:val="24"/>
          <w:szCs w:val="24"/>
          <w:highlight w:val="none"/>
        </w:rPr>
        <w:t>m。</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（2）场内排水</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井场通过场面设置的横坡排水。井场四周设有场内排水沟，并于转角处设置隔油池。场内排水沟为矩形断面，宽×高</w:t>
      </w:r>
      <w:r>
        <w:rPr>
          <w:rFonts w:hint="eastAsia" w:ascii="Times New Roman" w:hAnsi="Times New Roman" w:eastAsia="仿宋_GB2312" w:cs="Times New Roman"/>
          <w:color w:val="auto"/>
          <w:sz w:val="24"/>
          <w:szCs w:val="24"/>
          <w:highlight w:val="none"/>
          <w:lang w:val="en-US" w:eastAsia="zh-CN"/>
        </w:rPr>
        <w:t>为0.4</w:t>
      </w:r>
      <w:r>
        <w:rPr>
          <w:rFonts w:ascii="Times New Roman" w:hAnsi="Times New Roman" w:eastAsia="仿宋_GB2312" w:cs="Times New Roman"/>
          <w:color w:val="auto"/>
          <w:sz w:val="24"/>
          <w:szCs w:val="24"/>
          <w:highlight w:val="none"/>
        </w:rPr>
        <w:t>m×</w:t>
      </w:r>
      <w:r>
        <w:rPr>
          <w:rFonts w:hint="eastAsia" w:ascii="Times New Roman" w:hAnsi="Times New Roman" w:eastAsia="仿宋_GB2312" w:cs="Times New Roman"/>
          <w:color w:val="auto"/>
          <w:sz w:val="24"/>
          <w:szCs w:val="24"/>
          <w:highlight w:val="none"/>
          <w:lang w:val="en-US" w:eastAsia="zh-CN"/>
        </w:rPr>
        <w:t>0.3</w:t>
      </w:r>
      <w:r>
        <w:rPr>
          <w:rFonts w:ascii="Times New Roman" w:hAnsi="Times New Roman" w:eastAsia="仿宋_GB2312" w:cs="Times New Roman"/>
          <w:color w:val="auto"/>
          <w:sz w:val="24"/>
          <w:szCs w:val="24"/>
          <w:highlight w:val="none"/>
        </w:rPr>
        <w:t>m</w:t>
      </w:r>
      <w:r>
        <w:rPr>
          <w:rFonts w:hint="eastAsia" w:ascii="Times New Roman" w:hAnsi="Times New Roman" w:eastAsia="仿宋_GB2312" w:cs="Times New Roman"/>
          <w:color w:val="auto"/>
          <w:sz w:val="24"/>
          <w:szCs w:val="24"/>
          <w:highlight w:val="none"/>
          <w:lang w:eastAsia="zh-CN"/>
        </w:rPr>
        <w:t>，</w:t>
      </w:r>
      <w:r>
        <w:rPr>
          <w:rFonts w:ascii="Times New Roman" w:hAnsi="Times New Roman" w:eastAsia="仿宋_GB2312" w:cs="Times New Roman"/>
          <w:color w:val="auto"/>
          <w:sz w:val="24"/>
          <w:szCs w:val="24"/>
          <w:highlight w:val="none"/>
        </w:rPr>
        <w:t>经统计共布设场内排水沟</w:t>
      </w:r>
      <w:r>
        <w:rPr>
          <w:rFonts w:hint="eastAsia" w:ascii="Times New Roman" w:hAnsi="Times New Roman" w:eastAsia="仿宋_GB2312" w:cs="Times New Roman"/>
          <w:color w:val="auto"/>
          <w:sz w:val="24"/>
          <w:szCs w:val="24"/>
          <w:highlight w:val="none"/>
          <w:lang w:val="en-US" w:eastAsia="zh-CN"/>
        </w:rPr>
        <w:t>285</w:t>
      </w:r>
      <w:r>
        <w:rPr>
          <w:rFonts w:ascii="Times New Roman" w:hAnsi="Times New Roman" w:eastAsia="仿宋_GB2312" w:cs="Times New Roman"/>
          <w:color w:val="auto"/>
          <w:sz w:val="24"/>
          <w:szCs w:val="24"/>
          <w:highlight w:val="none"/>
        </w:rPr>
        <w:t>m。</w:t>
      </w:r>
    </w:p>
    <w:p>
      <w:pPr>
        <w:pStyle w:val="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方案对排水沟过流能力进行校核</w:t>
      </w:r>
    </w:p>
    <w:p>
      <w:pPr>
        <w:adjustRightInd w:val="0"/>
        <w:snapToGrid w:val="0"/>
        <w:spacing w:line="360" w:lineRule="auto"/>
        <w:ind w:firstLine="480" w:firstLineChars="200"/>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（1）设计流量确定</w:t>
      </w:r>
    </w:p>
    <w:p>
      <w:pPr>
        <w:adjustRightInd w:val="0"/>
        <w:snapToGrid w:val="0"/>
        <w:spacing w:line="360" w:lineRule="auto"/>
        <w:ind w:firstLine="480" w:firstLineChars="200"/>
        <w:jc w:val="left"/>
        <w:rPr>
          <w:rFonts w:hint="eastAsia" w:ascii="Times New Roman" w:hAnsi="Times New Roman" w:eastAsia="仿宋_GB2312" w:cs="Times New Roman"/>
          <w:color w:val="auto"/>
          <w:sz w:val="24"/>
          <w:szCs w:val="24"/>
          <w:highlight w:val="none"/>
          <w:lang w:val="en-US" w:eastAsia="zh-CN"/>
        </w:rPr>
      </w:pPr>
      <w:r>
        <w:rPr>
          <w:rFonts w:hint="eastAsia" w:ascii="Times New Roman" w:hAnsi="Times New Roman" w:eastAsia="仿宋_GB2312" w:cs="Times New Roman"/>
          <w:color w:val="auto"/>
          <w:sz w:val="24"/>
          <w:szCs w:val="24"/>
          <w:highlight w:val="none"/>
          <w:lang w:val="en-US" w:eastAsia="zh-CN"/>
        </w:rPr>
        <w:t>根据《水土保持工程设计规范》（GB51018-2014），永久排水沟设计流量计算公式如下：</w:t>
      </w:r>
    </w:p>
    <w:p>
      <w:pPr>
        <w:adjustRightInd w:val="0"/>
        <w:snapToGrid w:val="0"/>
        <w:spacing w:line="360" w:lineRule="auto"/>
        <w:ind w:firstLine="480" w:firstLineChars="200"/>
        <w:jc w:val="right"/>
        <w:rPr>
          <w:rFonts w:hint="default" w:ascii="Times New Roman" w:hAnsi="Times New Roman" w:eastAsia="仿宋_GB2312" w:cs="Times New Roman"/>
          <w:color w:val="auto"/>
          <w:sz w:val="24"/>
          <w:szCs w:val="24"/>
          <w:highlight w:val="none"/>
          <w:lang w:val="en-US" w:eastAsia="zh-CN"/>
        </w:rPr>
      </w:pPr>
      <w:r>
        <w:rPr>
          <w:rFonts w:ascii="Times New Roman" w:hAnsi="Times New Roman" w:eastAsia="仿宋_GB2312" w:cs="Times New Roman"/>
          <w:color w:val="auto"/>
          <w:kern w:val="0"/>
          <w:sz w:val="24"/>
          <w:szCs w:val="24"/>
          <w:highlight w:val="none"/>
        </w:rPr>
        <w:t>Q</w:t>
      </w:r>
      <w:r>
        <w:rPr>
          <w:rFonts w:ascii="Times New Roman" w:hAnsi="Times New Roman" w:eastAsia="仿宋_GB2312" w:cs="Times New Roman"/>
          <w:color w:val="auto"/>
          <w:kern w:val="0"/>
          <w:sz w:val="24"/>
          <w:szCs w:val="24"/>
          <w:highlight w:val="none"/>
          <w:vertAlign w:val="subscript"/>
        </w:rPr>
        <w:t>m</w:t>
      </w:r>
      <w:r>
        <w:rPr>
          <w:rFonts w:ascii="Times New Roman" w:hAnsi="Times New Roman" w:eastAsia="仿宋_GB2312" w:cs="Times New Roman"/>
          <w:color w:val="auto"/>
          <w:kern w:val="0"/>
          <w:sz w:val="24"/>
          <w:szCs w:val="24"/>
          <w:highlight w:val="none"/>
        </w:rPr>
        <w:t>=16.67</w:t>
      </w:r>
      <w:r>
        <w:rPr>
          <w:rFonts w:ascii="Times New Roman" w:hAnsi="Times New Roman" w:eastAsia="仿宋_GB2312" w:cs="Times New Roman"/>
          <w:i/>
          <w:color w:val="auto"/>
          <w:kern w:val="0"/>
          <w:sz w:val="24"/>
          <w:szCs w:val="24"/>
          <w:highlight w:val="none"/>
        </w:rPr>
        <w:t>φqF</w:t>
      </w:r>
      <w:r>
        <w:rPr>
          <w:rFonts w:hint="eastAsia" w:ascii="Times New Roman" w:hAnsi="Times New Roman" w:eastAsia="仿宋_GB2312" w:cs="Times New Roman"/>
          <w:i/>
          <w:color w:val="auto"/>
          <w:kern w:val="0"/>
          <w:sz w:val="24"/>
          <w:szCs w:val="24"/>
          <w:highlight w:val="none"/>
          <w:lang w:val="en-US" w:eastAsia="zh-CN"/>
        </w:rPr>
        <w:t xml:space="preserve">                          </w:t>
      </w:r>
      <w:r>
        <w:rPr>
          <w:rFonts w:hint="eastAsia" w:ascii="Times New Roman" w:hAnsi="Times New Roman" w:eastAsia="仿宋_GB2312" w:cs="Times New Roman"/>
          <w:i w:val="0"/>
          <w:iCs/>
          <w:color w:val="auto"/>
          <w:kern w:val="0"/>
          <w:sz w:val="24"/>
          <w:szCs w:val="24"/>
          <w:highlight w:val="none"/>
          <w:lang w:val="en-US" w:eastAsia="zh-CN"/>
        </w:rPr>
        <w:t>（</w:t>
      </w:r>
      <w:r>
        <w:rPr>
          <w:rFonts w:hint="eastAsia" w:ascii="Times New Roman" w:hAnsi="Times New Roman" w:eastAsia="仿宋_GB2312" w:cs="Times New Roman"/>
          <w:color w:val="auto"/>
          <w:kern w:val="2"/>
          <w:sz w:val="24"/>
          <w:szCs w:val="24"/>
          <w:highlight w:val="none"/>
          <w:lang w:val="en-US" w:eastAsia="zh-CN" w:bidi="ar-SA"/>
        </w:rPr>
        <w:t>公式 2）</w:t>
      </w:r>
    </w:p>
    <w:p>
      <w:pPr>
        <w:adjustRightInd w:val="0"/>
        <w:snapToGrid w:val="0"/>
        <w:spacing w:line="360" w:lineRule="auto"/>
        <w:ind w:firstLine="480" w:firstLineChars="200"/>
        <w:jc w:val="left"/>
        <w:rPr>
          <w:rFonts w:hint="eastAsia"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rPr>
        <w:t>式中</w:t>
      </w:r>
      <w:r>
        <w:rPr>
          <w:rFonts w:hint="eastAsia" w:ascii="Times New Roman" w:hAnsi="Times New Roman" w:eastAsia="仿宋_GB2312" w:cs="Times New Roman"/>
          <w:color w:val="auto"/>
          <w:kern w:val="0"/>
          <w:sz w:val="24"/>
          <w:szCs w:val="24"/>
          <w:highlight w:val="none"/>
          <w:lang w:eastAsia="zh-CN"/>
        </w:rPr>
        <w:t>：</w:t>
      </w:r>
      <w:r>
        <w:rPr>
          <w:rFonts w:ascii="Times New Roman" w:hAnsi="Times New Roman" w:eastAsia="仿宋_GB2312" w:cs="Times New Roman"/>
          <w:i/>
          <w:color w:val="auto"/>
          <w:kern w:val="0"/>
          <w:sz w:val="24"/>
          <w:szCs w:val="24"/>
          <w:highlight w:val="none"/>
        </w:rPr>
        <w:t>q</w:t>
      </w:r>
      <w:r>
        <w:rPr>
          <w:rFonts w:ascii="Times New Roman" w:hAnsi="Times New Roman" w:eastAsia="仿宋_GB2312" w:cs="Times New Roman"/>
          <w:color w:val="auto"/>
          <w:kern w:val="0"/>
          <w:sz w:val="24"/>
          <w:szCs w:val="24"/>
          <w:highlight w:val="none"/>
        </w:rPr>
        <w:t>—设计重现期和降雨历时内的平均降雨强度（mm/min）</w:t>
      </w:r>
      <w:r>
        <w:rPr>
          <w:rFonts w:hint="eastAsia" w:ascii="Times New Roman" w:hAnsi="Times New Roman" w:eastAsia="仿宋_GB2312" w:cs="Times New Roman"/>
          <w:color w:val="auto"/>
          <w:kern w:val="0"/>
          <w:sz w:val="24"/>
          <w:szCs w:val="24"/>
          <w:highlight w:val="none"/>
        </w:rPr>
        <w:t>，主体设计采用</w:t>
      </w:r>
      <w:r>
        <w:rPr>
          <w:rFonts w:hint="eastAsia" w:ascii="Times New Roman" w:hAnsi="Times New Roman" w:eastAsia="仿宋_GB2312" w:cs="Times New Roman"/>
          <w:color w:val="auto"/>
          <w:kern w:val="0"/>
          <w:sz w:val="24"/>
          <w:szCs w:val="24"/>
          <w:highlight w:val="none"/>
          <w:lang w:val="en-US" w:eastAsia="zh-CN"/>
        </w:rPr>
        <w:t>5</w:t>
      </w:r>
      <w:r>
        <w:rPr>
          <w:rFonts w:hint="eastAsia" w:ascii="Times New Roman" w:hAnsi="Times New Roman" w:eastAsia="仿宋_GB2312" w:cs="Times New Roman"/>
          <w:color w:val="auto"/>
          <w:kern w:val="0"/>
          <w:sz w:val="24"/>
          <w:szCs w:val="24"/>
          <w:highlight w:val="none"/>
        </w:rPr>
        <w:t>年一遇</w:t>
      </w:r>
      <w:r>
        <w:rPr>
          <w:rFonts w:ascii="Times New Roman" w:hAnsi="Times New Roman" w:eastAsia="仿宋_GB2312" w:cs="Times New Roman"/>
          <w:color w:val="auto"/>
          <w:sz w:val="24"/>
          <w:szCs w:val="24"/>
          <w:highlight w:val="none"/>
        </w:rPr>
        <w:t>短历时暴雨进行设计，</w:t>
      </w:r>
      <w:r>
        <w:rPr>
          <w:rFonts w:hint="eastAsia" w:ascii="Times New Roman" w:hAnsi="Times New Roman" w:eastAsia="仿宋_GB2312" w:cs="Times New Roman"/>
          <w:color w:val="auto"/>
          <w:sz w:val="24"/>
          <w:szCs w:val="24"/>
          <w:highlight w:val="none"/>
        </w:rPr>
        <w:t>方案考虑到主体工程选址（线）无法避让省级水土流失重点治理区，按照水土保持技术标准相关要求，应并提高截排水工程的工程等级和防洪标准，因此方案按照</w:t>
      </w:r>
      <w:r>
        <w:rPr>
          <w:rFonts w:hint="eastAsia" w:ascii="Times New Roman" w:hAnsi="Times New Roman" w:eastAsia="仿宋_GB2312" w:cs="Times New Roman"/>
          <w:color w:val="auto"/>
          <w:sz w:val="24"/>
          <w:szCs w:val="24"/>
          <w:highlight w:val="none"/>
          <w:lang w:val="en-US" w:eastAsia="zh-CN"/>
        </w:rPr>
        <w:t>10</w:t>
      </w:r>
      <w:r>
        <w:rPr>
          <w:rFonts w:hint="eastAsia" w:ascii="Times New Roman" w:hAnsi="Times New Roman" w:eastAsia="仿宋_GB2312" w:cs="Times New Roman"/>
          <w:color w:val="auto"/>
          <w:sz w:val="24"/>
          <w:szCs w:val="24"/>
          <w:highlight w:val="none"/>
        </w:rPr>
        <w:t>年一遇</w:t>
      </w:r>
      <w:r>
        <w:rPr>
          <w:rFonts w:ascii="Times New Roman" w:hAnsi="Times New Roman" w:eastAsia="仿宋_GB2312" w:cs="Times New Roman"/>
          <w:color w:val="auto"/>
          <w:sz w:val="24"/>
          <w:szCs w:val="24"/>
          <w:highlight w:val="none"/>
        </w:rPr>
        <w:t>短历时暴雨</w:t>
      </w:r>
      <w:r>
        <w:rPr>
          <w:rFonts w:hint="eastAsia" w:ascii="Times New Roman" w:hAnsi="Times New Roman" w:eastAsia="仿宋_GB2312" w:cs="Times New Roman"/>
          <w:color w:val="auto"/>
          <w:sz w:val="24"/>
          <w:szCs w:val="24"/>
          <w:highlight w:val="none"/>
        </w:rPr>
        <w:t>对主体设计的截排水措施</w:t>
      </w:r>
      <w:r>
        <w:rPr>
          <w:rFonts w:ascii="Times New Roman" w:hAnsi="Times New Roman" w:eastAsia="仿宋_GB2312" w:cs="Times New Roman"/>
          <w:color w:val="auto"/>
          <w:sz w:val="24"/>
          <w:szCs w:val="24"/>
          <w:highlight w:val="none"/>
        </w:rPr>
        <w:t>进行</w:t>
      </w:r>
      <w:r>
        <w:rPr>
          <w:rFonts w:hint="eastAsia" w:ascii="Times New Roman" w:hAnsi="Times New Roman" w:eastAsia="仿宋_GB2312" w:cs="Times New Roman"/>
          <w:color w:val="auto"/>
          <w:sz w:val="24"/>
          <w:szCs w:val="24"/>
          <w:highlight w:val="none"/>
        </w:rPr>
        <w:t>校核，</w:t>
      </w:r>
    </w:p>
    <w:p>
      <w:pPr>
        <w:adjustRightInd w:val="0"/>
        <w:snapToGrid w:val="0"/>
        <w:spacing w:line="360" w:lineRule="auto"/>
        <w:ind w:firstLine="480" w:firstLineChars="200"/>
        <w:jc w:val="right"/>
        <w:rPr>
          <w:rFonts w:hint="eastAsia" w:ascii="Times New Roman" w:hAnsi="Times New Roman" w:eastAsia="仿宋_GB2312" w:cs="Times New Roman"/>
          <w:color w:val="auto"/>
          <w:sz w:val="24"/>
          <w:szCs w:val="24"/>
          <w:highlight w:val="none"/>
        </w:rPr>
      </w:pPr>
      <w:r>
        <w:rPr>
          <w:rFonts w:ascii="宋体" w:hAnsi="宋体" w:cs="宋体"/>
          <w:color w:val="auto"/>
          <w:kern w:val="0"/>
          <w:sz w:val="24"/>
          <w:highlight w:val="none"/>
        </w:rPr>
        <w:fldChar w:fldCharType="begin"/>
      </w:r>
      <w:r>
        <w:rPr>
          <w:rFonts w:ascii="宋体" w:hAnsi="宋体" w:cs="宋体"/>
          <w:color w:val="auto"/>
          <w:kern w:val="0"/>
          <w:sz w:val="24"/>
          <w:highlight w:val="none"/>
        </w:rPr>
        <w:instrText xml:space="preserve"> INCLUDEPICTURE "C:\\Documents and Settings\\Administrator\\Application Data\\Tencent\\Users\\843742260\\QQ\\WinTemp\\RichOle\\D80GL`2(V3$~TM4N[1~]M$D.png" \* MERGEFORMATINET </w:instrText>
      </w:r>
      <w:r>
        <w:rPr>
          <w:rFonts w:ascii="宋体" w:hAnsi="宋体" w:cs="宋体"/>
          <w:color w:val="auto"/>
          <w:kern w:val="0"/>
          <w:sz w:val="24"/>
          <w:highlight w:val="none"/>
        </w:rPr>
        <w:fldChar w:fldCharType="separate"/>
      </w:r>
      <w:r>
        <w:rPr>
          <w:rFonts w:ascii="宋体" w:hAnsi="宋体" w:cs="宋体"/>
          <w:color w:val="auto"/>
          <w:kern w:val="0"/>
          <w:sz w:val="24"/>
          <w:highlight w:val="none"/>
        </w:rPr>
        <w:drawing>
          <wp:inline distT="0" distB="0" distL="114300" distR="114300">
            <wp:extent cx="4002405" cy="774700"/>
            <wp:effectExtent l="0" t="0" r="5715" b="2540"/>
            <wp:docPr id="60" name="图片 3" descr="D80GL`2(V3$~TM4N[1~]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D80GL`2(V3$~TM4N[1~]M$D"/>
                    <pic:cNvPicPr>
                      <a:picLocks noChangeAspect="1"/>
                    </pic:cNvPicPr>
                  </pic:nvPicPr>
                  <pic:blipFill>
                    <a:blip r:embed="rId29"/>
                    <a:stretch>
                      <a:fillRect/>
                    </a:stretch>
                  </pic:blipFill>
                  <pic:spPr>
                    <a:xfrm>
                      <a:off x="0" y="0"/>
                      <a:ext cx="4002405" cy="774700"/>
                    </a:xfrm>
                    <a:prstGeom prst="rect">
                      <a:avLst/>
                    </a:prstGeom>
                    <a:noFill/>
                    <a:ln>
                      <a:noFill/>
                    </a:ln>
                  </pic:spPr>
                </pic:pic>
              </a:graphicData>
            </a:graphic>
          </wp:inline>
        </w:drawing>
      </w:r>
      <w:r>
        <w:rPr>
          <w:rFonts w:ascii="宋体" w:hAnsi="宋体" w:cs="宋体"/>
          <w:color w:val="auto"/>
          <w:kern w:val="0"/>
          <w:sz w:val="24"/>
          <w:highlight w:val="none"/>
        </w:rPr>
        <w:fldChar w:fldCharType="end"/>
      </w:r>
      <w:r>
        <w:rPr>
          <w:rFonts w:hint="eastAsia" w:ascii="宋体" w:hAnsi="宋体" w:cs="宋体"/>
          <w:color w:val="auto"/>
          <w:kern w:val="0"/>
          <w:sz w:val="24"/>
          <w:highlight w:val="none"/>
          <w:lang w:val="en-US" w:eastAsia="zh-CN"/>
        </w:rPr>
        <w:t xml:space="preserve">      </w:t>
      </w:r>
      <w:r>
        <w:rPr>
          <w:rFonts w:hint="eastAsia"/>
          <w:color w:val="auto"/>
          <w:highlight w:val="none"/>
          <w:lang w:val="en-US" w:eastAsia="zh-CN"/>
        </w:rPr>
        <w:t>（</w:t>
      </w:r>
      <w:r>
        <w:rPr>
          <w:rFonts w:hint="eastAsia" w:ascii="Times New Roman" w:hAnsi="Times New Roman" w:eastAsia="仿宋_GB2312" w:cs="Times New Roman"/>
          <w:color w:val="auto"/>
          <w:kern w:val="2"/>
          <w:sz w:val="24"/>
          <w:szCs w:val="24"/>
          <w:highlight w:val="none"/>
          <w:lang w:val="en-US" w:eastAsia="zh-CN" w:bidi="ar-SA"/>
        </w:rPr>
        <w:t>公式 1</w:t>
      </w:r>
      <w:r>
        <w:rPr>
          <w:rFonts w:hint="eastAsia"/>
          <w:color w:val="auto"/>
          <w:highlight w:val="none"/>
          <w:lang w:val="en-US" w:eastAsia="zh-CN"/>
        </w:rPr>
        <w:t>）</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rPr>
        <w:t>根据</w:t>
      </w:r>
      <w:r>
        <w:rPr>
          <w:rFonts w:hint="eastAsia" w:ascii="Times New Roman" w:hAnsi="Times New Roman" w:eastAsia="仿宋_GB2312" w:cs="Times New Roman"/>
          <w:color w:val="auto"/>
          <w:sz w:val="24"/>
          <w:szCs w:val="24"/>
          <w:highlight w:val="none"/>
          <w:lang w:val="en-US" w:eastAsia="zh-CN"/>
        </w:rPr>
        <w:t>南充市暴雨强度计算公式（公式1）</w:t>
      </w:r>
      <w:r>
        <w:rPr>
          <w:rFonts w:hint="eastAsia" w:ascii="Times New Roman" w:hAnsi="Times New Roman" w:eastAsia="仿宋_GB2312" w:cs="Times New Roman"/>
          <w:color w:val="auto"/>
          <w:sz w:val="24"/>
          <w:szCs w:val="24"/>
          <w:highlight w:val="none"/>
        </w:rPr>
        <w:t>，项目区</w:t>
      </w:r>
      <w:r>
        <w:rPr>
          <w:rFonts w:hint="eastAsia" w:ascii="Times New Roman" w:hAnsi="Times New Roman" w:eastAsia="仿宋_GB2312" w:cs="Times New Roman"/>
          <w:color w:val="auto"/>
          <w:sz w:val="24"/>
          <w:szCs w:val="24"/>
          <w:highlight w:val="none"/>
          <w:lang w:val="en-US" w:eastAsia="zh-CN"/>
        </w:rPr>
        <w:t>10</w:t>
      </w:r>
      <w:r>
        <w:rPr>
          <w:rFonts w:hint="eastAsia" w:ascii="Times New Roman" w:hAnsi="Times New Roman" w:eastAsia="仿宋_GB2312" w:cs="Times New Roman"/>
          <w:color w:val="auto"/>
          <w:sz w:val="24"/>
          <w:szCs w:val="24"/>
          <w:highlight w:val="none"/>
        </w:rPr>
        <w:t>年一遇</w:t>
      </w:r>
      <w:r>
        <w:rPr>
          <w:rFonts w:hint="eastAsia" w:ascii="Times New Roman" w:hAnsi="Times New Roman" w:eastAsia="仿宋_GB2312" w:cs="Times New Roman"/>
          <w:color w:val="auto"/>
          <w:sz w:val="24"/>
          <w:szCs w:val="24"/>
          <w:highlight w:val="none"/>
          <w:lang w:val="en-US" w:eastAsia="zh-CN"/>
        </w:rPr>
        <w:t>10</w:t>
      </w:r>
      <w:r>
        <w:rPr>
          <w:rFonts w:hint="eastAsia" w:ascii="Times New Roman" w:hAnsi="Times New Roman" w:eastAsia="仿宋_GB2312" w:cs="Times New Roman"/>
          <w:color w:val="auto"/>
          <w:sz w:val="24"/>
          <w:szCs w:val="24"/>
          <w:highlight w:val="none"/>
        </w:rPr>
        <w:t>分钟设计暴雨强度为</w:t>
      </w:r>
      <w:r>
        <w:rPr>
          <w:rFonts w:hint="eastAsia" w:ascii="Times New Roman" w:hAnsi="Times New Roman" w:eastAsia="仿宋_GB2312" w:cs="Times New Roman"/>
          <w:color w:val="auto"/>
          <w:sz w:val="24"/>
          <w:szCs w:val="24"/>
          <w:highlight w:val="none"/>
          <w:lang w:val="en-US" w:eastAsia="zh-CN"/>
        </w:rPr>
        <w:t>403.06</w:t>
      </w:r>
      <w:r>
        <w:rPr>
          <w:rFonts w:hint="eastAsia" w:ascii="Times New Roman" w:hAnsi="Times New Roman" w:eastAsia="仿宋_GB2312" w:cs="Times New Roman"/>
          <w:color w:val="auto"/>
          <w:sz w:val="24"/>
          <w:szCs w:val="24"/>
          <w:highlight w:val="none"/>
        </w:rPr>
        <w:t>L/(s·hm</w:t>
      </w:r>
      <w:r>
        <w:rPr>
          <w:rFonts w:hint="eastAsia"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rPr>
        <w:t>)，</w:t>
      </w:r>
      <w:r>
        <w:rPr>
          <w:rFonts w:hint="eastAsia" w:ascii="Times New Roman" w:hAnsi="Times New Roman" w:eastAsia="仿宋_GB2312" w:cs="Times New Roman"/>
          <w:color w:val="auto"/>
          <w:sz w:val="24"/>
          <w:szCs w:val="24"/>
          <w:highlight w:val="none"/>
          <w:lang w:val="en-US" w:eastAsia="zh-CN"/>
        </w:rPr>
        <w:t>即</w:t>
      </w:r>
      <w:r>
        <w:rPr>
          <w:rFonts w:hint="eastAsia" w:ascii="Times New Roman" w:hAnsi="Times New Roman" w:eastAsia="仿宋_GB2312" w:cs="Times New Roman"/>
          <w:color w:val="auto"/>
          <w:sz w:val="24"/>
          <w:szCs w:val="24"/>
          <w:highlight w:val="none"/>
        </w:rPr>
        <w:t>q=</w:t>
      </w:r>
      <w:r>
        <w:rPr>
          <w:rFonts w:hint="eastAsia" w:ascii="Times New Roman" w:hAnsi="Times New Roman" w:eastAsia="仿宋_GB2312" w:cs="Times New Roman"/>
          <w:color w:val="auto"/>
          <w:sz w:val="24"/>
          <w:szCs w:val="24"/>
          <w:highlight w:val="none"/>
          <w:lang w:val="en-US" w:eastAsia="zh-CN"/>
        </w:rPr>
        <w:t>2.42</w:t>
      </w:r>
      <w:r>
        <w:rPr>
          <w:rFonts w:ascii="Times New Roman" w:hAnsi="Times New Roman" w:eastAsia="仿宋_GB2312" w:cs="Times New Roman"/>
          <w:color w:val="auto"/>
          <w:sz w:val="24"/>
          <w:szCs w:val="24"/>
          <w:highlight w:val="none"/>
        </w:rPr>
        <w:t xml:space="preserve"> mm/min</w:t>
      </w:r>
      <w:r>
        <w:rPr>
          <w:rFonts w:hint="eastAsia" w:ascii="Times New Roman" w:hAnsi="Times New Roman" w:eastAsia="仿宋_GB2312" w:cs="Times New Roman"/>
          <w:color w:val="auto"/>
          <w:sz w:val="24"/>
          <w:szCs w:val="24"/>
          <w:highlight w:val="none"/>
        </w:rPr>
        <w:t>。</w:t>
      </w:r>
    </w:p>
    <w:p>
      <w:pPr>
        <w:adjustRightInd w:val="0"/>
        <w:snapToGrid w:val="0"/>
        <w:spacing w:line="360" w:lineRule="auto"/>
        <w:ind w:firstLine="1080" w:firstLineChars="45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ascii="Times New Roman" w:hAnsi="Times New Roman" w:eastAsia="仿宋_GB2312" w:cs="Times New Roman"/>
          <w:i/>
          <w:color w:val="auto"/>
          <w:kern w:val="0"/>
          <w:sz w:val="24"/>
          <w:szCs w:val="24"/>
          <w:highlight w:val="none"/>
        </w:rPr>
        <w:t>φ</w:t>
      </w:r>
      <w:r>
        <w:rPr>
          <w:rFonts w:ascii="Times New Roman" w:hAnsi="Times New Roman" w:eastAsia="仿宋_GB2312" w:cs="Times New Roman"/>
          <w:color w:val="auto"/>
          <w:kern w:val="0"/>
          <w:sz w:val="24"/>
          <w:szCs w:val="24"/>
          <w:highlight w:val="none"/>
        </w:rPr>
        <w:t>—径流系数</w:t>
      </w:r>
      <w:r>
        <w:rPr>
          <w:rFonts w:hint="eastAsia" w:ascii="Times New Roman" w:hAnsi="Times New Roman" w:eastAsia="仿宋_GB2312" w:cs="Times New Roman"/>
          <w:color w:val="auto"/>
          <w:kern w:val="0"/>
          <w:sz w:val="24"/>
          <w:szCs w:val="24"/>
          <w:highlight w:val="none"/>
          <w:lang w:eastAsia="zh-CN"/>
        </w:rPr>
        <w:t>，</w:t>
      </w:r>
      <w:r>
        <w:rPr>
          <w:rFonts w:hint="eastAsia" w:ascii="Times New Roman" w:hAnsi="Times New Roman" w:eastAsia="仿宋_GB2312" w:cs="Times New Roman"/>
          <w:color w:val="auto"/>
          <w:kern w:val="0"/>
          <w:sz w:val="24"/>
          <w:szCs w:val="24"/>
          <w:highlight w:val="none"/>
          <w:lang w:val="en-US" w:eastAsia="zh-CN"/>
        </w:rPr>
        <w:t>本项目取0.82</w:t>
      </w:r>
      <w:r>
        <w:rPr>
          <w:rFonts w:ascii="Times New Roman" w:hAnsi="Times New Roman" w:eastAsia="仿宋_GB2312" w:cs="Times New Roman"/>
          <w:color w:val="auto"/>
          <w:kern w:val="0"/>
          <w:sz w:val="24"/>
          <w:szCs w:val="24"/>
          <w:highlight w:val="none"/>
        </w:rPr>
        <w:t>；</w:t>
      </w:r>
    </w:p>
    <w:p>
      <w:pPr>
        <w:adjustRightInd w:val="0"/>
        <w:snapToGrid w:val="0"/>
        <w:spacing w:line="360" w:lineRule="auto"/>
        <w:ind w:firstLine="1200" w:firstLineChars="500"/>
        <w:rPr>
          <w:rFonts w:hint="default" w:ascii="Times New Roman" w:hAnsi="Times New Roman" w:eastAsia="仿宋_GB2312" w:cs="Times New Roman"/>
          <w:color w:val="auto"/>
          <w:kern w:val="0"/>
          <w:sz w:val="24"/>
          <w:szCs w:val="24"/>
          <w:highlight w:val="none"/>
          <w:lang w:val="en-US" w:eastAsia="zh-CN"/>
        </w:rPr>
      </w:pPr>
      <w:r>
        <w:rPr>
          <w:rFonts w:ascii="Times New Roman" w:hAnsi="Times New Roman" w:eastAsia="仿宋_GB2312" w:cs="Times New Roman"/>
          <w:i/>
          <w:color w:val="auto"/>
          <w:kern w:val="0"/>
          <w:sz w:val="24"/>
          <w:szCs w:val="24"/>
          <w:highlight w:val="none"/>
        </w:rPr>
        <w:t>F</w:t>
      </w:r>
      <w:r>
        <w:rPr>
          <w:rFonts w:ascii="Times New Roman" w:hAnsi="Times New Roman" w:eastAsia="仿宋_GB2312" w:cs="Times New Roman"/>
          <w:color w:val="auto"/>
          <w:kern w:val="0"/>
          <w:sz w:val="24"/>
          <w:szCs w:val="24"/>
          <w:highlight w:val="none"/>
        </w:rPr>
        <w:t>—汇水面积，km</w:t>
      </w:r>
      <w:r>
        <w:rPr>
          <w:rFonts w:ascii="Times New Roman" w:hAnsi="Times New Roman" w:eastAsia="仿宋_GB2312" w:cs="Times New Roman"/>
          <w:color w:val="auto"/>
          <w:kern w:val="0"/>
          <w:sz w:val="24"/>
          <w:szCs w:val="24"/>
          <w:highlight w:val="none"/>
          <w:vertAlign w:val="superscript"/>
        </w:rPr>
        <w:t>2</w:t>
      </w:r>
      <w:r>
        <w:rPr>
          <w:rFonts w:hint="eastAsia" w:ascii="Times New Roman" w:hAnsi="Times New Roman" w:eastAsia="仿宋_GB2312" w:cs="Times New Roman"/>
          <w:color w:val="auto"/>
          <w:kern w:val="0"/>
          <w:sz w:val="24"/>
          <w:szCs w:val="24"/>
          <w:highlight w:val="none"/>
          <w:lang w:val="en-US" w:eastAsia="zh-CN"/>
        </w:rPr>
        <w:t>。</w:t>
      </w:r>
    </w:p>
    <w:p>
      <w:pPr>
        <w:pStyle w:val="2"/>
        <w:rPr>
          <w:rFonts w:hint="default" w:eastAsia="仿宋_GB2312"/>
          <w:color w:val="auto"/>
          <w:highlight w:val="none"/>
          <w:lang w:val="en-US" w:eastAsia="zh-CN"/>
        </w:rPr>
      </w:pPr>
      <w:r>
        <w:rPr>
          <w:rFonts w:hint="eastAsia" w:cs="Times New Roman"/>
          <w:color w:val="auto"/>
          <w:kern w:val="0"/>
          <w:sz w:val="24"/>
          <w:szCs w:val="24"/>
          <w:highlight w:val="none"/>
          <w:lang w:val="en-US" w:eastAsia="zh-CN"/>
        </w:rPr>
        <w:t>计算得出</w:t>
      </w:r>
      <w:r>
        <w:rPr>
          <w:rFonts w:ascii="Times New Roman" w:hAnsi="Times New Roman" w:eastAsia="仿宋_GB2312" w:cs="Times New Roman"/>
          <w:color w:val="auto"/>
          <w:kern w:val="0"/>
          <w:sz w:val="24"/>
          <w:szCs w:val="24"/>
          <w:highlight w:val="none"/>
        </w:rPr>
        <w:t>Q</w:t>
      </w:r>
      <w:r>
        <w:rPr>
          <w:rFonts w:ascii="Times New Roman" w:hAnsi="Times New Roman" w:eastAsia="仿宋_GB2312" w:cs="Times New Roman"/>
          <w:color w:val="auto"/>
          <w:kern w:val="0"/>
          <w:sz w:val="24"/>
          <w:szCs w:val="24"/>
          <w:highlight w:val="none"/>
          <w:vertAlign w:val="subscript"/>
        </w:rPr>
        <w:t>m</w:t>
      </w:r>
      <w:r>
        <w:rPr>
          <w:rFonts w:hint="eastAsia" w:cs="Times New Roman"/>
          <w:color w:val="auto"/>
          <w:kern w:val="0"/>
          <w:sz w:val="24"/>
          <w:szCs w:val="24"/>
          <w:highlight w:val="none"/>
          <w:vertAlign w:val="baseline"/>
          <w:lang w:val="en-US" w:eastAsia="zh-CN"/>
        </w:rPr>
        <w:t>=0.404m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vertAlign w:val="baseline"/>
          <w:lang w:val="en-US" w:eastAsia="zh-CN"/>
        </w:rPr>
        <w:t>/s。</w:t>
      </w:r>
    </w:p>
    <w:p>
      <w:pPr>
        <w:adjustRightInd w:val="0"/>
        <w:snapToGrid w:val="0"/>
        <w:spacing w:line="360" w:lineRule="auto"/>
        <w:ind w:firstLine="480" w:firstLineChars="20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（2）排水沟断面尺寸确定</w:t>
      </w:r>
    </w:p>
    <w:p>
      <w:pPr>
        <w:adjustRightInd w:val="0"/>
        <w:snapToGrid w:val="0"/>
        <w:spacing w:line="360" w:lineRule="auto"/>
        <w:ind w:firstLine="480" w:firstLineChars="20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排水沟尺寸及过流能力利用明渠均匀流公式计算：</w:t>
      </w:r>
    </w:p>
    <w:p>
      <w:pPr>
        <w:adjustRightInd w:val="0"/>
        <w:snapToGrid w:val="0"/>
        <w:spacing w:line="360" w:lineRule="auto"/>
        <w:ind w:firstLine="480" w:firstLineChars="200"/>
        <w:jc w:val="center"/>
        <w:rPr>
          <w:rFonts w:hint="eastAsia" w:ascii="Times New Roman" w:hAnsi="Times New Roman" w:eastAsia="仿宋_GB2312" w:cs="Times New Roman"/>
          <w:i w:val="0"/>
          <w:iCs/>
          <w:color w:val="auto"/>
          <w:kern w:val="0"/>
          <w:sz w:val="24"/>
          <w:szCs w:val="24"/>
          <w:highlight w:val="none"/>
          <w:lang w:val="en-US" w:eastAsia="zh-CN"/>
        </w:rPr>
      </w:pPr>
      <w:r>
        <w:rPr>
          <w:rFonts w:ascii="Times New Roman" w:hAnsi="Times New Roman" w:eastAsia="仿宋_GB2312" w:cs="Times New Roman"/>
          <w:color w:val="auto"/>
          <w:kern w:val="0"/>
          <w:sz w:val="24"/>
          <w:szCs w:val="24"/>
          <w:highlight w:val="none"/>
        </w:rPr>
        <w:drawing>
          <wp:anchor distT="0" distB="0" distL="0" distR="0" simplePos="0" relativeHeight="251694080" behindDoc="0" locked="0" layoutInCell="1" allowOverlap="1">
            <wp:simplePos x="0" y="0"/>
            <wp:positionH relativeFrom="page">
              <wp:posOffset>3334385</wp:posOffset>
            </wp:positionH>
            <wp:positionV relativeFrom="paragraph">
              <wp:posOffset>245745</wp:posOffset>
            </wp:positionV>
            <wp:extent cx="1042670" cy="327025"/>
            <wp:effectExtent l="0" t="0" r="8890" b="8255"/>
            <wp:wrapNone/>
            <wp:docPr id="51"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8.png" descr="?"/>
                    <pic:cNvPicPr>
                      <a:picLocks noChangeAspect="1"/>
                    </pic:cNvPicPr>
                  </pic:nvPicPr>
                  <pic:blipFill>
                    <a:blip r:embed="rId30" cstate="print"/>
                    <a:stretch>
                      <a:fillRect/>
                    </a:stretch>
                  </pic:blipFill>
                  <pic:spPr>
                    <a:xfrm>
                      <a:off x="0" y="0"/>
                      <a:ext cx="1042670" cy="327025"/>
                    </a:xfrm>
                    <a:prstGeom prst="rect">
                      <a:avLst/>
                    </a:prstGeom>
                  </pic:spPr>
                </pic:pic>
              </a:graphicData>
            </a:graphic>
          </wp:anchor>
        </w:drawing>
      </w:r>
      <w:r>
        <w:rPr>
          <w:rFonts w:hint="eastAsia" w:ascii="Times New Roman" w:hAnsi="Times New Roman" w:eastAsia="仿宋_GB2312" w:cs="Times New Roman"/>
          <w:color w:val="auto"/>
          <w:kern w:val="0"/>
          <w:sz w:val="24"/>
          <w:szCs w:val="24"/>
          <w:highlight w:val="none"/>
          <w:lang w:val="en-US" w:eastAsia="zh-CN"/>
        </w:rPr>
        <w:t xml:space="preserve">    Q=AC</w:t>
      </w:r>
      <w:r>
        <w:rPr>
          <w:rFonts w:hint="default" w:ascii="Arial" w:hAnsi="Arial" w:eastAsia="仿宋_GB2312" w:cs="Arial"/>
          <w:color w:val="auto"/>
          <w:sz w:val="24"/>
          <w:szCs w:val="24"/>
          <w:highlight w:val="none"/>
          <w:lang w:val="en-US" w:eastAsia="zh-CN"/>
        </w:rPr>
        <w:t>√</w:t>
      </w:r>
      <w:r>
        <w:rPr>
          <w:rFonts w:ascii="Times New Roman" w:hAnsi="Times New Roman" w:eastAsia="仿宋_GB2312" w:cs="Times New Roman"/>
          <w:i/>
          <w:color w:val="auto"/>
          <w:kern w:val="0"/>
          <w:sz w:val="24"/>
          <w:szCs w:val="24"/>
          <w:highlight w:val="none"/>
        </w:rPr>
        <w:t>Ri</w:t>
      </w:r>
      <w:r>
        <w:rPr>
          <w:rFonts w:hint="eastAsia" w:ascii="Times New Roman" w:hAnsi="Times New Roman" w:eastAsia="仿宋_GB2312" w:cs="Times New Roman"/>
          <w:i/>
          <w:color w:val="auto"/>
          <w:kern w:val="0"/>
          <w:sz w:val="24"/>
          <w:szCs w:val="24"/>
          <w:highlight w:val="none"/>
          <w:lang w:val="en-US" w:eastAsia="zh-CN"/>
        </w:rPr>
        <w:t xml:space="preserve">          </w:t>
      </w:r>
      <w:r>
        <w:rPr>
          <w:rFonts w:hint="eastAsia" w:ascii="Times New Roman" w:hAnsi="Times New Roman" w:eastAsia="仿宋_GB2312" w:cs="Times New Roman"/>
          <w:i w:val="0"/>
          <w:iCs/>
          <w:color w:val="auto"/>
          <w:kern w:val="0"/>
          <w:sz w:val="24"/>
          <w:szCs w:val="24"/>
          <w:highlight w:val="none"/>
          <w:lang w:val="en-US" w:eastAsia="zh-CN"/>
        </w:rPr>
        <w:t>即：</w:t>
      </w:r>
    </w:p>
    <w:p>
      <w:pPr>
        <w:pStyle w:val="2"/>
        <w:rPr>
          <w:color w:val="auto"/>
          <w:highlight w:val="none"/>
        </w:rPr>
      </w:pPr>
    </w:p>
    <w:p>
      <w:pPr>
        <w:adjustRightInd w:val="0"/>
        <w:snapToGrid w:val="0"/>
        <w:spacing w:line="360" w:lineRule="auto"/>
        <w:jc w:val="right"/>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（公式 </w:t>
      </w:r>
      <w:r>
        <w:rPr>
          <w:rFonts w:hint="eastAsia" w:ascii="Times New Roman" w:hAnsi="Times New Roman" w:eastAsia="仿宋_GB2312" w:cs="Times New Roman"/>
          <w:color w:val="auto"/>
          <w:kern w:val="0"/>
          <w:sz w:val="24"/>
          <w:szCs w:val="24"/>
          <w:highlight w:val="none"/>
          <w:lang w:val="en-US" w:eastAsia="zh-CN"/>
        </w:rPr>
        <w:t>3</w:t>
      </w:r>
      <w:r>
        <w:rPr>
          <w:rFonts w:ascii="Times New Roman" w:hAnsi="Times New Roman" w:eastAsia="仿宋_GB2312" w:cs="Times New Roman"/>
          <w:color w:val="auto"/>
          <w:kern w:val="0"/>
          <w:sz w:val="24"/>
          <w:szCs w:val="24"/>
          <w:highlight w:val="none"/>
        </w:rPr>
        <w:t>）</w:t>
      </w:r>
    </w:p>
    <w:p>
      <w:pPr>
        <w:adjustRightInd w:val="0"/>
        <w:snapToGrid w:val="0"/>
        <w:spacing w:line="360" w:lineRule="auto"/>
        <w:ind w:firstLine="480" w:firstLineChars="20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式中：</w:t>
      </w:r>
      <w:r>
        <w:rPr>
          <w:rFonts w:ascii="Times New Roman" w:hAnsi="Times New Roman" w:eastAsia="仿宋_GB2312" w:cs="Times New Roman"/>
          <w:i/>
          <w:color w:val="auto"/>
          <w:kern w:val="0"/>
          <w:sz w:val="24"/>
          <w:szCs w:val="24"/>
          <w:highlight w:val="none"/>
        </w:rPr>
        <w:t>Q</w:t>
      </w:r>
      <w:r>
        <w:rPr>
          <w:rFonts w:ascii="Times New Roman" w:hAnsi="Times New Roman" w:eastAsia="仿宋_GB2312" w:cs="Times New Roman"/>
          <w:color w:val="auto"/>
          <w:kern w:val="0"/>
          <w:sz w:val="24"/>
          <w:szCs w:val="24"/>
          <w:highlight w:val="none"/>
        </w:rPr>
        <w:t>——流量，m</w:t>
      </w:r>
      <w:r>
        <w:rPr>
          <w:rFonts w:ascii="Times New Roman" w:hAnsi="Times New Roman" w:eastAsia="仿宋_GB2312" w:cs="Times New Roman"/>
          <w:color w:val="auto"/>
          <w:kern w:val="0"/>
          <w:sz w:val="24"/>
          <w:szCs w:val="24"/>
          <w:highlight w:val="none"/>
          <w:vertAlign w:val="superscript"/>
        </w:rPr>
        <w:t>3</w:t>
      </w:r>
      <w:r>
        <w:rPr>
          <w:rFonts w:ascii="Times New Roman" w:hAnsi="Times New Roman" w:eastAsia="仿宋_GB2312" w:cs="Times New Roman"/>
          <w:color w:val="auto"/>
          <w:kern w:val="0"/>
          <w:sz w:val="24"/>
          <w:szCs w:val="24"/>
          <w:highlight w:val="none"/>
        </w:rPr>
        <w:t>/s；</w:t>
      </w:r>
    </w:p>
    <w:p>
      <w:pPr>
        <w:adjustRightInd w:val="0"/>
        <w:snapToGrid w:val="0"/>
        <w:spacing w:line="360" w:lineRule="auto"/>
        <w:ind w:firstLine="1080" w:firstLineChars="45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ascii="Times New Roman" w:hAnsi="Times New Roman" w:eastAsia="仿宋_GB2312" w:cs="Times New Roman"/>
          <w:i/>
          <w:color w:val="auto"/>
          <w:kern w:val="0"/>
          <w:sz w:val="24"/>
          <w:szCs w:val="24"/>
          <w:highlight w:val="none"/>
        </w:rPr>
        <w:t>A</w:t>
      </w:r>
      <w:r>
        <w:rPr>
          <w:rFonts w:ascii="Times New Roman" w:hAnsi="Times New Roman" w:eastAsia="仿宋_GB2312" w:cs="Times New Roman"/>
          <w:color w:val="auto"/>
          <w:kern w:val="0"/>
          <w:sz w:val="24"/>
          <w:szCs w:val="24"/>
          <w:highlight w:val="none"/>
        </w:rPr>
        <w:t>——断面面积，m</w:t>
      </w:r>
      <w:r>
        <w:rPr>
          <w:rFonts w:ascii="Times New Roman" w:hAnsi="Times New Roman" w:eastAsia="仿宋_GB2312" w:cs="Times New Roman"/>
          <w:color w:val="auto"/>
          <w:kern w:val="0"/>
          <w:sz w:val="24"/>
          <w:szCs w:val="24"/>
          <w:highlight w:val="none"/>
          <w:vertAlign w:val="superscript"/>
        </w:rPr>
        <w:t>2</w:t>
      </w:r>
      <w:r>
        <w:rPr>
          <w:rFonts w:ascii="Times New Roman" w:hAnsi="Times New Roman" w:eastAsia="仿宋_GB2312" w:cs="Times New Roman"/>
          <w:color w:val="auto"/>
          <w:kern w:val="0"/>
          <w:sz w:val="24"/>
          <w:szCs w:val="24"/>
          <w:highlight w:val="none"/>
        </w:rPr>
        <w:t>；</w:t>
      </w:r>
    </w:p>
    <w:p>
      <w:pPr>
        <w:adjustRightInd w:val="0"/>
        <w:snapToGrid w:val="0"/>
        <w:spacing w:line="360" w:lineRule="auto"/>
        <w:ind w:firstLine="1080" w:firstLineChars="45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color w:val="auto"/>
          <w:kern w:val="0"/>
          <w:sz w:val="24"/>
          <w:szCs w:val="24"/>
          <w:highlight w:val="none"/>
        </w:rPr>
        <w:t xml:space="preserve"> </w:t>
      </w:r>
      <w:r>
        <w:rPr>
          <w:rFonts w:ascii="Times New Roman" w:hAnsi="Times New Roman" w:eastAsia="仿宋_GB2312" w:cs="Times New Roman"/>
          <w:i/>
          <w:color w:val="auto"/>
          <w:kern w:val="0"/>
          <w:sz w:val="24"/>
          <w:szCs w:val="24"/>
          <w:highlight w:val="none"/>
        </w:rPr>
        <w:t>n</w:t>
      </w:r>
      <w:r>
        <w:rPr>
          <w:rFonts w:ascii="Times New Roman" w:hAnsi="Times New Roman" w:eastAsia="仿宋_GB2312" w:cs="Times New Roman"/>
          <w:color w:val="auto"/>
          <w:kern w:val="0"/>
          <w:sz w:val="24"/>
          <w:szCs w:val="24"/>
          <w:highlight w:val="none"/>
        </w:rPr>
        <w:t>——糙率</w:t>
      </w:r>
      <w:r>
        <w:rPr>
          <w:rFonts w:hint="eastAsia" w:ascii="Times New Roman" w:hAnsi="Times New Roman" w:eastAsia="仿宋_GB2312" w:cs="Times New Roman"/>
          <w:color w:val="auto"/>
          <w:kern w:val="0"/>
          <w:sz w:val="24"/>
          <w:szCs w:val="24"/>
          <w:highlight w:val="none"/>
          <w:lang w:eastAsia="zh-CN"/>
        </w:rPr>
        <w:t>，</w:t>
      </w:r>
      <w:r>
        <w:rPr>
          <w:rFonts w:hint="eastAsia" w:ascii="Times New Roman" w:hAnsi="Times New Roman" w:eastAsia="仿宋_GB2312" w:cs="Times New Roman"/>
          <w:color w:val="auto"/>
          <w:kern w:val="0"/>
          <w:sz w:val="24"/>
          <w:szCs w:val="24"/>
          <w:highlight w:val="none"/>
          <w:lang w:val="en-US" w:eastAsia="zh-CN"/>
        </w:rPr>
        <w:t>取0.015</w:t>
      </w:r>
      <w:r>
        <w:rPr>
          <w:rFonts w:ascii="Times New Roman" w:hAnsi="Times New Roman" w:eastAsia="仿宋_GB2312" w:cs="Times New Roman"/>
          <w:color w:val="auto"/>
          <w:kern w:val="0"/>
          <w:sz w:val="24"/>
          <w:szCs w:val="24"/>
          <w:highlight w:val="none"/>
        </w:rPr>
        <w:t>；</w:t>
      </w:r>
    </w:p>
    <w:p>
      <w:pPr>
        <w:adjustRightInd w:val="0"/>
        <w:snapToGrid w:val="0"/>
        <w:spacing w:line="360" w:lineRule="auto"/>
        <w:ind w:firstLine="1200" w:firstLineChars="50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i/>
          <w:color w:val="auto"/>
          <w:kern w:val="0"/>
          <w:sz w:val="24"/>
          <w:szCs w:val="24"/>
          <w:highlight w:val="none"/>
        </w:rPr>
        <w:t>R</w:t>
      </w:r>
      <w:r>
        <w:rPr>
          <w:rFonts w:ascii="Times New Roman" w:hAnsi="Times New Roman" w:eastAsia="仿宋_GB2312" w:cs="Times New Roman"/>
          <w:color w:val="auto"/>
          <w:kern w:val="0"/>
          <w:sz w:val="24"/>
          <w:szCs w:val="24"/>
          <w:highlight w:val="none"/>
        </w:rPr>
        <w:t>——水力半径，</w:t>
      </w:r>
      <w:r>
        <w:rPr>
          <w:rFonts w:hint="eastAsia" w:ascii="Times New Roman" w:hAnsi="Times New Roman" w:eastAsia="仿宋_GB2312" w:cs="Times New Roman"/>
          <w:color w:val="auto"/>
          <w:kern w:val="0"/>
          <w:sz w:val="24"/>
          <w:szCs w:val="24"/>
          <w:highlight w:val="none"/>
          <w:lang w:val="en-US" w:eastAsia="zh-CN"/>
        </w:rPr>
        <w:t>0.6+0.6*2=1.8</w:t>
      </w:r>
      <w:r>
        <w:rPr>
          <w:rFonts w:ascii="Times New Roman" w:hAnsi="Times New Roman" w:eastAsia="仿宋_GB2312" w:cs="Times New Roman"/>
          <w:color w:val="auto"/>
          <w:kern w:val="0"/>
          <w:sz w:val="24"/>
          <w:szCs w:val="24"/>
          <w:highlight w:val="none"/>
        </w:rPr>
        <w:t xml:space="preserve">m </w:t>
      </w:r>
    </w:p>
    <w:p>
      <w:pPr>
        <w:adjustRightInd w:val="0"/>
        <w:snapToGrid w:val="0"/>
        <w:spacing w:line="360" w:lineRule="auto"/>
        <w:ind w:firstLine="1200" w:firstLineChars="500"/>
        <w:rPr>
          <w:rFonts w:ascii="Times New Roman" w:hAnsi="Times New Roman" w:eastAsia="仿宋_GB2312" w:cs="Times New Roman"/>
          <w:color w:val="auto"/>
          <w:kern w:val="0"/>
          <w:sz w:val="24"/>
          <w:szCs w:val="24"/>
          <w:highlight w:val="none"/>
        </w:rPr>
      </w:pPr>
      <w:r>
        <w:rPr>
          <w:rFonts w:ascii="Times New Roman" w:hAnsi="Times New Roman" w:eastAsia="仿宋_GB2312" w:cs="Times New Roman"/>
          <w:i/>
          <w:color w:val="auto"/>
          <w:kern w:val="0"/>
          <w:sz w:val="24"/>
          <w:szCs w:val="24"/>
          <w:highlight w:val="none"/>
        </w:rPr>
        <w:t>i</w:t>
      </w:r>
      <w:r>
        <w:rPr>
          <w:rFonts w:ascii="Times New Roman" w:hAnsi="Times New Roman" w:eastAsia="仿宋_GB2312" w:cs="Times New Roman"/>
          <w:color w:val="auto"/>
          <w:kern w:val="0"/>
          <w:sz w:val="24"/>
          <w:szCs w:val="24"/>
          <w:highlight w:val="none"/>
        </w:rPr>
        <w:t>——比降</w:t>
      </w:r>
      <w:r>
        <w:rPr>
          <w:rFonts w:hint="eastAsia" w:ascii="Times New Roman" w:hAnsi="Times New Roman" w:eastAsia="仿宋_GB2312" w:cs="Times New Roman"/>
          <w:color w:val="auto"/>
          <w:kern w:val="0"/>
          <w:sz w:val="24"/>
          <w:szCs w:val="24"/>
          <w:highlight w:val="none"/>
          <w:lang w:eastAsia="zh-CN"/>
        </w:rPr>
        <w:t>，</w:t>
      </w:r>
      <w:r>
        <w:rPr>
          <w:rFonts w:hint="eastAsia" w:ascii="Times New Roman" w:hAnsi="Times New Roman" w:eastAsia="仿宋_GB2312" w:cs="Times New Roman"/>
          <w:color w:val="auto"/>
          <w:kern w:val="0"/>
          <w:sz w:val="24"/>
          <w:szCs w:val="24"/>
          <w:highlight w:val="none"/>
          <w:lang w:val="en-US" w:eastAsia="zh-CN"/>
        </w:rPr>
        <w:t>本项目排水沟</w:t>
      </w:r>
      <w:r>
        <w:rPr>
          <w:rFonts w:ascii="Times New Roman" w:hAnsi="Times New Roman" w:eastAsia="仿宋_GB2312" w:cs="Times New Roman"/>
          <w:color w:val="auto"/>
          <w:kern w:val="0"/>
          <w:sz w:val="24"/>
          <w:szCs w:val="24"/>
          <w:highlight w:val="none"/>
        </w:rPr>
        <w:t>比降</w:t>
      </w:r>
      <w:r>
        <w:rPr>
          <w:rFonts w:hint="eastAsia" w:ascii="Times New Roman" w:hAnsi="Times New Roman" w:eastAsia="仿宋_GB2312" w:cs="Times New Roman"/>
          <w:color w:val="auto"/>
          <w:kern w:val="0"/>
          <w:sz w:val="24"/>
          <w:szCs w:val="24"/>
          <w:highlight w:val="none"/>
          <w:lang w:val="en-US" w:eastAsia="zh-CN"/>
        </w:rPr>
        <w:t>为0.5%</w:t>
      </w:r>
      <w:r>
        <w:rPr>
          <w:rFonts w:ascii="Times New Roman" w:hAnsi="Times New Roman" w:eastAsia="仿宋_GB2312" w:cs="Times New Roman"/>
          <w:color w:val="auto"/>
          <w:kern w:val="0"/>
          <w:sz w:val="24"/>
          <w:szCs w:val="24"/>
          <w:highlight w:val="none"/>
        </w:rPr>
        <w:t>。</w:t>
      </w:r>
    </w:p>
    <w:p>
      <w:pPr>
        <w:pStyle w:val="2"/>
        <w:rPr>
          <w:rFonts w:hint="eastAsia" w:eastAsia="仿宋_GB2312"/>
          <w:color w:val="auto"/>
          <w:highlight w:val="none"/>
          <w:lang w:val="en-US" w:eastAsia="zh-CN"/>
        </w:rPr>
      </w:pPr>
      <w:r>
        <w:rPr>
          <w:rFonts w:hint="eastAsia" w:cs="Times New Roman"/>
          <w:color w:val="auto"/>
          <w:kern w:val="0"/>
          <w:sz w:val="24"/>
          <w:szCs w:val="24"/>
          <w:highlight w:val="none"/>
          <w:lang w:val="en-US" w:eastAsia="zh-CN"/>
        </w:rPr>
        <w:t>计算得</w:t>
      </w:r>
      <w:r>
        <w:rPr>
          <w:rFonts w:ascii="Times New Roman" w:hAnsi="Times New Roman" w:eastAsia="仿宋_GB2312" w:cs="Times New Roman"/>
          <w:i/>
          <w:color w:val="auto"/>
          <w:kern w:val="0"/>
          <w:sz w:val="24"/>
          <w:szCs w:val="24"/>
          <w:highlight w:val="none"/>
        </w:rPr>
        <w:t>Q</w:t>
      </w:r>
      <w:r>
        <w:rPr>
          <w:rFonts w:hint="eastAsia" w:cs="Times New Roman"/>
          <w:i/>
          <w:color w:val="auto"/>
          <w:kern w:val="0"/>
          <w:sz w:val="24"/>
          <w:szCs w:val="24"/>
          <w:highlight w:val="none"/>
          <w:lang w:val="en-US" w:eastAsia="zh-CN"/>
        </w:rPr>
        <w:t>=</w:t>
      </w:r>
      <w:r>
        <w:rPr>
          <w:rFonts w:hint="eastAsia" w:cs="Times New Roman"/>
          <w:i w:val="0"/>
          <w:iCs/>
          <w:color w:val="auto"/>
          <w:kern w:val="0"/>
          <w:sz w:val="24"/>
          <w:szCs w:val="24"/>
          <w:highlight w:val="none"/>
          <w:lang w:val="en-US" w:eastAsia="zh-CN"/>
        </w:rPr>
        <w:t>0.580</w:t>
      </w:r>
      <w:r>
        <w:rPr>
          <w:rFonts w:hint="eastAsia" w:cs="Times New Roman"/>
          <w:color w:val="auto"/>
          <w:kern w:val="0"/>
          <w:sz w:val="24"/>
          <w:szCs w:val="24"/>
          <w:highlight w:val="none"/>
          <w:vertAlign w:val="baseline"/>
          <w:lang w:val="en-US" w:eastAsia="zh-CN"/>
        </w:rPr>
        <w:t>m</w:t>
      </w:r>
      <w:r>
        <w:rPr>
          <w:rFonts w:hint="eastAsia" w:cs="Times New Roman"/>
          <w:color w:val="auto"/>
          <w:kern w:val="0"/>
          <w:sz w:val="24"/>
          <w:szCs w:val="24"/>
          <w:highlight w:val="none"/>
          <w:vertAlign w:val="superscript"/>
          <w:lang w:val="en-US" w:eastAsia="zh-CN"/>
        </w:rPr>
        <w:t>3</w:t>
      </w:r>
      <w:r>
        <w:rPr>
          <w:rFonts w:hint="eastAsia" w:cs="Times New Roman"/>
          <w:color w:val="auto"/>
          <w:kern w:val="0"/>
          <w:sz w:val="24"/>
          <w:szCs w:val="24"/>
          <w:highlight w:val="none"/>
          <w:vertAlign w:val="baseline"/>
          <w:lang w:val="en-US" w:eastAsia="zh-CN"/>
        </w:rPr>
        <w:t>/s。即</w:t>
      </w:r>
      <w:r>
        <w:rPr>
          <w:rFonts w:ascii="Times New Roman" w:hAnsi="Times New Roman" w:eastAsia="仿宋_GB2312" w:cs="Times New Roman"/>
          <w:i/>
          <w:color w:val="auto"/>
          <w:kern w:val="0"/>
          <w:sz w:val="24"/>
          <w:szCs w:val="24"/>
          <w:highlight w:val="none"/>
        </w:rPr>
        <w:t>Q</w:t>
      </w:r>
      <w:r>
        <w:rPr>
          <w:rFonts w:hint="eastAsia" w:cs="Times New Roman"/>
          <w:i/>
          <w:color w:val="auto"/>
          <w:kern w:val="0"/>
          <w:sz w:val="24"/>
          <w:szCs w:val="24"/>
          <w:highlight w:val="none"/>
          <w:lang w:val="en-US" w:eastAsia="zh-CN"/>
        </w:rPr>
        <w:t>＞</w:t>
      </w:r>
      <w:r>
        <w:rPr>
          <w:rFonts w:ascii="Times New Roman" w:hAnsi="Times New Roman" w:eastAsia="仿宋_GB2312" w:cs="Times New Roman"/>
          <w:color w:val="auto"/>
          <w:kern w:val="0"/>
          <w:sz w:val="24"/>
          <w:szCs w:val="24"/>
          <w:highlight w:val="none"/>
        </w:rPr>
        <w:t>Q</w:t>
      </w:r>
      <w:r>
        <w:rPr>
          <w:rFonts w:ascii="Times New Roman" w:hAnsi="Times New Roman" w:eastAsia="仿宋_GB2312" w:cs="Times New Roman"/>
          <w:color w:val="auto"/>
          <w:kern w:val="0"/>
          <w:sz w:val="24"/>
          <w:szCs w:val="24"/>
          <w:highlight w:val="none"/>
          <w:vertAlign w:val="subscript"/>
        </w:rPr>
        <w:t>m</w:t>
      </w:r>
      <w:r>
        <w:rPr>
          <w:rFonts w:hint="eastAsia" w:cs="Times New Roman"/>
          <w:color w:val="auto"/>
          <w:kern w:val="0"/>
          <w:sz w:val="24"/>
          <w:szCs w:val="24"/>
          <w:highlight w:val="none"/>
          <w:vertAlign w:val="baseline"/>
          <w:lang w:eastAsia="zh-CN"/>
        </w:rPr>
        <w:t>。</w:t>
      </w:r>
    </w:p>
    <w:p>
      <w:pPr>
        <w:adjustRightInd w:val="0"/>
        <w:snapToGrid w:val="0"/>
        <w:spacing w:line="360" w:lineRule="auto"/>
        <w:ind w:firstLine="480" w:firstLineChars="200"/>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sz w:val="24"/>
        </w:rPr>
        <w:t>经计算，站场工程主体设计的</w:t>
      </w:r>
      <w:r>
        <w:rPr>
          <w:rFonts w:hint="eastAsia" w:ascii="Times New Roman" w:hAnsi="Times New Roman" w:eastAsia="仿宋_GB2312" w:cs="Times New Roman"/>
          <w:color w:val="auto"/>
          <w:sz w:val="24"/>
          <w:lang w:val="en-US" w:eastAsia="zh-CN"/>
        </w:rPr>
        <w:t>场外</w:t>
      </w:r>
      <w:r>
        <w:rPr>
          <w:rFonts w:ascii="Times New Roman" w:hAnsi="Times New Roman" w:eastAsia="仿宋_GB2312" w:cs="Times New Roman"/>
          <w:color w:val="auto"/>
          <w:sz w:val="24"/>
        </w:rPr>
        <w:t>排水沟均满足过流要求</w:t>
      </w:r>
      <w:r>
        <w:rPr>
          <w:rFonts w:ascii="Times New Roman" w:hAnsi="Times New Roman" w:eastAsia="仿宋_GB2312" w:cs="Times New Roman"/>
          <w:color w:val="auto"/>
          <w:kern w:val="0"/>
          <w:sz w:val="24"/>
          <w:szCs w:val="24"/>
        </w:rPr>
        <w:t>。</w:t>
      </w:r>
    </w:p>
    <w:p>
      <w:pPr>
        <w:spacing w:line="360" w:lineRule="auto"/>
        <w:ind w:firstLine="460" w:firstLineChars="192"/>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4</w:t>
      </w:r>
      <w:r>
        <w:rPr>
          <w:rFonts w:hint="eastAsia" w:ascii="Times New Roman" w:hAnsi="Times New Roman" w:eastAsia="仿宋_GB2312" w:cs="Times New Roman"/>
          <w:color w:val="auto"/>
          <w:sz w:val="24"/>
          <w:szCs w:val="24"/>
        </w:rPr>
        <w:t>、挡土墙</w:t>
      </w:r>
    </w:p>
    <w:p>
      <w:pPr>
        <w:adjustRightInd w:val="0"/>
        <w:snapToGrid w:val="0"/>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本项目井场主要为半挖半填，挖方及</w:t>
      </w:r>
      <w:r>
        <w:rPr>
          <w:rFonts w:hint="eastAsia" w:ascii="Times New Roman" w:hAnsi="Times New Roman" w:eastAsia="仿宋_GB2312" w:cs="Times New Roman"/>
          <w:color w:val="auto"/>
          <w:sz w:val="24"/>
          <w:szCs w:val="24"/>
        </w:rPr>
        <w:t>填方边坡主要采用</w:t>
      </w:r>
      <w:r>
        <w:rPr>
          <w:rFonts w:hint="eastAsia" w:ascii="Times New Roman" w:hAnsi="Times New Roman" w:eastAsia="仿宋_GB2312" w:cs="Times New Roman"/>
          <w:color w:val="auto"/>
          <w:sz w:val="24"/>
          <w:szCs w:val="24"/>
          <w:lang w:val="en-US" w:eastAsia="zh-CN"/>
        </w:rPr>
        <w:t>分级</w:t>
      </w:r>
      <w:r>
        <w:rPr>
          <w:rFonts w:ascii="Times New Roman" w:hAnsi="Times New Roman" w:eastAsia="仿宋_GB2312" w:cs="Times New Roman"/>
          <w:color w:val="auto"/>
          <w:sz w:val="24"/>
          <w:szCs w:val="24"/>
        </w:rPr>
        <w:t>放坡</w:t>
      </w:r>
      <w:r>
        <w:rPr>
          <w:rFonts w:hint="eastAsia" w:ascii="Times New Roman" w:hAnsi="Times New Roman" w:eastAsia="仿宋_GB2312" w:cs="Times New Roman"/>
          <w:color w:val="auto"/>
          <w:sz w:val="24"/>
          <w:szCs w:val="24"/>
          <w:lang w:val="en-US" w:eastAsia="zh-CN"/>
        </w:rPr>
        <w:t>的做法</w:t>
      </w:r>
      <w:r>
        <w:rPr>
          <w:rFonts w:ascii="Times New Roman" w:hAnsi="Times New Roman" w:eastAsia="仿宋_GB2312" w:cs="Times New Roman"/>
          <w:color w:val="auto"/>
          <w:sz w:val="24"/>
          <w:szCs w:val="24"/>
        </w:rPr>
        <w:t>，坡脚设置</w:t>
      </w:r>
      <w:r>
        <w:rPr>
          <w:rFonts w:hint="eastAsia" w:ascii="Times New Roman" w:hAnsi="Times New Roman" w:eastAsia="仿宋_GB2312" w:cs="Times New Roman"/>
          <w:color w:val="auto"/>
          <w:sz w:val="24"/>
          <w:szCs w:val="24"/>
          <w:lang w:val="en-US" w:eastAsia="zh-CN"/>
        </w:rPr>
        <w:t>了</w:t>
      </w:r>
      <w:r>
        <w:rPr>
          <w:rFonts w:hint="eastAsia" w:ascii="Times New Roman" w:hAnsi="Times New Roman" w:eastAsia="仿宋_GB2312" w:cs="Times New Roman"/>
          <w:color w:val="auto"/>
          <w:sz w:val="24"/>
          <w:szCs w:val="24"/>
        </w:rPr>
        <w:t>混凝土挡土墙</w:t>
      </w:r>
      <w:r>
        <w:rPr>
          <w:rFonts w:ascii="Times New Roman" w:hAnsi="Times New Roman" w:eastAsia="仿宋_GB2312" w:cs="Times New Roman"/>
          <w:color w:val="auto"/>
          <w:sz w:val="24"/>
          <w:szCs w:val="24"/>
        </w:rPr>
        <w:t>（</w:t>
      </w:r>
      <w:r>
        <w:rPr>
          <w:rFonts w:hint="eastAsia" w:ascii="Times New Roman" w:hAnsi="Times New Roman" w:eastAsia="仿宋_GB2312" w:cs="Times New Roman"/>
          <w:color w:val="auto"/>
          <w:sz w:val="24"/>
          <w:szCs w:val="24"/>
        </w:rPr>
        <w:t>用</w:t>
      </w:r>
      <w:r>
        <w:rPr>
          <w:rFonts w:ascii="Times New Roman" w:hAnsi="Times New Roman" w:eastAsia="仿宋_GB2312" w:cs="Times New Roman"/>
          <w:color w:val="auto"/>
          <w:sz w:val="24"/>
          <w:szCs w:val="24"/>
        </w:rPr>
        <w:t>C2</w:t>
      </w:r>
      <w:r>
        <w:rPr>
          <w:rFonts w:hint="eastAsia" w:ascii="Times New Roman" w:hAnsi="Times New Roman" w:eastAsia="仿宋_GB2312" w:cs="Times New Roman"/>
          <w:color w:val="auto"/>
          <w:sz w:val="24"/>
          <w:szCs w:val="24"/>
        </w:rPr>
        <w:t>0</w:t>
      </w:r>
      <w:r>
        <w:rPr>
          <w:rFonts w:ascii="Times New Roman" w:hAnsi="Times New Roman" w:eastAsia="仿宋_GB2312" w:cs="Times New Roman"/>
          <w:color w:val="auto"/>
          <w:sz w:val="24"/>
          <w:szCs w:val="24"/>
        </w:rPr>
        <w:t>片石混凝土浇筑，重力式挡土墙）</w:t>
      </w:r>
      <w:r>
        <w:rPr>
          <w:rFonts w:hint="eastAsia" w:ascii="Times New Roman" w:hAnsi="Times New Roman" w:eastAsia="仿宋_GB2312" w:cs="Times New Roman"/>
          <w:color w:val="auto"/>
          <w:sz w:val="24"/>
          <w:szCs w:val="24"/>
        </w:rPr>
        <w:t>。</w:t>
      </w:r>
    </w:p>
    <w:p>
      <w:pPr>
        <w:adjustRightInd w:val="0"/>
        <w:snapToGrid w:val="0"/>
        <w:spacing w:line="360" w:lineRule="auto"/>
        <w:ind w:firstLine="480" w:firstLineChars="200"/>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rPr>
        <w:t>水土保持分析评价：井场平台挡土墙主要是为主体工程安全服务，具有一定的水土保持功能，但考虑其为单纯的工程防护措施，以主体功能为主，不应界定为水土保持工程。</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水土保持分析评价：上述措施中，挡水（污）墙、集水（污）坑主要是为主体工程安全和环境保护服务，同时具有一定的水保功能措施，以主体功能为主，不界定为水土保持措施；场外截排水沟及场内砖砌排水沟以水土保持功能为主，应界定为水土保持措施。经验算，主体设计的排水沟满足井场排水要求。</w:t>
      </w:r>
    </w:p>
    <w:p>
      <w:pPr>
        <w:spacing w:line="360" w:lineRule="auto"/>
        <w:ind w:firstLine="460" w:firstLineChars="192"/>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5</w:t>
      </w:r>
      <w:r>
        <w:rPr>
          <w:rFonts w:ascii="Times New Roman" w:hAnsi="Times New Roman" w:eastAsia="仿宋_GB2312" w:cs="Times New Roman"/>
          <w:color w:val="auto"/>
          <w:sz w:val="24"/>
          <w:szCs w:val="24"/>
        </w:rPr>
        <w:t>、植物措施</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主体工程设计对本项目</w:t>
      </w:r>
      <w:r>
        <w:rPr>
          <w:rFonts w:hint="eastAsia" w:ascii="Times New Roman" w:hAnsi="Times New Roman" w:eastAsia="仿宋_GB2312" w:cs="Times New Roman"/>
          <w:color w:val="auto"/>
          <w:sz w:val="24"/>
          <w:szCs w:val="24"/>
          <w:lang w:val="en-US" w:eastAsia="zh-CN"/>
        </w:rPr>
        <w:t>新建井场挖</w:t>
      </w:r>
      <w:r>
        <w:rPr>
          <w:rFonts w:ascii="Times New Roman" w:hAnsi="Times New Roman" w:eastAsia="仿宋_GB2312" w:cs="Times New Roman"/>
          <w:color w:val="auto"/>
          <w:sz w:val="24"/>
          <w:szCs w:val="24"/>
        </w:rPr>
        <w:t>填方土质边坡</w:t>
      </w:r>
      <w:r>
        <w:rPr>
          <w:rFonts w:hint="eastAsia" w:ascii="Times New Roman" w:hAnsi="Times New Roman" w:eastAsia="仿宋_GB2312" w:cs="Times New Roman"/>
          <w:color w:val="auto"/>
          <w:sz w:val="24"/>
          <w:szCs w:val="24"/>
          <w:lang w:val="en-US" w:eastAsia="zh-CN"/>
        </w:rPr>
        <w:t>采取了</w:t>
      </w:r>
      <w:r>
        <w:rPr>
          <w:rFonts w:ascii="Times New Roman" w:hAnsi="Times New Roman" w:eastAsia="仿宋_GB2312" w:cs="Times New Roman"/>
          <w:color w:val="auto"/>
          <w:sz w:val="24"/>
          <w:szCs w:val="24"/>
        </w:rPr>
        <w:t>播撒草种</w:t>
      </w:r>
      <w:r>
        <w:rPr>
          <w:rFonts w:hint="eastAsia" w:ascii="Times New Roman" w:hAnsi="Times New Roman" w:eastAsia="仿宋_GB2312" w:cs="Times New Roman"/>
          <w:color w:val="auto"/>
          <w:sz w:val="24"/>
          <w:szCs w:val="24"/>
          <w:lang w:val="en-US" w:eastAsia="zh-CN"/>
        </w:rPr>
        <w:t>的措施</w:t>
      </w:r>
      <w:r>
        <w:rPr>
          <w:rFonts w:ascii="Times New Roman" w:hAnsi="Times New Roman" w:eastAsia="仿宋_GB2312" w:cs="Times New Roman"/>
          <w:color w:val="auto"/>
          <w:sz w:val="24"/>
          <w:szCs w:val="24"/>
        </w:rPr>
        <w:t>，以防止地面雨水对土质边坡造成冲刷。设计</w:t>
      </w:r>
      <w:r>
        <w:rPr>
          <w:rFonts w:hint="eastAsia" w:ascii="Times New Roman" w:hAnsi="Times New Roman" w:eastAsia="仿宋_GB2312" w:cs="Times New Roman"/>
          <w:color w:val="auto"/>
          <w:sz w:val="24"/>
          <w:szCs w:val="24"/>
          <w:lang w:val="en-US" w:eastAsia="zh-CN"/>
        </w:rPr>
        <w:t>边坡绿化</w:t>
      </w:r>
      <w:r>
        <w:rPr>
          <w:rFonts w:ascii="Times New Roman" w:hAnsi="Times New Roman" w:eastAsia="仿宋_GB2312" w:cs="Times New Roman"/>
          <w:color w:val="auto"/>
          <w:sz w:val="24"/>
          <w:szCs w:val="24"/>
        </w:rPr>
        <w:t>面积</w:t>
      </w:r>
      <w:r>
        <w:rPr>
          <w:rFonts w:hint="eastAsia" w:ascii="Times New Roman" w:hAnsi="Times New Roman" w:eastAsia="仿宋_GB2312" w:cs="Times New Roman"/>
          <w:color w:val="auto"/>
          <w:sz w:val="24"/>
          <w:szCs w:val="24"/>
          <w:lang w:val="en-US" w:eastAsia="zh-CN"/>
        </w:rPr>
        <w:t>900</w:t>
      </w:r>
      <w:r>
        <w:rPr>
          <w:rFonts w:ascii="Times New Roman" w:hAnsi="Times New Roman" w:eastAsia="仿宋_GB2312" w:cs="Times New Roman"/>
          <w:color w:val="auto"/>
          <w:sz w:val="24"/>
          <w:szCs w:val="24"/>
        </w:rPr>
        <w:t>m</w:t>
      </w:r>
      <w:r>
        <w:rPr>
          <w:rFonts w:ascii="Times New Roman" w:hAnsi="Times New Roman" w:eastAsia="仿宋_GB2312" w:cs="Times New Roman"/>
          <w:color w:val="auto"/>
          <w:sz w:val="24"/>
          <w:szCs w:val="24"/>
          <w:vertAlign w:val="superscript"/>
        </w:rPr>
        <w:t>2</w:t>
      </w:r>
      <w:r>
        <w:rPr>
          <w:rFonts w:hint="eastAsia" w:ascii="Times New Roman" w:hAnsi="Times New Roman" w:eastAsia="仿宋_GB2312" w:cs="Times New Roman"/>
          <w:color w:val="auto"/>
          <w:sz w:val="24"/>
          <w:szCs w:val="24"/>
          <w:lang w:eastAsia="zh-CN"/>
        </w:rPr>
        <w:t>；</w:t>
      </w:r>
      <w:r>
        <w:rPr>
          <w:rFonts w:ascii="Times New Roman" w:hAnsi="Times New Roman" w:eastAsia="仿宋_GB2312" w:cs="Times New Roman"/>
          <w:color w:val="auto"/>
          <w:sz w:val="24"/>
          <w:szCs w:val="24"/>
        </w:rPr>
        <w:t>初步考虑种植狗牙根草或细叶结缕草。植物措施具有较好的水土保持功能，均应界定为水土保持措施。</w:t>
      </w:r>
    </w:p>
    <w:p>
      <w:pPr>
        <w:spacing w:line="360" w:lineRule="auto"/>
        <w:ind w:firstLine="460" w:firstLineChars="192"/>
        <w:rPr>
          <w:rFonts w:ascii="Times New Roman" w:hAnsi="Times New Roman" w:eastAsia="仿宋_GB2312" w:cs="Times New Roman"/>
          <w:color w:val="auto"/>
          <w:sz w:val="24"/>
          <w:szCs w:val="24"/>
        </w:rPr>
      </w:pPr>
      <w:r>
        <w:rPr>
          <w:rFonts w:hint="eastAsia" w:ascii="Times New Roman" w:hAnsi="Times New Roman" w:eastAsia="仿宋_GB2312" w:cs="Times New Roman"/>
          <w:color w:val="auto"/>
          <w:sz w:val="24"/>
          <w:szCs w:val="24"/>
          <w:lang w:val="en-US" w:eastAsia="zh-CN"/>
        </w:rPr>
        <w:t>6</w:t>
      </w:r>
      <w:r>
        <w:rPr>
          <w:rFonts w:ascii="Times New Roman" w:hAnsi="Times New Roman" w:eastAsia="仿宋_GB2312" w:cs="Times New Roman"/>
          <w:color w:val="auto"/>
          <w:sz w:val="24"/>
          <w:szCs w:val="24"/>
        </w:rPr>
        <w:t>、存在的不足及完善意见</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上述主体采取的一些措施既能满足工程建设需要，也具有良好的水土保持功能。但这些措施不能够全面有效预防工程水土流失，主要反映在主体设计缺少施工期间的临时防护措施，及施工结束后的复垦措施，方案将补充施工期间临时排水沟、临时沉砂池及开挖土临时苫盖等防护措施，</w:t>
      </w:r>
      <w:r>
        <w:rPr>
          <w:rFonts w:hint="eastAsia" w:ascii="Times New Roman" w:hAnsi="Times New Roman" w:eastAsia="仿宋_GB2312" w:cs="Times New Roman"/>
          <w:color w:val="auto"/>
          <w:sz w:val="24"/>
          <w:szCs w:val="24"/>
          <w:lang w:val="en-US" w:eastAsia="zh-CN"/>
        </w:rPr>
        <w:t>以</w:t>
      </w:r>
      <w:r>
        <w:rPr>
          <w:rFonts w:ascii="Times New Roman" w:hAnsi="Times New Roman" w:eastAsia="仿宋_GB2312" w:cs="Times New Roman"/>
          <w:color w:val="auto"/>
          <w:sz w:val="24"/>
          <w:szCs w:val="24"/>
        </w:rPr>
        <w:t>形成完整的水土保持防护措施体系，有效控制工程建设新增水土流失。</w:t>
      </w:r>
    </w:p>
    <w:p>
      <w:pPr>
        <w:keepNext/>
        <w:keepLines/>
        <w:spacing w:before="120" w:beforeLines="50" w:after="120" w:afterLines="50" w:line="360" w:lineRule="auto"/>
        <w:outlineLvl w:val="3"/>
        <w:rPr>
          <w:rFonts w:hint="eastAsia" w:ascii="Times New Roman" w:hAnsi="Times New Roman" w:eastAsia="仿宋_GB2312" w:cs="Times New Roman"/>
          <w:b/>
          <w:bCs/>
          <w:color w:val="auto"/>
          <w:sz w:val="24"/>
          <w:szCs w:val="28"/>
          <w:lang w:eastAsia="zh-CN"/>
        </w:rPr>
      </w:pPr>
      <w:r>
        <w:rPr>
          <w:rFonts w:ascii="Times New Roman" w:hAnsi="Times New Roman" w:eastAsia="仿宋_GB2312" w:cs="Times New Roman"/>
          <w:b/>
          <w:bCs/>
          <w:color w:val="auto"/>
          <w:sz w:val="24"/>
          <w:szCs w:val="28"/>
        </w:rPr>
        <w:t>3.2.7.2</w:t>
      </w:r>
      <w:r>
        <w:rPr>
          <w:rFonts w:hint="eastAsia" w:ascii="Times New Roman" w:hAnsi="Times New Roman" w:eastAsia="仿宋_GB2312" w:cs="Times New Roman"/>
          <w:b/>
          <w:bCs/>
          <w:color w:val="auto"/>
          <w:sz w:val="24"/>
          <w:szCs w:val="28"/>
          <w:vertAlign w:val="baseline"/>
          <w:lang w:eastAsia="zh-CN"/>
        </w:rPr>
        <w:t>临时生活区</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该区主要包括生活区临时房屋。由于各种材料的堆放、临时房屋的修建、施工造成的裸露地表、人为踩踏等影响，易引起水土流失。现阶段，主体工程中没有设计具有水保功能的相关措施。为减少施工建设活动引起的水土流失，本方案对施工临时占地区补充的工程措施包括</w:t>
      </w:r>
      <w:r>
        <w:rPr>
          <w:rFonts w:hint="eastAsia" w:ascii="Times New Roman" w:hAnsi="Times New Roman" w:eastAsia="仿宋_GB2312" w:cs="Times New Roman"/>
          <w:color w:val="auto"/>
          <w:sz w:val="24"/>
          <w:szCs w:val="24"/>
          <w:lang w:val="en-US" w:eastAsia="zh-CN"/>
        </w:rPr>
        <w:t>表土剥离及回覆、</w:t>
      </w:r>
      <w:r>
        <w:rPr>
          <w:rFonts w:ascii="Times New Roman" w:hAnsi="Times New Roman" w:eastAsia="仿宋_GB2312" w:cs="Times New Roman"/>
          <w:color w:val="auto"/>
          <w:sz w:val="24"/>
          <w:szCs w:val="24"/>
        </w:rPr>
        <w:t>土地整治、复耕</w:t>
      </w:r>
      <w:r>
        <w:rPr>
          <w:rFonts w:hint="eastAsia" w:ascii="Times New Roman" w:hAnsi="Times New Roman" w:eastAsia="仿宋_GB2312" w:cs="Times New Roman"/>
          <w:color w:val="auto"/>
          <w:sz w:val="24"/>
          <w:szCs w:val="24"/>
          <w:lang w:eastAsia="zh-CN"/>
        </w:rPr>
        <w:t>；</w:t>
      </w:r>
      <w:r>
        <w:rPr>
          <w:rFonts w:ascii="Times New Roman" w:hAnsi="Times New Roman" w:eastAsia="仿宋_GB2312" w:cs="Times New Roman"/>
          <w:color w:val="auto"/>
          <w:sz w:val="24"/>
          <w:szCs w:val="24"/>
        </w:rPr>
        <w:t>临时措施包括土工布铺垫、临时排水沟、临时沉砂池等。</w:t>
      </w:r>
    </w:p>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3.2.7.3表土堆放场</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主体工程中设计了部分具有水保功能的相关措施，主要为坡面和顶面的临时植草措施</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以及坡脚的挡土袋</w:t>
      </w:r>
      <w:r>
        <w:rPr>
          <w:rFonts w:ascii="Times New Roman" w:hAnsi="Times New Roman" w:eastAsia="仿宋_GB2312" w:cs="Times New Roman"/>
          <w:color w:val="auto"/>
          <w:sz w:val="24"/>
          <w:szCs w:val="24"/>
        </w:rPr>
        <w:t>，具有良好的水土保持功能。</w:t>
      </w:r>
    </w:p>
    <w:p>
      <w:pPr>
        <w:spacing w:line="360" w:lineRule="auto"/>
        <w:ind w:firstLine="460" w:firstLineChars="192"/>
        <w:rPr>
          <w:rFonts w:hint="default" w:ascii="Times New Roman" w:hAnsi="Times New Roman" w:eastAsia="仿宋_GB2312" w:cs="Times New Roman"/>
          <w:color w:val="auto"/>
          <w:sz w:val="24"/>
          <w:szCs w:val="24"/>
          <w:lang w:val="en-US" w:eastAsia="zh-CN"/>
        </w:rPr>
      </w:pPr>
      <w:r>
        <w:rPr>
          <w:rFonts w:hint="eastAsia" w:ascii="Times New Roman" w:hAnsi="Times New Roman" w:eastAsia="仿宋_GB2312" w:cs="Times New Roman"/>
          <w:color w:val="auto"/>
          <w:sz w:val="24"/>
          <w:szCs w:val="24"/>
          <w:lang w:val="en-US" w:eastAsia="zh-CN"/>
        </w:rPr>
        <w:t>1、植物措施</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主体工程设</w:t>
      </w:r>
      <w:r>
        <w:rPr>
          <w:rFonts w:hint="eastAsia" w:ascii="Times New Roman" w:hAnsi="Times New Roman" w:eastAsia="仿宋_GB2312" w:cs="Times New Roman"/>
          <w:color w:val="auto"/>
          <w:sz w:val="24"/>
          <w:szCs w:val="24"/>
          <w:lang w:val="en-US" w:eastAsia="zh-CN"/>
        </w:rPr>
        <w:t>计</w:t>
      </w:r>
      <w:r>
        <w:rPr>
          <w:rFonts w:ascii="Times New Roman" w:hAnsi="Times New Roman" w:eastAsia="仿宋_GB2312" w:cs="Times New Roman"/>
          <w:color w:val="auto"/>
          <w:sz w:val="24"/>
          <w:szCs w:val="24"/>
        </w:rPr>
        <w:t>在表土堆放场堆体坡面和顶面进行临时植草绿化，设计撒播植草面积</w:t>
      </w:r>
      <w:r>
        <w:rPr>
          <w:rFonts w:hint="eastAsia" w:ascii="Times New Roman" w:hAnsi="Times New Roman" w:eastAsia="仿宋_GB2312" w:cs="Times New Roman"/>
          <w:color w:val="auto"/>
          <w:sz w:val="24"/>
          <w:szCs w:val="24"/>
          <w:lang w:val="en-US" w:eastAsia="zh-CN"/>
        </w:rPr>
        <w:t>1490</w:t>
      </w:r>
      <w:r>
        <w:rPr>
          <w:rFonts w:ascii="Times New Roman" w:hAnsi="Times New Roman" w:eastAsia="仿宋_GB2312" w:cs="Times New Roman"/>
          <w:color w:val="auto"/>
          <w:sz w:val="24"/>
          <w:szCs w:val="24"/>
        </w:rPr>
        <w:t>m</w:t>
      </w:r>
      <w:r>
        <w:rPr>
          <w:rFonts w:ascii="Times New Roman" w:hAnsi="Times New Roman" w:eastAsia="仿宋_GB2312" w:cs="Times New Roman"/>
          <w:color w:val="auto"/>
          <w:sz w:val="24"/>
          <w:szCs w:val="24"/>
          <w:vertAlign w:val="superscript"/>
        </w:rPr>
        <w:t>2</w:t>
      </w:r>
      <w:r>
        <w:rPr>
          <w:rFonts w:ascii="Times New Roman" w:hAnsi="Times New Roman" w:eastAsia="仿宋_GB2312" w:cs="Times New Roman"/>
          <w:color w:val="auto"/>
          <w:sz w:val="24"/>
          <w:szCs w:val="24"/>
        </w:rPr>
        <w:t>，初步考虑种植细叶结缕草。植物措施具有较好的水土保持功能，均应界定为水土保持措施。</w:t>
      </w:r>
    </w:p>
    <w:p>
      <w:pPr>
        <w:pStyle w:val="2"/>
        <w:rPr>
          <w:rFonts w:hint="eastAsia" w:eastAsia="仿宋_GB2312"/>
          <w:color w:val="auto"/>
          <w:lang w:val="en-US" w:eastAsia="zh-CN"/>
        </w:rPr>
      </w:pPr>
      <w:r>
        <w:rPr>
          <w:rFonts w:hint="eastAsia" w:cs="Times New Roman"/>
          <w:color w:val="auto"/>
          <w:sz w:val="24"/>
          <w:szCs w:val="24"/>
          <w:lang w:val="en-US" w:eastAsia="zh-CN"/>
        </w:rPr>
        <w:t>2、</w:t>
      </w:r>
      <w:r>
        <w:rPr>
          <w:rFonts w:hint="eastAsia" w:ascii="Times New Roman" w:hAnsi="Times New Roman" w:eastAsia="仿宋_GB2312" w:cs="Times New Roman"/>
          <w:color w:val="auto"/>
          <w:sz w:val="24"/>
          <w:szCs w:val="24"/>
        </w:rPr>
        <w:t>根据主体工程设计，表土堆放场下边坡设置</w:t>
      </w:r>
      <w:r>
        <w:rPr>
          <w:rFonts w:hint="eastAsia" w:cs="Times New Roman"/>
          <w:color w:val="auto"/>
          <w:sz w:val="24"/>
          <w:szCs w:val="24"/>
          <w:lang w:val="en-US" w:eastAsia="zh-CN"/>
        </w:rPr>
        <w:t>临时土袋拦挡</w:t>
      </w:r>
      <w:r>
        <w:rPr>
          <w:rFonts w:hint="eastAsia" w:ascii="Times New Roman" w:hAnsi="Times New Roman" w:eastAsia="仿宋_GB2312" w:cs="Times New Roman"/>
          <w:color w:val="auto"/>
          <w:sz w:val="24"/>
          <w:szCs w:val="24"/>
        </w:rPr>
        <w:t>，防止堆土边坡垮塌，产生失稳和水土流失。</w:t>
      </w:r>
      <w:r>
        <w:rPr>
          <w:rFonts w:hint="eastAsia" w:cs="Times New Roman"/>
          <w:color w:val="auto"/>
          <w:sz w:val="24"/>
          <w:szCs w:val="24"/>
          <w:lang w:val="en-US" w:eastAsia="zh-CN"/>
        </w:rPr>
        <w:t>土袋</w:t>
      </w:r>
      <w:r>
        <w:rPr>
          <w:rFonts w:ascii="Times New Roman" w:hAnsi="Times New Roman" w:eastAsia="仿宋_GB2312" w:cs="Times New Roman"/>
          <w:color w:val="auto"/>
          <w:sz w:val="24"/>
          <w:szCs w:val="24"/>
        </w:rPr>
        <w:t>底宽</w:t>
      </w:r>
      <w:r>
        <w:rPr>
          <w:rFonts w:hint="eastAsia" w:ascii="Times New Roman" w:hAnsi="Times New Roman" w:eastAsia="仿宋_GB2312" w:cs="Times New Roman"/>
          <w:color w:val="auto"/>
          <w:sz w:val="24"/>
          <w:szCs w:val="24"/>
          <w:lang w:val="en-US" w:eastAsia="zh-CN"/>
        </w:rPr>
        <w:t>3.0</w:t>
      </w:r>
      <w:r>
        <w:rPr>
          <w:rFonts w:ascii="Times New Roman" w:hAnsi="Times New Roman" w:eastAsia="仿宋_GB2312" w:cs="Times New Roman"/>
          <w:color w:val="auto"/>
          <w:sz w:val="24"/>
          <w:szCs w:val="24"/>
        </w:rPr>
        <w:t>m，高</w:t>
      </w:r>
      <w:r>
        <w:rPr>
          <w:rFonts w:hint="eastAsia" w:ascii="Times New Roman" w:hAnsi="Times New Roman" w:eastAsia="仿宋_GB2312" w:cs="Times New Roman"/>
          <w:color w:val="auto"/>
          <w:sz w:val="24"/>
          <w:szCs w:val="24"/>
          <w:lang w:val="en-US" w:eastAsia="zh-CN"/>
        </w:rPr>
        <w:t>2.5</w:t>
      </w:r>
      <w:r>
        <w:rPr>
          <w:rFonts w:ascii="Times New Roman" w:hAnsi="Times New Roman" w:eastAsia="仿宋_GB2312" w:cs="Times New Roman"/>
          <w:color w:val="auto"/>
          <w:sz w:val="24"/>
          <w:szCs w:val="24"/>
        </w:rPr>
        <w:t>m，顶宽</w:t>
      </w:r>
      <w:r>
        <w:rPr>
          <w:rFonts w:hint="eastAsia" w:ascii="Times New Roman" w:hAnsi="Times New Roman" w:eastAsia="仿宋_GB2312" w:cs="Times New Roman"/>
          <w:color w:val="auto"/>
          <w:sz w:val="24"/>
          <w:szCs w:val="24"/>
          <w:lang w:val="en-US" w:eastAsia="zh-CN"/>
        </w:rPr>
        <w:t>2.0</w:t>
      </w:r>
      <w:r>
        <w:rPr>
          <w:rFonts w:ascii="Times New Roman" w:hAnsi="Times New Roman" w:eastAsia="仿宋_GB2312" w:cs="Times New Roman"/>
          <w:color w:val="auto"/>
          <w:sz w:val="24"/>
          <w:szCs w:val="24"/>
        </w:rPr>
        <w:t>m</w:t>
      </w:r>
      <w:r>
        <w:rPr>
          <w:rFonts w:hint="eastAsia" w:cs="Times New Roman"/>
          <w:color w:val="auto"/>
          <w:sz w:val="24"/>
          <w:szCs w:val="24"/>
          <w:lang w:val="en-US" w:eastAsia="zh-CN"/>
        </w:rPr>
        <w:t>，</w:t>
      </w:r>
      <w:r>
        <w:rPr>
          <w:rFonts w:hint="eastAsia" w:ascii="Times New Roman" w:hAnsi="Times New Roman" w:eastAsia="仿宋_GB2312" w:cs="Times New Roman"/>
          <w:color w:val="auto"/>
          <w:sz w:val="24"/>
          <w:szCs w:val="24"/>
        </w:rPr>
        <w:t>本项目表土堆放场下边坡共设置</w:t>
      </w:r>
      <w:r>
        <w:rPr>
          <w:rFonts w:hint="eastAsia" w:cs="Times New Roman"/>
          <w:color w:val="auto"/>
          <w:sz w:val="24"/>
          <w:szCs w:val="24"/>
          <w:lang w:val="en-US" w:eastAsia="zh-CN"/>
        </w:rPr>
        <w:t>土袋挡墙90</w:t>
      </w:r>
      <w:r>
        <w:rPr>
          <w:rFonts w:hint="eastAsia" w:ascii="Times New Roman" w:hAnsi="Times New Roman" w:eastAsia="仿宋_GB2312" w:cs="Times New Roman"/>
          <w:color w:val="auto"/>
          <w:sz w:val="24"/>
          <w:szCs w:val="24"/>
        </w:rPr>
        <w:t>m</w:t>
      </w:r>
      <w:r>
        <w:rPr>
          <w:rFonts w:hint="eastAsia" w:cs="Times New Roman"/>
          <w:color w:val="auto"/>
          <w:sz w:val="24"/>
          <w:szCs w:val="24"/>
          <w:lang w:eastAsia="zh-CN"/>
        </w:rPr>
        <w:t>，</w:t>
      </w:r>
      <w:r>
        <w:rPr>
          <w:rFonts w:hint="eastAsia" w:cs="Times New Roman"/>
          <w:color w:val="auto"/>
          <w:sz w:val="24"/>
          <w:szCs w:val="24"/>
          <w:lang w:val="en-US" w:eastAsia="zh-CN"/>
        </w:rPr>
        <w:t>共需装土约562.5m</w:t>
      </w:r>
      <w:r>
        <w:rPr>
          <w:rFonts w:hint="eastAsia" w:cs="Times New Roman"/>
          <w:color w:val="auto"/>
          <w:sz w:val="24"/>
          <w:szCs w:val="24"/>
          <w:vertAlign w:val="superscript"/>
          <w:lang w:val="en-US" w:eastAsia="zh-CN"/>
        </w:rPr>
        <w:t>3</w:t>
      </w:r>
      <w:r>
        <w:rPr>
          <w:rFonts w:hint="eastAsia" w:cs="Times New Roman"/>
          <w:color w:val="auto"/>
          <w:sz w:val="24"/>
          <w:szCs w:val="24"/>
          <w:lang w:eastAsia="zh-CN"/>
        </w:rPr>
        <w:t>。</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存在的不足及完善意见：为减少施工期的水土流失，本方案将补充设计相应的临时防护措施。如施工期对临时堆放土体采取彩条塑料布遮盖、</w:t>
      </w:r>
      <w:r>
        <w:rPr>
          <w:rFonts w:hint="eastAsia" w:ascii="Times New Roman" w:hAnsi="Times New Roman" w:eastAsia="仿宋_GB2312" w:cs="Times New Roman"/>
          <w:color w:val="auto"/>
          <w:sz w:val="24"/>
          <w:szCs w:val="24"/>
          <w:lang w:val="en-US" w:eastAsia="zh-CN"/>
        </w:rPr>
        <w:t>填土编织袋拦挡、</w:t>
      </w:r>
      <w:r>
        <w:rPr>
          <w:rFonts w:ascii="Times New Roman" w:hAnsi="Times New Roman" w:eastAsia="仿宋_GB2312" w:cs="Times New Roman"/>
          <w:color w:val="auto"/>
          <w:sz w:val="24"/>
          <w:szCs w:val="24"/>
        </w:rPr>
        <w:t>布设临时排水沟、临时沉砂池等临时措施，施工结束后及时</w:t>
      </w:r>
      <w:r>
        <w:rPr>
          <w:rFonts w:hint="eastAsia" w:ascii="Times New Roman" w:hAnsi="Times New Roman" w:eastAsia="仿宋_GB2312" w:cs="Times New Roman"/>
          <w:color w:val="auto"/>
          <w:sz w:val="24"/>
          <w:szCs w:val="24"/>
          <w:lang w:val="en-US" w:eastAsia="zh-CN"/>
        </w:rPr>
        <w:t>恢复</w:t>
      </w:r>
      <w:r>
        <w:rPr>
          <w:rFonts w:ascii="Times New Roman" w:hAnsi="Times New Roman" w:eastAsia="仿宋_GB2312" w:cs="Times New Roman"/>
          <w:color w:val="auto"/>
          <w:sz w:val="24"/>
          <w:szCs w:val="24"/>
        </w:rPr>
        <w:t>。</w:t>
      </w:r>
    </w:p>
    <w:p>
      <w:pPr>
        <w:keepNext/>
        <w:keepLines/>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3.2.7.4道路工程</w:t>
      </w:r>
    </w:p>
    <w:p>
      <w:pPr>
        <w:spacing w:line="360" w:lineRule="auto"/>
        <w:ind w:firstLine="48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pacing w:val="5"/>
          <w:sz w:val="24"/>
          <w:szCs w:val="24"/>
        </w:rPr>
        <w:t>主体工程设计了</w:t>
      </w:r>
      <w:r>
        <w:rPr>
          <w:rFonts w:hint="eastAsia" w:ascii="Times New Roman" w:hAnsi="Times New Roman" w:eastAsia="仿宋_GB2312" w:cs="Times New Roman"/>
          <w:color w:val="auto"/>
          <w:spacing w:val="5"/>
          <w:sz w:val="24"/>
          <w:szCs w:val="24"/>
          <w:lang w:val="en-US" w:eastAsia="zh-CN"/>
        </w:rPr>
        <w:t>表土剥离、</w:t>
      </w:r>
      <w:r>
        <w:rPr>
          <w:rFonts w:ascii="Times New Roman" w:hAnsi="Times New Roman" w:eastAsia="仿宋_GB2312" w:cs="Times New Roman"/>
          <w:color w:val="auto"/>
          <w:spacing w:val="5"/>
          <w:sz w:val="24"/>
          <w:szCs w:val="24"/>
        </w:rPr>
        <w:t>护坡墙、</w:t>
      </w:r>
      <w:r>
        <w:rPr>
          <w:rFonts w:hint="eastAsia" w:ascii="Times New Roman" w:hAnsi="Times New Roman" w:eastAsia="仿宋_GB2312" w:cs="Times New Roman"/>
          <w:color w:val="auto"/>
          <w:spacing w:val="5"/>
          <w:sz w:val="24"/>
          <w:szCs w:val="24"/>
          <w:lang w:val="en-US" w:eastAsia="zh-CN"/>
        </w:rPr>
        <w:t>边坡绿化</w:t>
      </w:r>
      <w:r>
        <w:rPr>
          <w:rFonts w:ascii="Times New Roman" w:hAnsi="Times New Roman" w:eastAsia="仿宋_GB2312" w:cs="Times New Roman"/>
          <w:color w:val="auto"/>
          <w:spacing w:val="5"/>
          <w:sz w:val="24"/>
          <w:szCs w:val="24"/>
        </w:rPr>
        <w:t>等防护措施。</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1、挡墙</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水土保持分析评价：根据主体工程设计，在</w:t>
      </w:r>
      <w:r>
        <w:rPr>
          <w:rFonts w:hint="eastAsia" w:ascii="Times New Roman" w:hAnsi="Times New Roman" w:eastAsia="仿宋_GB2312" w:cs="Times New Roman"/>
          <w:color w:val="auto"/>
          <w:sz w:val="24"/>
          <w:szCs w:val="24"/>
          <w:lang w:val="en-US" w:eastAsia="zh-CN"/>
        </w:rPr>
        <w:t>改建</w:t>
      </w:r>
      <w:r>
        <w:rPr>
          <w:rFonts w:ascii="Times New Roman" w:hAnsi="Times New Roman" w:eastAsia="仿宋_GB2312" w:cs="Times New Roman"/>
          <w:color w:val="auto"/>
          <w:sz w:val="24"/>
          <w:szCs w:val="24"/>
        </w:rPr>
        <w:t>建公路的</w:t>
      </w:r>
      <w:r>
        <w:rPr>
          <w:rFonts w:hint="eastAsia" w:ascii="Times New Roman" w:hAnsi="Times New Roman" w:eastAsia="仿宋_GB2312" w:cs="Times New Roman"/>
          <w:color w:val="auto"/>
          <w:sz w:val="24"/>
          <w:szCs w:val="24"/>
          <w:lang w:val="en-US" w:eastAsia="zh-CN"/>
        </w:rPr>
        <w:t>挖</w:t>
      </w:r>
      <w:r>
        <w:rPr>
          <w:rFonts w:ascii="Times New Roman" w:hAnsi="Times New Roman" w:eastAsia="仿宋_GB2312" w:cs="Times New Roman"/>
          <w:color w:val="auto"/>
          <w:sz w:val="24"/>
          <w:szCs w:val="24"/>
        </w:rPr>
        <w:t>方路基设置</w:t>
      </w:r>
      <w:r>
        <w:rPr>
          <w:rFonts w:hint="eastAsia" w:ascii="Times New Roman" w:hAnsi="Times New Roman" w:eastAsia="仿宋_GB2312" w:cs="Times New Roman"/>
          <w:color w:val="auto"/>
          <w:sz w:val="24"/>
          <w:szCs w:val="24"/>
          <w:lang w:val="en-US" w:eastAsia="zh-CN"/>
        </w:rPr>
        <w:t>砖砌</w:t>
      </w:r>
      <w:r>
        <w:rPr>
          <w:rFonts w:ascii="Times New Roman" w:hAnsi="Times New Roman" w:eastAsia="仿宋_GB2312" w:cs="Times New Roman"/>
          <w:color w:val="auto"/>
          <w:sz w:val="24"/>
          <w:szCs w:val="24"/>
        </w:rPr>
        <w:t>挡土墙以及</w:t>
      </w:r>
      <w:r>
        <w:rPr>
          <w:rFonts w:hint="eastAsia" w:ascii="Times New Roman" w:hAnsi="Times New Roman" w:eastAsia="仿宋_GB2312" w:cs="Times New Roman"/>
          <w:color w:val="auto"/>
          <w:sz w:val="24"/>
          <w:szCs w:val="24"/>
          <w:lang w:val="en-US" w:eastAsia="zh-CN"/>
        </w:rPr>
        <w:t>填方段采取护坡的措施</w:t>
      </w:r>
      <w:r>
        <w:rPr>
          <w:rFonts w:ascii="Times New Roman" w:hAnsi="Times New Roman" w:eastAsia="仿宋_GB2312" w:cs="Times New Roman"/>
          <w:color w:val="auto"/>
          <w:sz w:val="24"/>
          <w:szCs w:val="24"/>
        </w:rPr>
        <w:t>。挡土墙采用</w:t>
      </w:r>
      <w:r>
        <w:rPr>
          <w:rFonts w:hint="eastAsia" w:ascii="Times New Roman" w:hAnsi="Times New Roman" w:eastAsia="仿宋_GB2312" w:cs="Times New Roman"/>
          <w:color w:val="auto"/>
          <w:sz w:val="24"/>
          <w:szCs w:val="24"/>
          <w:lang w:val="en-US" w:eastAsia="zh-CN"/>
        </w:rPr>
        <w:t>M7.5浆砌砖</w:t>
      </w:r>
      <w:r>
        <w:rPr>
          <w:rFonts w:ascii="Times New Roman" w:hAnsi="Times New Roman" w:eastAsia="仿宋_GB2312" w:cs="Times New Roman"/>
          <w:color w:val="auto"/>
          <w:sz w:val="24"/>
          <w:szCs w:val="24"/>
        </w:rPr>
        <w:t>浇筑。</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道路工程挡土墙主要是为主体工程安全服务，具有一定的水土保持功能，但考虑其为单纯的工程防护措施，以主体功能为主，不应界定为水土保持工程。</w:t>
      </w:r>
    </w:p>
    <w:p>
      <w:pPr>
        <w:adjustRightInd w:val="0"/>
        <w:snapToGrid w:val="0"/>
        <w:spacing w:line="360" w:lineRule="auto"/>
        <w:ind w:firstLine="480" w:firstLineChars="200"/>
        <w:rPr>
          <w:rFonts w:hint="default"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2、表土剥离及回覆</w:t>
      </w:r>
    </w:p>
    <w:p>
      <w:pPr>
        <w:adjustRightInd w:val="0"/>
        <w:snapToGrid w:val="0"/>
        <w:spacing w:line="360" w:lineRule="auto"/>
        <w:ind w:firstLine="480" w:firstLineChars="200"/>
        <w:rPr>
          <w:rFonts w:ascii="Times New Roman" w:hAnsi="Times New Roman" w:eastAsia="仿宋_GB2312" w:cs="Times New Roman"/>
          <w:color w:val="auto"/>
          <w:kern w:val="0"/>
          <w:sz w:val="24"/>
          <w:szCs w:val="24"/>
        </w:rPr>
      </w:pPr>
      <w:r>
        <w:rPr>
          <w:rFonts w:ascii="Times New Roman" w:hAnsi="Times New Roman" w:eastAsia="仿宋_GB2312" w:cs="Times New Roman"/>
          <w:color w:val="auto"/>
          <w:kern w:val="0"/>
          <w:sz w:val="24"/>
          <w:szCs w:val="24"/>
        </w:rPr>
        <w:t>主体设计在土建工程施工期对</w:t>
      </w:r>
      <w:r>
        <w:rPr>
          <w:rFonts w:hint="eastAsia" w:ascii="Times New Roman" w:hAnsi="Times New Roman" w:eastAsia="仿宋_GB2312" w:cs="Times New Roman"/>
          <w:color w:val="auto"/>
          <w:sz w:val="24"/>
          <w:szCs w:val="24"/>
          <w:lang w:val="en-US" w:eastAsia="zh-CN"/>
        </w:rPr>
        <w:t>道路</w:t>
      </w:r>
      <w:r>
        <w:rPr>
          <w:rFonts w:ascii="Times New Roman" w:hAnsi="Times New Roman" w:eastAsia="仿宋_GB2312" w:cs="Times New Roman"/>
          <w:color w:val="auto"/>
          <w:sz w:val="24"/>
          <w:szCs w:val="24"/>
        </w:rPr>
        <w:t>区内占用耕地</w:t>
      </w:r>
      <w:r>
        <w:rPr>
          <w:rFonts w:hint="eastAsia" w:ascii="Times New Roman" w:hAnsi="Times New Roman" w:eastAsia="仿宋_GB2312" w:cs="Times New Roman"/>
          <w:color w:val="auto"/>
          <w:sz w:val="24"/>
          <w:szCs w:val="24"/>
          <w:lang w:eastAsia="zh-CN"/>
        </w:rPr>
        <w:t>、</w:t>
      </w:r>
      <w:r>
        <w:rPr>
          <w:rFonts w:hint="eastAsia" w:ascii="Times New Roman" w:hAnsi="Times New Roman" w:eastAsia="仿宋_GB2312" w:cs="Times New Roman"/>
          <w:color w:val="auto"/>
          <w:sz w:val="24"/>
          <w:szCs w:val="24"/>
          <w:lang w:val="en-US" w:eastAsia="zh-CN"/>
        </w:rPr>
        <w:t>林地及园地</w:t>
      </w:r>
      <w:r>
        <w:rPr>
          <w:rFonts w:ascii="Times New Roman" w:hAnsi="Times New Roman" w:eastAsia="仿宋_GB2312" w:cs="Times New Roman"/>
          <w:color w:val="auto"/>
          <w:sz w:val="24"/>
          <w:szCs w:val="24"/>
        </w:rPr>
        <w:t>区域进行表土剥离，剥离厚度</w:t>
      </w:r>
      <w:r>
        <w:rPr>
          <w:rFonts w:hint="eastAsia" w:ascii="Times New Roman" w:hAnsi="Times New Roman" w:eastAsia="仿宋_GB2312" w:cs="Times New Roman"/>
          <w:color w:val="auto"/>
          <w:sz w:val="24"/>
          <w:szCs w:val="24"/>
          <w:lang w:val="en-US" w:eastAsia="zh-CN"/>
        </w:rPr>
        <w:t>约0.3m~0.5m</w:t>
      </w:r>
      <w:r>
        <w:rPr>
          <w:rFonts w:hint="eastAsia" w:ascii="Times New Roman" w:hAnsi="Times New Roman" w:eastAsia="仿宋_GB2312" w:cs="Times New Roman"/>
          <w:color w:val="auto"/>
          <w:sz w:val="24"/>
          <w:szCs w:val="24"/>
          <w:lang w:eastAsia="zh-CN"/>
        </w:rPr>
        <w:t>，</w:t>
      </w:r>
      <w:r>
        <w:rPr>
          <w:rFonts w:ascii="Times New Roman" w:hAnsi="Times New Roman" w:eastAsia="仿宋_GB2312" w:cs="Times New Roman"/>
          <w:color w:val="auto"/>
          <w:sz w:val="24"/>
          <w:szCs w:val="24"/>
        </w:rPr>
        <w:t>表土剥离总量约0.</w:t>
      </w:r>
      <w:r>
        <w:rPr>
          <w:rFonts w:hint="eastAsia" w:ascii="Times New Roman" w:hAnsi="Times New Roman" w:eastAsia="仿宋_GB2312" w:cs="Times New Roman"/>
          <w:color w:val="auto"/>
          <w:sz w:val="24"/>
          <w:szCs w:val="24"/>
          <w:lang w:val="en-US" w:eastAsia="zh-CN"/>
        </w:rPr>
        <w:t>10</w:t>
      </w:r>
      <w:r>
        <w:rPr>
          <w:rFonts w:ascii="Times New Roman" w:hAnsi="Times New Roman" w:eastAsia="仿宋_GB2312" w:cs="Times New Roman"/>
          <w:color w:val="auto"/>
          <w:sz w:val="24"/>
          <w:szCs w:val="24"/>
        </w:rPr>
        <w:t>万m</w:t>
      </w:r>
      <w:r>
        <w:rPr>
          <w:rFonts w:ascii="Times New Roman" w:hAnsi="Times New Roman" w:eastAsia="仿宋_GB2312" w:cs="Times New Roman"/>
          <w:color w:val="auto"/>
          <w:sz w:val="24"/>
          <w:szCs w:val="24"/>
          <w:vertAlign w:val="superscript"/>
        </w:rPr>
        <w:t>3</w:t>
      </w:r>
      <w:r>
        <w:rPr>
          <w:rFonts w:ascii="Times New Roman" w:hAnsi="Times New Roman" w:eastAsia="仿宋_GB2312" w:cs="Times New Roman"/>
          <w:color w:val="auto"/>
          <w:sz w:val="24"/>
          <w:szCs w:val="24"/>
        </w:rPr>
        <w:t>，剥离的表土全部堆存于表土堆放场，后期用于边坡绿化和施工迹地复耕覆土</w:t>
      </w:r>
      <w:r>
        <w:rPr>
          <w:rFonts w:ascii="Times New Roman" w:hAnsi="Times New Roman" w:eastAsia="仿宋_GB2312" w:cs="Times New Roman"/>
          <w:color w:val="auto"/>
          <w:kern w:val="0"/>
          <w:sz w:val="24"/>
          <w:szCs w:val="24"/>
        </w:rPr>
        <w:t>。</w:t>
      </w:r>
    </w:p>
    <w:p>
      <w:pPr>
        <w:numPr>
          <w:ilvl w:val="0"/>
          <w:numId w:val="4"/>
        </w:numPr>
        <w:adjustRightInd w:val="0"/>
        <w:snapToGrid w:val="0"/>
        <w:spacing w:line="360" w:lineRule="auto"/>
        <w:ind w:firstLine="480" w:firstLineChars="200"/>
        <w:rPr>
          <w:rFonts w:hint="eastAsia" w:ascii="Times New Roman" w:hAnsi="Times New Roman" w:eastAsia="仿宋_GB2312" w:cs="Times New Roman"/>
          <w:color w:val="auto"/>
          <w:kern w:val="0"/>
          <w:sz w:val="24"/>
          <w:szCs w:val="24"/>
          <w:lang w:val="en-US" w:eastAsia="zh-CN"/>
        </w:rPr>
      </w:pPr>
      <w:r>
        <w:rPr>
          <w:rFonts w:hint="eastAsia" w:ascii="Times New Roman" w:hAnsi="Times New Roman" w:eastAsia="仿宋_GB2312" w:cs="Times New Roman"/>
          <w:color w:val="auto"/>
          <w:kern w:val="0"/>
          <w:sz w:val="24"/>
          <w:szCs w:val="24"/>
          <w:lang w:val="en-US" w:eastAsia="zh-CN"/>
        </w:rPr>
        <w:t>排水边沟</w:t>
      </w:r>
    </w:p>
    <w:p>
      <w:pPr>
        <w:pStyle w:val="2"/>
        <w:numPr>
          <w:ilvl w:val="0"/>
          <w:numId w:val="0"/>
        </w:numPr>
        <w:ind w:firstLine="480" w:firstLineChars="200"/>
        <w:rPr>
          <w:rFonts w:hint="default" w:ascii="Times New Roman" w:hAnsi="Times New Roman" w:eastAsia="仿宋_GB2312" w:cs="Times New Roman"/>
          <w:color w:val="auto"/>
          <w:kern w:val="0"/>
          <w:sz w:val="24"/>
          <w:szCs w:val="24"/>
          <w:highlight w:val="none"/>
          <w:lang w:val="en-US" w:eastAsia="zh-CN" w:bidi="ar-SA"/>
        </w:rPr>
      </w:pPr>
      <w:r>
        <w:rPr>
          <w:rFonts w:hint="default" w:ascii="Times New Roman" w:hAnsi="Times New Roman" w:eastAsia="仿宋_GB2312" w:cs="Times New Roman"/>
          <w:color w:val="auto"/>
          <w:kern w:val="0"/>
          <w:sz w:val="24"/>
          <w:szCs w:val="24"/>
          <w:highlight w:val="none"/>
          <w:lang w:val="en-US" w:eastAsia="zh-CN" w:bidi="ar-SA"/>
        </w:rPr>
        <w:t>新建道路位于新建井场</w:t>
      </w:r>
      <w:r>
        <w:rPr>
          <w:rFonts w:hint="eastAsia" w:cs="Times New Roman"/>
          <w:color w:val="auto"/>
          <w:kern w:val="0"/>
          <w:sz w:val="24"/>
          <w:szCs w:val="24"/>
          <w:highlight w:val="none"/>
          <w:lang w:val="en-US" w:eastAsia="zh-CN" w:bidi="ar-SA"/>
        </w:rPr>
        <w:t>前</w:t>
      </w:r>
      <w:r>
        <w:rPr>
          <w:rFonts w:hint="default" w:ascii="Times New Roman" w:hAnsi="Times New Roman" w:eastAsia="仿宋_GB2312" w:cs="Times New Roman"/>
          <w:color w:val="auto"/>
          <w:kern w:val="0"/>
          <w:sz w:val="24"/>
          <w:szCs w:val="24"/>
          <w:highlight w:val="none"/>
          <w:lang w:val="en-US" w:eastAsia="zh-CN" w:bidi="ar-SA"/>
        </w:rPr>
        <w:t>侧，与</w:t>
      </w:r>
      <w:r>
        <w:rPr>
          <w:rFonts w:hint="eastAsia" w:cs="Times New Roman"/>
          <w:color w:val="auto"/>
          <w:kern w:val="0"/>
          <w:sz w:val="24"/>
          <w:szCs w:val="24"/>
          <w:highlight w:val="none"/>
          <w:lang w:val="en-US" w:eastAsia="zh-CN" w:bidi="ar-SA"/>
        </w:rPr>
        <w:t>改建的</w:t>
      </w:r>
      <w:r>
        <w:rPr>
          <w:rFonts w:hint="default" w:ascii="Times New Roman" w:hAnsi="Times New Roman" w:eastAsia="仿宋_GB2312" w:cs="Times New Roman"/>
          <w:color w:val="auto"/>
          <w:kern w:val="0"/>
          <w:sz w:val="24"/>
          <w:szCs w:val="24"/>
          <w:highlight w:val="none"/>
          <w:lang w:val="en-US" w:eastAsia="zh-CN" w:bidi="ar-SA"/>
        </w:rPr>
        <w:t>水泥路相连</w:t>
      </w:r>
      <w:r>
        <w:rPr>
          <w:rFonts w:hint="eastAsia" w:cs="Times New Roman"/>
          <w:color w:val="auto"/>
          <w:kern w:val="0"/>
          <w:sz w:val="24"/>
          <w:szCs w:val="24"/>
          <w:highlight w:val="none"/>
          <w:lang w:val="en-US" w:eastAsia="zh-CN" w:bidi="ar-SA"/>
        </w:rPr>
        <w:t>。</w:t>
      </w:r>
      <w:r>
        <w:rPr>
          <w:rFonts w:hint="default" w:ascii="Times New Roman" w:hAnsi="Times New Roman" w:eastAsia="仿宋_GB2312" w:cs="Times New Roman"/>
          <w:color w:val="auto"/>
          <w:kern w:val="0"/>
          <w:sz w:val="24"/>
          <w:szCs w:val="24"/>
          <w:highlight w:val="none"/>
          <w:lang w:val="en-US" w:eastAsia="zh-CN" w:bidi="ar-SA"/>
        </w:rPr>
        <w:t>在新建道路挖方区设置路边排水沟，填方区域设置护坡。排水沟采用矩形断面，设计尺寸为宽×高=0.4m×0.4m，沟壁及沟底厚2</w:t>
      </w:r>
      <w:r>
        <w:rPr>
          <w:rFonts w:hint="eastAsia" w:cs="Times New Roman"/>
          <w:color w:val="auto"/>
          <w:kern w:val="0"/>
          <w:sz w:val="24"/>
          <w:szCs w:val="24"/>
          <w:highlight w:val="none"/>
          <w:lang w:val="en-US" w:eastAsia="zh-CN" w:bidi="ar-SA"/>
        </w:rPr>
        <w:t>4</w:t>
      </w:r>
      <w:r>
        <w:rPr>
          <w:rFonts w:hint="default" w:ascii="Times New Roman" w:hAnsi="Times New Roman" w:eastAsia="仿宋_GB2312" w:cs="Times New Roman"/>
          <w:color w:val="auto"/>
          <w:kern w:val="0"/>
          <w:sz w:val="24"/>
          <w:szCs w:val="24"/>
          <w:highlight w:val="none"/>
          <w:lang w:val="en-US" w:eastAsia="zh-CN" w:bidi="ar-SA"/>
        </w:rPr>
        <w:t>cm，采用C</w:t>
      </w:r>
      <w:r>
        <w:rPr>
          <w:rFonts w:hint="eastAsia" w:cs="Times New Roman"/>
          <w:color w:val="auto"/>
          <w:kern w:val="0"/>
          <w:sz w:val="24"/>
          <w:szCs w:val="24"/>
          <w:highlight w:val="none"/>
          <w:lang w:val="en-US" w:eastAsia="zh-CN" w:bidi="ar-SA"/>
        </w:rPr>
        <w:t>15</w:t>
      </w:r>
      <w:r>
        <w:rPr>
          <w:rFonts w:hint="default" w:ascii="Times New Roman" w:hAnsi="Times New Roman" w:eastAsia="仿宋_GB2312" w:cs="Times New Roman"/>
          <w:color w:val="auto"/>
          <w:kern w:val="0"/>
          <w:sz w:val="24"/>
          <w:szCs w:val="24"/>
          <w:highlight w:val="none"/>
          <w:lang w:val="en-US" w:eastAsia="zh-CN" w:bidi="ar-SA"/>
        </w:rPr>
        <w:t>混凝土现浇，排水沟出口接入自然水系</w:t>
      </w:r>
      <w:r>
        <w:rPr>
          <w:rFonts w:hint="eastAsia" w:cs="Times New Roman"/>
          <w:color w:val="auto"/>
          <w:kern w:val="0"/>
          <w:sz w:val="24"/>
          <w:szCs w:val="24"/>
          <w:highlight w:val="none"/>
          <w:lang w:val="en-US" w:eastAsia="zh-CN" w:bidi="ar-SA"/>
        </w:rPr>
        <w:t>。</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4、存在的不足及完善意见</w:t>
      </w:r>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主体设计充分考虑了边坡挡护措施和排水疏导，但表土剥离保护措施考虑不足，以及施工中裸露边坡遮盖、临时排水等防护措施，本方案将补充完善。在土建工程施工前剥离保护表土资源，在边坡外设置临时排水沟，并布设临时沉砂池，施工结束后及时对施工迹地进行恢复。</w:t>
      </w:r>
    </w:p>
    <w:bookmarkEnd w:id="201"/>
    <w:p>
      <w:pPr>
        <w:keepNext/>
        <w:keepLines/>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220" w:name="_Toc74588739"/>
      <w:bookmarkStart w:id="221" w:name="_Toc74588688"/>
      <w:r>
        <w:rPr>
          <w:rFonts w:ascii="Times New Roman" w:hAnsi="Times New Roman" w:eastAsia="仿宋_GB2312" w:cs="Times New Roman"/>
          <w:b/>
          <w:color w:val="auto"/>
          <w:sz w:val="30"/>
          <w:szCs w:val="30"/>
          <w:lang w:val="zh-CN"/>
        </w:rPr>
        <w:t>3.3主体工程设计中水土保持措施界定</w:t>
      </w:r>
      <w:bookmarkEnd w:id="216"/>
      <w:bookmarkEnd w:id="217"/>
      <w:bookmarkEnd w:id="218"/>
      <w:bookmarkEnd w:id="219"/>
      <w:bookmarkEnd w:id="220"/>
      <w:bookmarkEnd w:id="221"/>
    </w:p>
    <w:p>
      <w:pPr>
        <w:keepNext/>
        <w:keepLines/>
        <w:spacing w:before="120" w:beforeLines="50" w:after="120" w:afterLines="50" w:line="360" w:lineRule="auto"/>
        <w:outlineLvl w:val="2"/>
        <w:rPr>
          <w:rFonts w:ascii="Times New Roman" w:hAnsi="Times New Roman" w:eastAsia="仿宋_GB2312" w:cs="Times New Roman"/>
          <w:b/>
          <w:bCs/>
          <w:color w:val="auto"/>
          <w:kern w:val="0"/>
          <w:sz w:val="24"/>
          <w:szCs w:val="32"/>
          <w:lang w:val="zh-CN"/>
        </w:rPr>
      </w:pPr>
      <w:r>
        <w:rPr>
          <w:rFonts w:ascii="Times New Roman" w:hAnsi="Times New Roman" w:eastAsia="仿宋_GB2312" w:cs="Times New Roman"/>
          <w:b/>
          <w:bCs/>
          <w:color w:val="auto"/>
          <w:kern w:val="0"/>
          <w:sz w:val="28"/>
          <w:szCs w:val="28"/>
          <w:lang w:val="zh-CN"/>
        </w:rPr>
        <w:t>3.3.1 界定原则</w:t>
      </w:r>
    </w:p>
    <w:p>
      <w:pPr>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1）主导功能原则。2）责任区分原则。3）试验排除原则。</w:t>
      </w:r>
      <w:bookmarkStart w:id="222" w:name="_Toc5698802"/>
    </w:p>
    <w:p>
      <w:pPr>
        <w:keepNext/>
        <w:keepLines/>
        <w:spacing w:before="120" w:beforeLines="50" w:after="120" w:afterLines="50" w:line="360" w:lineRule="auto"/>
        <w:outlineLvl w:val="2"/>
        <w:rPr>
          <w:rFonts w:ascii="Times New Roman" w:hAnsi="Times New Roman" w:eastAsia="仿宋_GB2312" w:cs="Times New Roman"/>
          <w:b/>
          <w:bCs/>
          <w:color w:val="auto"/>
          <w:kern w:val="0"/>
          <w:sz w:val="24"/>
          <w:szCs w:val="32"/>
          <w:lang w:val="zh-CN"/>
        </w:rPr>
      </w:pPr>
      <w:r>
        <w:rPr>
          <w:rFonts w:ascii="Times New Roman" w:hAnsi="Times New Roman" w:eastAsia="仿宋_GB2312" w:cs="Times New Roman"/>
          <w:b/>
          <w:bCs/>
          <w:color w:val="auto"/>
          <w:kern w:val="0"/>
          <w:sz w:val="28"/>
          <w:szCs w:val="28"/>
          <w:lang w:val="zh-CN"/>
        </w:rPr>
        <w:t>3.3.2 主体设计中界定为水土保持工程的措施</w:t>
      </w:r>
    </w:p>
    <w:p>
      <w:pPr>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根据《生产建设项目水土保持技术标准》（GB50433-2018）中“附录D 主体工程设计中水土保持措施界定”的相关规定，主体工程设计中的上述具有水土保持功能的工程中，可界定为水土保持措施的有：表土剥离、排水沟、植草绿化等。</w:t>
      </w:r>
    </w:p>
    <w:p>
      <w:pPr>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rPr>
        <w:t>综上所述，通过在项目各分区主体工程设计的具有水土保持功能措施的介绍、分析和评价，主体设计总投资为</w:t>
      </w:r>
      <w:r>
        <w:rPr>
          <w:rFonts w:hint="eastAsia" w:ascii="Times New Roman" w:hAnsi="Times New Roman" w:eastAsia="仿宋_GB2312" w:cs="Times New Roman"/>
          <w:color w:val="auto"/>
          <w:sz w:val="24"/>
          <w:szCs w:val="24"/>
          <w:lang w:val="en-US" w:eastAsia="zh-CN"/>
        </w:rPr>
        <w:t>36.5</w:t>
      </w:r>
      <w:r>
        <w:rPr>
          <w:rFonts w:ascii="Times New Roman" w:hAnsi="Times New Roman" w:eastAsia="仿宋_GB2312" w:cs="Times New Roman"/>
          <w:color w:val="auto"/>
          <w:sz w:val="24"/>
          <w:szCs w:val="24"/>
        </w:rPr>
        <w:t>万元。主体设计中界定为水土保持工程的措施及投资如表3.</w:t>
      </w:r>
      <w:r>
        <w:rPr>
          <w:rFonts w:ascii="Times New Roman" w:hAnsi="Times New Roman" w:eastAsia="仿宋_GB2312" w:cs="Times New Roman"/>
          <w:color w:val="auto"/>
          <w:sz w:val="24"/>
          <w:szCs w:val="24"/>
          <w:highlight w:val="none"/>
        </w:rPr>
        <w:t>3-1所示。</w:t>
      </w:r>
    </w:p>
    <w:p>
      <w:pPr>
        <w:widowControl w:val="0"/>
        <w:spacing w:line="360" w:lineRule="auto"/>
        <w:jc w:val="center"/>
        <w:rPr>
          <w:rFonts w:ascii="Times New Roman" w:hAnsi="Times New Roman" w:eastAsia="仿宋_GB2312" w:cs="Times New Roman"/>
          <w:b/>
          <w:color w:val="auto"/>
          <w:szCs w:val="20"/>
          <w:highlight w:val="none"/>
        </w:rPr>
      </w:pPr>
      <w:r>
        <w:rPr>
          <w:rFonts w:ascii="Times New Roman" w:hAnsi="Times New Roman" w:eastAsia="仿宋_GB2312" w:cs="Times New Roman"/>
          <w:b/>
          <w:color w:val="auto"/>
          <w:szCs w:val="20"/>
          <w:highlight w:val="none"/>
        </w:rPr>
        <w:t>表3.3-1 主体设计中具有水土保持功能措施表</w:t>
      </w:r>
    </w:p>
    <w:tbl>
      <w:tblPr>
        <w:tblStyle w:val="1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97"/>
        <w:gridCol w:w="906"/>
        <w:gridCol w:w="1351"/>
        <w:gridCol w:w="985"/>
        <w:gridCol w:w="615"/>
        <w:gridCol w:w="483"/>
        <w:gridCol w:w="753"/>
        <w:gridCol w:w="910"/>
        <w:gridCol w:w="2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0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项目组成</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措施类型</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措施名称</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工程量指标</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单位</w:t>
            </w: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单价/元</w:t>
            </w:r>
          </w:p>
        </w:tc>
        <w:tc>
          <w:tcPr>
            <w:tcW w:w="507"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投资/万元</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措施布置位置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井场及配</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套设施区</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表土剥离</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剥离数量</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4500</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10.28</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4.63 </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占用耕地</w:t>
            </w:r>
            <w:r>
              <w:rPr>
                <w:rFonts w:hint="eastAsia" w:ascii="Times New Roman" w:hAnsi="Times New Roman" w:eastAsia="仿宋" w:cs="Times New Roman"/>
                <w:color w:val="auto"/>
                <w:kern w:val="0"/>
                <w:sz w:val="18"/>
                <w:szCs w:val="18"/>
                <w:highlight w:val="none"/>
                <w:lang w:eastAsia="zh-CN"/>
              </w:rPr>
              <w:t>、</w:t>
            </w:r>
            <w:r>
              <w:rPr>
                <w:rFonts w:hint="eastAsia" w:ascii="Times New Roman" w:hAnsi="Times New Roman" w:eastAsia="仿宋" w:cs="Times New Roman"/>
                <w:color w:val="auto"/>
                <w:kern w:val="0"/>
                <w:sz w:val="18"/>
                <w:szCs w:val="18"/>
                <w:highlight w:val="none"/>
                <w:lang w:val="en-US" w:eastAsia="zh-CN"/>
              </w:rPr>
              <w:t>林地</w:t>
            </w:r>
            <w:r>
              <w:rPr>
                <w:rFonts w:ascii="Times New Roman" w:hAnsi="Times New Roman" w:eastAsia="仿宋" w:cs="Times New Roman"/>
                <w:color w:val="auto"/>
                <w:kern w:val="0"/>
                <w:sz w:val="18"/>
                <w:szCs w:val="18"/>
                <w:highlight w:val="none"/>
              </w:rPr>
              <w:t>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 w:cs="Times New Roman"/>
                <w:color w:val="auto"/>
                <w:kern w:val="0"/>
                <w:sz w:val="18"/>
                <w:szCs w:val="18"/>
                <w:highlight w:val="none"/>
                <w:lang w:val="en-US" w:eastAsia="zh-CN"/>
              </w:rPr>
              <w:t>砖砌</w:t>
            </w:r>
            <w:r>
              <w:rPr>
                <w:rFonts w:ascii="Times New Roman" w:hAnsi="Times New Roman" w:eastAsia="仿宋" w:cs="Times New Roman"/>
                <w:color w:val="auto"/>
                <w:kern w:val="0"/>
                <w:sz w:val="18"/>
                <w:szCs w:val="18"/>
                <w:highlight w:val="none"/>
              </w:rPr>
              <w:t>排水沟</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长度</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718</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148.64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10.67 </w:t>
            </w:r>
          </w:p>
        </w:tc>
        <w:tc>
          <w:tcPr>
            <w:tcW w:w="1150"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bidi="ar-SA"/>
              </w:rPr>
            </w:pPr>
            <w:r>
              <w:rPr>
                <w:rFonts w:ascii="Times New Roman" w:hAnsi="Times New Roman" w:eastAsia="仿宋" w:cs="Times New Roman"/>
                <w:color w:val="auto"/>
                <w:kern w:val="0"/>
                <w:sz w:val="18"/>
                <w:szCs w:val="18"/>
                <w:highlight w:val="none"/>
              </w:rPr>
              <w:t>井场内部</w:t>
            </w:r>
            <w:r>
              <w:rPr>
                <w:rFonts w:hint="eastAsia" w:ascii="Times New Roman" w:hAnsi="Times New Roman" w:eastAsia="仿宋" w:cs="Times New Roman"/>
                <w:color w:val="auto"/>
                <w:kern w:val="0"/>
                <w:sz w:val="18"/>
                <w:szCs w:val="18"/>
                <w:highlight w:val="none"/>
                <w:lang w:val="en-US" w:eastAsia="zh-CN"/>
              </w:rPr>
              <w:t>排水沟及场外排水沟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植物措施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 w:cs="Times New Roman"/>
                <w:color w:val="auto"/>
                <w:kern w:val="0"/>
                <w:sz w:val="18"/>
                <w:szCs w:val="18"/>
                <w:highlight w:val="none"/>
                <w:lang w:val="en-US" w:eastAsia="zh-CN"/>
              </w:rPr>
              <w:t>播撒草籽</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面积</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900</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2.32</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0.21 </w:t>
            </w:r>
          </w:p>
        </w:tc>
        <w:tc>
          <w:tcPr>
            <w:tcW w:w="1150" w:type="pct"/>
            <w:noWrap/>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挖方边坡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15.51</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restar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施工临时生活区</w:t>
            </w:r>
          </w:p>
        </w:tc>
        <w:tc>
          <w:tcPr>
            <w:tcW w:w="505"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工程措施</w:t>
            </w:r>
          </w:p>
        </w:tc>
        <w:tc>
          <w:tcPr>
            <w:tcW w:w="753"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排水沟</w:t>
            </w:r>
          </w:p>
        </w:tc>
        <w:tc>
          <w:tcPr>
            <w:tcW w:w="549"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长度</w:t>
            </w:r>
          </w:p>
        </w:tc>
        <w:tc>
          <w:tcPr>
            <w:tcW w:w="343" w:type="pct"/>
            <w:vAlign w:val="center"/>
          </w:tcPr>
          <w:p>
            <w:pPr>
              <w:adjustRightInd w:val="0"/>
              <w:snapToGrid w:val="0"/>
              <w:jc w:val="center"/>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m</w:t>
            </w:r>
          </w:p>
        </w:tc>
        <w:tc>
          <w:tcPr>
            <w:tcW w:w="269"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135</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148.64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2.01</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2.01</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堆放场</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播撒草籽</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1490</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2.32</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0.35 </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堆土边坡及顶面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5"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临时措施</w:t>
            </w:r>
          </w:p>
        </w:tc>
        <w:tc>
          <w:tcPr>
            <w:tcW w:w="753"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土袋拦挡</w:t>
            </w:r>
          </w:p>
        </w:tc>
        <w:tc>
          <w:tcPr>
            <w:tcW w:w="549"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ascii="Times New Roman" w:hAnsi="Times New Roman" w:eastAsia="仿宋" w:cs="Times New Roman"/>
                <w:color w:val="auto"/>
                <w:kern w:val="0"/>
                <w:sz w:val="18"/>
                <w:szCs w:val="18"/>
                <w:highlight w:val="none"/>
              </w:rPr>
              <w:t>数量</w:t>
            </w:r>
          </w:p>
        </w:tc>
        <w:tc>
          <w:tcPr>
            <w:tcW w:w="343"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562.5</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276.34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15.54 </w:t>
            </w:r>
          </w:p>
        </w:tc>
        <w:tc>
          <w:tcPr>
            <w:tcW w:w="1150"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堆土坡底外侧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15.89</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500"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道路</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排水沟</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208</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148.64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3.09 </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占用耕地</w:t>
            </w:r>
            <w:r>
              <w:rPr>
                <w:rFonts w:hint="eastAsia" w:ascii="Times New Roman" w:hAnsi="Times New Roman" w:eastAsia="仿宋" w:cs="Times New Roman"/>
                <w:color w:val="auto"/>
                <w:kern w:val="0"/>
                <w:sz w:val="18"/>
                <w:szCs w:val="18"/>
                <w:highlight w:val="none"/>
                <w:lang w:eastAsia="zh-CN"/>
              </w:rPr>
              <w:t>、</w:t>
            </w:r>
            <w:r>
              <w:rPr>
                <w:rFonts w:hint="eastAsia" w:ascii="Times New Roman" w:hAnsi="Times New Roman" w:eastAsia="仿宋" w:cs="Times New Roman"/>
                <w:color w:val="auto"/>
                <w:kern w:val="0"/>
                <w:sz w:val="18"/>
                <w:szCs w:val="18"/>
                <w:highlight w:val="none"/>
                <w:lang w:val="en-US" w:eastAsia="zh-CN"/>
              </w:rPr>
              <w:t>林地</w:t>
            </w:r>
            <w:r>
              <w:rPr>
                <w:rFonts w:ascii="Times New Roman" w:hAnsi="Times New Roman" w:eastAsia="仿宋" w:cs="Times New Roman"/>
                <w:color w:val="auto"/>
                <w:kern w:val="0"/>
                <w:sz w:val="18"/>
                <w:szCs w:val="18"/>
                <w:highlight w:val="none"/>
              </w:rPr>
              <w:t>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3.09</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758" w:type="pct"/>
            <w:gridSpan w:val="3"/>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合计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36.5</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bl>
    <w:p>
      <w:pPr>
        <w:pStyle w:val="2"/>
        <w:rPr>
          <w:color w:val="auto"/>
          <w:highlight w:val="none"/>
        </w:rPr>
      </w:pPr>
    </w:p>
    <w:bookmarkEnd w:id="214"/>
    <w:p>
      <w:pPr>
        <w:spacing w:line="360" w:lineRule="auto"/>
        <w:rPr>
          <w:rFonts w:ascii="Times New Roman" w:hAnsi="Times New Roman" w:eastAsia="仿宋_GB2312" w:cs="Times New Roman"/>
          <w:color w:val="auto"/>
          <w:sz w:val="24"/>
          <w:highlight w:val="none"/>
        </w:rPr>
        <w:sectPr>
          <w:headerReference r:id="rId9" w:type="default"/>
          <w:pgSz w:w="11920" w:h="16845"/>
          <w:pgMar w:top="1418" w:right="1588" w:bottom="1418" w:left="1701" w:header="850" w:footer="850" w:gutter="0"/>
          <w:pgBorders>
            <w:top w:val="none" w:sz="0" w:space="0"/>
            <w:left w:val="none" w:sz="0" w:space="0"/>
            <w:bottom w:val="none" w:sz="0" w:space="0"/>
            <w:right w:val="none" w:sz="0" w:space="0"/>
          </w:pgBorders>
          <w:pgNumType w:fmt="decimal"/>
          <w:cols w:equalWidth="0" w:num="1">
            <w:col w:w="8912"/>
          </w:cols>
          <w:docGrid w:linePitch="360" w:charSpace="0"/>
        </w:sectPr>
      </w:pPr>
    </w:p>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bookmarkStart w:id="223" w:name="_Toc74588689"/>
      <w:bookmarkStart w:id="224" w:name="_Toc74588740"/>
      <w:bookmarkStart w:id="225" w:name="_Toc5725748"/>
      <w:bookmarkStart w:id="226" w:name="_Toc8379068"/>
      <w:r>
        <w:rPr>
          <w:rFonts w:ascii="Times New Roman" w:hAnsi="Times New Roman" w:eastAsia="仿宋_GB2312" w:cs="Times New Roman"/>
          <w:b/>
          <w:bCs/>
          <w:color w:val="auto"/>
          <w:kern w:val="44"/>
          <w:sz w:val="44"/>
          <w:szCs w:val="44"/>
          <w:lang w:val="zh-CN"/>
        </w:rPr>
        <w:t>4水土流失分析与预测</w:t>
      </w:r>
      <w:bookmarkEnd w:id="223"/>
      <w:bookmarkEnd w:id="224"/>
    </w:p>
    <w:p>
      <w:pPr>
        <w:keepNext/>
        <w:keepLines/>
        <w:spacing w:before="120" w:beforeLines="50" w:after="120" w:afterLines="50" w:line="360" w:lineRule="auto"/>
        <w:outlineLvl w:val="1"/>
        <w:rPr>
          <w:rFonts w:ascii="Times New Roman" w:hAnsi="Times New Roman" w:eastAsia="仿宋_GB2312" w:cs="Times New Roman"/>
          <w:b/>
          <w:color w:val="auto"/>
          <w:sz w:val="30"/>
          <w:szCs w:val="30"/>
          <w:lang w:val="zh-CN"/>
        </w:rPr>
      </w:pPr>
      <w:bookmarkStart w:id="227" w:name="_Toc74588690"/>
      <w:bookmarkStart w:id="228" w:name="_Toc74588741"/>
      <w:r>
        <w:rPr>
          <w:rFonts w:ascii="Times New Roman" w:hAnsi="Times New Roman" w:eastAsia="仿宋_GB2312" w:cs="Times New Roman"/>
          <w:b/>
          <w:color w:val="auto"/>
          <w:sz w:val="30"/>
          <w:szCs w:val="30"/>
          <w:lang w:val="zh-CN"/>
        </w:rPr>
        <w:t>4.1水土流失现状</w:t>
      </w:r>
      <w:bookmarkEnd w:id="227"/>
      <w:bookmarkEnd w:id="228"/>
    </w:p>
    <w:p>
      <w:pPr>
        <w:spacing w:line="360" w:lineRule="auto"/>
        <w:ind w:firstLine="460" w:firstLineChars="192"/>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（1）项目区所处的水土流失重点防治区</w:t>
      </w:r>
    </w:p>
    <w:p>
      <w:pPr>
        <w:spacing w:line="360" w:lineRule="auto"/>
        <w:ind w:firstLine="460" w:firstLineChars="192"/>
        <w:rPr>
          <w:rFonts w:ascii="Times New Roman" w:hAnsi="Times New Roman" w:eastAsia="仿宋_GB2312" w:cs="Times New Roman"/>
          <w:color w:val="5B9BD5" w:themeColor="accent5"/>
          <w:sz w:val="24"/>
          <w:szCs w:val="24"/>
          <w:highlight w:val="none"/>
          <w14:textFill>
            <w14:solidFill>
              <w14:schemeClr w14:val="accent5"/>
            </w14:solidFill>
          </w14:textFill>
        </w:rPr>
      </w:pPr>
      <w:r>
        <w:rPr>
          <w:rFonts w:ascii="Times New Roman" w:hAnsi="Times New Roman" w:eastAsia="仿宋_GB2312" w:cs="Times New Roman"/>
          <w:color w:val="auto"/>
          <w:sz w:val="24"/>
          <w:szCs w:val="24"/>
          <w:highlight w:val="none"/>
        </w:rPr>
        <w:t>本工程位于</w:t>
      </w:r>
      <w:r>
        <w:rPr>
          <w:rFonts w:hint="eastAsia" w:ascii="Times New Roman" w:hAnsi="Times New Roman" w:eastAsia="仿宋_GB2312" w:cs="Times New Roman"/>
          <w:color w:val="auto"/>
          <w:sz w:val="24"/>
          <w:szCs w:val="24"/>
          <w:highlight w:val="none"/>
          <w:lang w:val="en-US" w:eastAsia="zh-CN"/>
        </w:rPr>
        <w:t>仪陇县</w:t>
      </w:r>
      <w:r>
        <w:rPr>
          <w:rFonts w:hint="eastAsia" w:ascii="Times New Roman" w:hAnsi="Times New Roman" w:eastAsia="仿宋_GB2312" w:cs="Times New Roman"/>
          <w:color w:val="auto"/>
          <w:sz w:val="24"/>
          <w:szCs w:val="24"/>
          <w:highlight w:val="none"/>
        </w:rPr>
        <w:t>，根据《全国水土保持规划国家级水土流失重点预防区和重点治理区复核划分成果》（办水保</w:t>
      </w:r>
      <w:r>
        <w:rPr>
          <w:rFonts w:ascii="Times New Roman" w:hAnsi="Times New Roman" w:eastAsia="仿宋_GB2312" w:cs="Times New Roman"/>
          <w:color w:val="auto"/>
          <w:sz w:val="24"/>
          <w:szCs w:val="24"/>
          <w:highlight w:val="none"/>
        </w:rPr>
        <w:t>[2013]188号），项目涉及的</w:t>
      </w:r>
      <w:r>
        <w:rPr>
          <w:rFonts w:hint="eastAsia" w:ascii="Times New Roman" w:hAnsi="Times New Roman" w:eastAsia="仿宋_GB2312" w:cs="Times New Roman"/>
          <w:color w:val="auto"/>
          <w:sz w:val="24"/>
          <w:szCs w:val="24"/>
          <w:highlight w:val="none"/>
          <w:lang w:val="en-US" w:eastAsia="zh-CN"/>
        </w:rPr>
        <w:t>仪陇县</w:t>
      </w:r>
      <w:r>
        <w:rPr>
          <w:rFonts w:ascii="Times New Roman" w:hAnsi="Times New Roman" w:eastAsia="仿宋_GB2312" w:cs="Times New Roman"/>
          <w:color w:val="auto"/>
          <w:sz w:val="24"/>
          <w:szCs w:val="24"/>
          <w:highlight w:val="none"/>
        </w:rPr>
        <w:t>属嘉陵江及沱江中下游国家级水土流失重点治理区。</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（2）项目区水土流失现状</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根据《土壤侵蚀分类分级标准》（SL190-2007），项目区属西南土石山区，容许土壤流失量为500 t/km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•a。</w:t>
      </w:r>
    </w:p>
    <w:p>
      <w:pPr>
        <w:spacing w:line="360" w:lineRule="auto"/>
        <w:ind w:firstLine="460" w:firstLineChars="192"/>
        <w:rPr>
          <w:rFonts w:hint="eastAsia" w:ascii="Times New Roman" w:hAnsi="Times New Roman" w:eastAsia="仿宋_GB2312" w:cs="Times New Roman"/>
          <w:color w:val="auto"/>
          <w:sz w:val="24"/>
          <w:szCs w:val="24"/>
          <w:highlight w:val="none"/>
          <w:lang w:eastAsia="zh-CN"/>
        </w:rPr>
      </w:pPr>
      <w:r>
        <w:rPr>
          <w:rFonts w:hint="eastAsia" w:ascii="Times New Roman" w:hAnsi="Times New Roman" w:eastAsia="仿宋_GB2312" w:cs="Times New Roman"/>
          <w:color w:val="auto"/>
          <w:sz w:val="24"/>
          <w:szCs w:val="24"/>
          <w:highlight w:val="none"/>
        </w:rPr>
        <w:t>根据</w:t>
      </w:r>
      <w:r>
        <w:rPr>
          <w:rFonts w:ascii="Times New Roman" w:hAnsi="Times New Roman" w:eastAsia="仿宋_GB2312" w:cs="Times New Roman"/>
          <w:color w:val="auto"/>
          <w:sz w:val="24"/>
          <w:szCs w:val="24"/>
          <w:highlight w:val="none"/>
        </w:rPr>
        <w:t>2011年第1次全国水利普查水土流失调查表明，</w:t>
      </w:r>
      <w:r>
        <w:rPr>
          <w:rFonts w:hint="eastAsia" w:ascii="Times New Roman" w:hAnsi="Times New Roman" w:eastAsia="仿宋_GB2312" w:cs="Times New Roman"/>
          <w:color w:val="auto"/>
          <w:sz w:val="24"/>
          <w:szCs w:val="24"/>
          <w:highlight w:val="none"/>
          <w:lang w:val="en-US" w:eastAsia="zh-CN"/>
        </w:rPr>
        <w:t xml:space="preserve">仪陇县仪陇县幅员面积 1790.96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vertAlign w:val="baseline"/>
          <w:lang w:eastAsia="zh-CN"/>
        </w:rPr>
        <w:t>，</w:t>
      </w:r>
      <w:r>
        <w:rPr>
          <w:rFonts w:hint="eastAsia" w:ascii="Times New Roman" w:hAnsi="Times New Roman" w:eastAsia="仿宋_GB2312" w:cs="Times New Roman"/>
          <w:color w:val="auto"/>
          <w:sz w:val="24"/>
          <w:szCs w:val="24"/>
          <w:highlight w:val="none"/>
          <w:vertAlign w:val="baseline"/>
          <w:lang w:val="en-US" w:eastAsia="zh-CN"/>
        </w:rPr>
        <w:t xml:space="preserve">水土流失面积为 865.85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eastAsia="zh-CN"/>
        </w:rPr>
        <w:t>。</w:t>
      </w:r>
      <w:r>
        <w:rPr>
          <w:rFonts w:hint="eastAsia" w:ascii="Times New Roman" w:hAnsi="Times New Roman" w:eastAsia="仿宋_GB2312" w:cs="Times New Roman"/>
          <w:color w:val="auto"/>
          <w:sz w:val="24"/>
          <w:szCs w:val="24"/>
          <w:highlight w:val="none"/>
          <w:lang w:val="en-US" w:eastAsia="zh-CN"/>
        </w:rPr>
        <w:t xml:space="preserve">其中轻度侵蚀为205.67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val="en-US" w:eastAsia="zh-CN"/>
        </w:rPr>
        <w:t xml:space="preserve">，占流失面积的 23.75%，中度为 348.22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val="en-US" w:eastAsia="zh-CN"/>
        </w:rPr>
        <w:t xml:space="preserve">，占流失面积的 40.22%，强度侵蚀为 180.75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val="en-US" w:eastAsia="zh-CN"/>
        </w:rPr>
        <w:t xml:space="preserve">，占流失面积的 20.87%，极强烈侵蚀为 83.45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val="en-US" w:eastAsia="zh-CN"/>
        </w:rPr>
        <w:t xml:space="preserve">，仅占流失面积的 9.64%，剧烈侵蚀为 47.76 </w:t>
      </w:r>
      <w:r>
        <w:rPr>
          <w:rFonts w:ascii="Times New Roman" w:hAnsi="Times New Roman" w:eastAsia="仿宋_GB2312" w:cs="Times New Roman"/>
          <w:color w:val="auto"/>
          <w:sz w:val="24"/>
          <w:szCs w:val="24"/>
          <w:highlight w:val="none"/>
        </w:rPr>
        <w:t>km</w:t>
      </w:r>
      <w:r>
        <w:rPr>
          <w:rFonts w:ascii="Times New Roman" w:hAnsi="Times New Roman" w:eastAsia="仿宋_GB2312" w:cs="Times New Roman"/>
          <w:color w:val="auto"/>
          <w:sz w:val="24"/>
          <w:szCs w:val="24"/>
          <w:highlight w:val="none"/>
          <w:vertAlign w:val="superscript"/>
        </w:rPr>
        <w:t>2</w:t>
      </w:r>
      <w:r>
        <w:rPr>
          <w:rFonts w:hint="eastAsia" w:ascii="Times New Roman" w:hAnsi="Times New Roman" w:eastAsia="仿宋_GB2312" w:cs="Times New Roman"/>
          <w:color w:val="auto"/>
          <w:sz w:val="24"/>
          <w:szCs w:val="24"/>
          <w:highlight w:val="none"/>
          <w:lang w:val="en-US" w:eastAsia="zh-CN"/>
        </w:rPr>
        <w:t xml:space="preserve">，占流失面积的 5.52%。 </w:t>
      </w:r>
    </w:p>
    <w:p>
      <w:pPr>
        <w:spacing w:line="360" w:lineRule="auto"/>
        <w:ind w:firstLine="460" w:firstLineChars="192"/>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仪陇县</w:t>
      </w:r>
      <w:r>
        <w:rPr>
          <w:rFonts w:hint="eastAsia" w:ascii="Times New Roman" w:hAnsi="Times New Roman" w:eastAsia="仿宋_GB2312" w:cs="Times New Roman"/>
          <w:color w:val="auto"/>
          <w:sz w:val="24"/>
          <w:szCs w:val="24"/>
          <w:highlight w:val="none"/>
        </w:rPr>
        <w:t>水土流失面积和侵蚀强度见表4</w:t>
      </w:r>
      <w:r>
        <w:rPr>
          <w:rFonts w:hint="eastAsia" w:ascii="Times New Roman" w:hAnsi="Times New Roman" w:eastAsia="仿宋_GB2312" w:cs="Times New Roman"/>
          <w:color w:val="auto"/>
          <w:sz w:val="24"/>
          <w:szCs w:val="24"/>
          <w:highlight w:val="none"/>
          <w:lang w:val="en-US" w:eastAsia="zh-CN"/>
        </w:rPr>
        <w:t>.1</w:t>
      </w:r>
      <w:r>
        <w:rPr>
          <w:rFonts w:hint="eastAsia" w:ascii="Times New Roman" w:hAnsi="Times New Roman" w:eastAsia="仿宋_GB2312" w:cs="Times New Roman"/>
          <w:color w:val="auto"/>
          <w:sz w:val="24"/>
          <w:szCs w:val="24"/>
          <w:highlight w:val="none"/>
        </w:rPr>
        <w:t>-1。</w:t>
      </w:r>
    </w:p>
    <w:p>
      <w:pPr>
        <w:adjustRightInd w:val="0"/>
        <w:snapToGrid w:val="0"/>
        <w:jc w:val="center"/>
        <w:rPr>
          <w:rFonts w:hint="default" w:ascii="Times New Roman" w:hAnsi="Times New Roman" w:eastAsia="仿宋_GB2312" w:cs="Times New Roman"/>
          <w:b/>
          <w:highlight w:val="none"/>
          <w:lang w:val="en-US" w:eastAsia="zh-CN"/>
        </w:rPr>
      </w:pPr>
      <w:r>
        <w:rPr>
          <w:rFonts w:hint="eastAsia" w:ascii="Times New Roman" w:hAnsi="Times New Roman" w:eastAsia="仿宋_GB2312" w:cs="Times New Roman"/>
          <w:b/>
          <w:highlight w:val="none"/>
          <w:lang w:val="en-US" w:eastAsia="zh-CN"/>
        </w:rPr>
        <w:t>表4.1-1</w:t>
      </w:r>
      <w:r>
        <w:rPr>
          <w:rFonts w:hint="eastAsia" w:ascii="Times New Roman" w:hAnsi="Times New Roman" w:eastAsia="仿宋_GB2312" w:cs="Times New Roman"/>
          <w:b/>
          <w:highlight w:val="none"/>
        </w:rPr>
        <w:t>项目区</w:t>
      </w:r>
      <w:r>
        <w:rPr>
          <w:rFonts w:ascii="Times New Roman" w:hAnsi="Times New Roman" w:eastAsia="仿宋_GB2312" w:cs="Times New Roman"/>
          <w:b/>
          <w:highlight w:val="none"/>
        </w:rPr>
        <w:t>水土流失现状统计表</w:t>
      </w:r>
      <w:r>
        <w:rPr>
          <w:rFonts w:hint="eastAsia" w:ascii="Times New Roman" w:hAnsi="Times New Roman" w:eastAsia="仿宋_GB2312" w:cs="Times New Roman"/>
          <w:b/>
          <w:highlight w:val="none"/>
          <w:lang w:eastAsia="zh-CN"/>
        </w:rPr>
        <w:t>（</w:t>
      </w:r>
      <w:r>
        <w:rPr>
          <w:rFonts w:hint="eastAsia" w:ascii="Times New Roman" w:hAnsi="Times New Roman" w:eastAsia="仿宋_GB2312" w:cs="Times New Roman"/>
          <w:b/>
          <w:highlight w:val="none"/>
          <w:lang w:val="en-US" w:eastAsia="zh-CN"/>
        </w:rPr>
        <w:t>单位：平方公里，%）</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2208"/>
        <w:gridCol w:w="2208"/>
        <w:gridCol w:w="2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侵蚀强度</w:t>
            </w:r>
          </w:p>
        </w:tc>
        <w:tc>
          <w:tcPr>
            <w:tcW w:w="2208" w:type="dxa"/>
          </w:tcPr>
          <w:p>
            <w:pPr>
              <w:pStyle w:val="64"/>
              <w:rPr>
                <w:rFonts w:hint="eastAsia"/>
                <w:sz w:val="18"/>
                <w:szCs w:val="18"/>
                <w:highlight w:val="none"/>
                <w:lang w:val="en-US" w:eastAsia="zh-CN"/>
              </w:rPr>
            </w:pPr>
            <w:r>
              <w:rPr>
                <w:rFonts w:hint="eastAsia"/>
                <w:sz w:val="18"/>
                <w:szCs w:val="18"/>
                <w:highlight w:val="none"/>
                <w:lang w:val="en-US" w:eastAsia="zh-CN"/>
              </w:rPr>
              <w:t>面积</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占流失面积比</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占土地面积比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eastAsia"/>
                <w:sz w:val="18"/>
                <w:szCs w:val="18"/>
                <w:highlight w:val="none"/>
                <w:lang w:val="en-US" w:eastAsia="zh-CN"/>
              </w:rPr>
            </w:pPr>
            <w:r>
              <w:rPr>
                <w:rFonts w:hint="eastAsia"/>
                <w:sz w:val="18"/>
                <w:szCs w:val="18"/>
                <w:highlight w:val="none"/>
                <w:lang w:val="en-US" w:eastAsia="zh-CN"/>
              </w:rPr>
              <w:t>轻度</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205.67</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23.75</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11.48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中度</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348.22</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40.22</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19.45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eastAsia"/>
                <w:sz w:val="18"/>
                <w:szCs w:val="18"/>
                <w:highlight w:val="none"/>
                <w:lang w:val="en-US" w:eastAsia="zh-CN"/>
              </w:rPr>
            </w:pPr>
            <w:r>
              <w:rPr>
                <w:rFonts w:hint="eastAsia"/>
                <w:sz w:val="18"/>
                <w:szCs w:val="18"/>
                <w:highlight w:val="none"/>
                <w:lang w:val="en-US" w:eastAsia="zh-CN"/>
              </w:rPr>
              <w:t>强烈</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180.75</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20.87</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极强烈</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83.45</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9.64</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剧烈</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47.76</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5.52</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侵蚀总面积</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865.85</w:t>
            </w:r>
          </w:p>
        </w:tc>
        <w:tc>
          <w:tcPr>
            <w:tcW w:w="2208" w:type="dxa"/>
          </w:tcPr>
          <w:p>
            <w:pPr>
              <w:pStyle w:val="64"/>
              <w:rPr>
                <w:rFonts w:hint="default"/>
                <w:sz w:val="18"/>
                <w:szCs w:val="18"/>
                <w:highlight w:val="none"/>
                <w:lang w:val="en-US" w:eastAsia="zh-CN"/>
              </w:rPr>
            </w:pPr>
            <w:r>
              <w:rPr>
                <w:rFonts w:hint="eastAsia"/>
                <w:sz w:val="18"/>
                <w:szCs w:val="18"/>
                <w:highlight w:val="none"/>
                <w:lang w:val="en-US" w:eastAsia="zh-CN"/>
              </w:rPr>
              <w:t>100.00</w:t>
            </w:r>
          </w:p>
        </w:tc>
        <w:tc>
          <w:tcPr>
            <w:tcW w:w="2209" w:type="dxa"/>
          </w:tcPr>
          <w:p>
            <w:pPr>
              <w:pStyle w:val="64"/>
              <w:rPr>
                <w:rFonts w:hint="default"/>
                <w:sz w:val="18"/>
                <w:szCs w:val="18"/>
                <w:highlight w:val="none"/>
                <w:lang w:val="en-US" w:eastAsia="zh-CN"/>
              </w:rPr>
            </w:pPr>
            <w:r>
              <w:rPr>
                <w:rFonts w:hint="eastAsia"/>
                <w:sz w:val="18"/>
                <w:szCs w:val="18"/>
                <w:highlight w:val="none"/>
                <w:lang w:val="en-US" w:eastAsia="zh-CN"/>
              </w:rPr>
              <w:t>48.35</w:t>
            </w:r>
          </w:p>
        </w:tc>
      </w:tr>
    </w:tbl>
    <w:p>
      <w:pPr>
        <w:spacing w:line="360" w:lineRule="auto"/>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highlight w:val="none"/>
        </w:rPr>
        <w:t>注：资料来源</w:t>
      </w:r>
      <w:r>
        <w:rPr>
          <w:rFonts w:hint="eastAsia" w:ascii="Times New Roman" w:hAnsi="Times New Roman" w:eastAsia="仿宋_GB2312" w:cs="Times New Roman"/>
          <w:highlight w:val="none"/>
          <w:lang w:val="en-US" w:eastAsia="zh-CN"/>
        </w:rPr>
        <w:t>南充市仪陇县水土保持规划（2015-2030年）</w:t>
      </w:r>
      <w:r>
        <w:rPr>
          <w:rFonts w:ascii="Times New Roman" w:hAnsi="Times New Roman" w:eastAsia="仿宋_GB2312" w:cs="Times New Roman"/>
          <w:highlight w:val="none"/>
        </w:rPr>
        <w:t>。</w:t>
      </w:r>
    </w:p>
    <w:p>
      <w:pPr>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（3）拟建场地水土流失现状</w:t>
      </w:r>
    </w:p>
    <w:p>
      <w:pPr>
        <w:adjustRightInd w:val="0"/>
        <w:snapToGrid w:val="0"/>
        <w:spacing w:line="360" w:lineRule="auto"/>
        <w:ind w:firstLine="480" w:firstLineChars="200"/>
        <w:rPr>
          <w:rFonts w:ascii="Times New Roman" w:hAnsi="Times New Roman" w:eastAsia="仿宋_GB2312" w:cs="Times New Roman"/>
          <w:b/>
          <w:color w:val="auto"/>
          <w:szCs w:val="21"/>
          <w:highlight w:val="none"/>
        </w:rPr>
      </w:pPr>
      <w:r>
        <w:rPr>
          <w:rFonts w:ascii="Times New Roman" w:hAnsi="Times New Roman" w:eastAsia="仿宋_GB2312" w:cs="Times New Roman"/>
          <w:color w:val="auto"/>
          <w:sz w:val="24"/>
          <w:szCs w:val="24"/>
          <w:highlight w:val="none"/>
        </w:rPr>
        <w:t>按照《土壤侵蚀分类分级标准》（SL190-2007）中土壤侵蚀等级划分标准，结合土壤侵蚀强度分布图，对项目区坡度、植被盖度、土地利用等流失因子进行现场踏勘，利用遥感影像综合分析评判拟建场地土壤侵蚀强度和模数背景值。</w:t>
      </w:r>
      <w:r>
        <w:rPr>
          <w:rFonts w:ascii="Times New Roman" w:hAnsi="Times New Roman" w:eastAsia="仿宋_GB2312" w:cs="Times New Roman"/>
          <w:color w:val="auto"/>
          <w:sz w:val="24"/>
          <w:highlight w:val="none"/>
        </w:rPr>
        <w:t>经分析，项目区水土流失背景平均土壤侵蚀模数</w:t>
      </w:r>
      <w:r>
        <w:rPr>
          <w:rFonts w:hint="eastAsia" w:ascii="Times New Roman" w:hAnsi="Times New Roman" w:eastAsia="仿宋_GB2312" w:cs="Times New Roman"/>
          <w:color w:val="auto"/>
          <w:sz w:val="24"/>
          <w:highlight w:val="none"/>
          <w:lang w:val="en-US" w:eastAsia="zh-CN"/>
        </w:rPr>
        <w:t>1505</w:t>
      </w:r>
      <w:r>
        <w:rPr>
          <w:rFonts w:hint="eastAsia" w:ascii="Times New Roman" w:hAnsi="Times New Roman" w:eastAsia="仿宋_GB2312" w:cs="Times New Roman"/>
          <w:color w:val="auto"/>
          <w:sz w:val="24"/>
          <w:highlight w:val="none"/>
          <w:lang w:eastAsia="zh-CN"/>
        </w:rPr>
        <w:t>t</w:t>
      </w:r>
      <w:r>
        <w:rPr>
          <w:rFonts w:ascii="Times New Roman" w:hAnsi="Times New Roman" w:eastAsia="仿宋_GB2312" w:cs="Times New Roman"/>
          <w:color w:val="auto"/>
          <w:sz w:val="24"/>
          <w:highlight w:val="none"/>
        </w:rPr>
        <w:t>/km</w:t>
      </w:r>
      <w:r>
        <w:rPr>
          <w:rFonts w:ascii="Times New Roman" w:hAnsi="Times New Roman" w:eastAsia="仿宋_GB2312" w:cs="Times New Roman"/>
          <w:color w:val="auto"/>
          <w:sz w:val="24"/>
          <w:highlight w:val="none"/>
          <w:vertAlign w:val="superscript"/>
        </w:rPr>
        <w:t>2</w:t>
      </w:r>
      <w:r>
        <w:rPr>
          <w:rFonts w:ascii="Times New Roman" w:hAnsi="Times New Roman" w:eastAsia="微软雅黑" w:cs="Times New Roman"/>
          <w:color w:val="auto"/>
          <w:sz w:val="24"/>
          <w:highlight w:val="none"/>
        </w:rPr>
        <w:t>•</w:t>
      </w:r>
      <w:r>
        <w:rPr>
          <w:rFonts w:ascii="Times New Roman" w:hAnsi="Times New Roman" w:eastAsia="仿宋_GB2312" w:cs="Times New Roman"/>
          <w:color w:val="auto"/>
          <w:sz w:val="24"/>
          <w:highlight w:val="none"/>
        </w:rPr>
        <w:t>a，总体上属</w:t>
      </w:r>
      <w:r>
        <w:rPr>
          <w:rFonts w:hint="eastAsia" w:ascii="Times New Roman" w:hAnsi="Times New Roman" w:eastAsia="仿宋_GB2312" w:cs="Times New Roman"/>
          <w:color w:val="auto"/>
          <w:sz w:val="24"/>
          <w:highlight w:val="none"/>
          <w:lang w:val="en-US" w:eastAsia="zh-CN"/>
        </w:rPr>
        <w:t>轻</w:t>
      </w:r>
      <w:r>
        <w:rPr>
          <w:rFonts w:ascii="Times New Roman" w:hAnsi="Times New Roman" w:eastAsia="仿宋_GB2312" w:cs="Times New Roman"/>
          <w:color w:val="auto"/>
          <w:sz w:val="24"/>
          <w:highlight w:val="none"/>
        </w:rPr>
        <w:t>度流失。</w:t>
      </w:r>
    </w:p>
    <w:p>
      <w:pPr>
        <w:adjustRightInd w:val="0"/>
        <w:snapToGrid w:val="0"/>
        <w:spacing w:line="360" w:lineRule="auto"/>
        <w:ind w:firstLine="422" w:firstLineChars="200"/>
        <w:jc w:val="center"/>
        <w:rPr>
          <w:rFonts w:ascii="Times New Roman" w:hAnsi="Times New Roman" w:eastAsia="仿宋_GB2312" w:cs="Times New Roman"/>
          <w:b/>
          <w:bCs/>
          <w:color w:val="auto"/>
          <w:szCs w:val="21"/>
          <w:highlight w:val="none"/>
        </w:rPr>
      </w:pPr>
      <w:r>
        <w:rPr>
          <w:rFonts w:ascii="Times New Roman" w:hAnsi="Times New Roman" w:eastAsia="仿宋_GB2312" w:cs="Times New Roman"/>
          <w:b/>
          <w:color w:val="auto"/>
          <w:szCs w:val="21"/>
          <w:highlight w:val="none"/>
        </w:rPr>
        <w:fldChar w:fldCharType="begin">
          <w:fldData xml:space="preserve">XwBjAHAAXwBkAEIAdgBqAFcAdgA2AFcAOABzAFEANgB1ADkATwBSAFAAUQBoAFQAYQBqAGQAOAAr
ADgAMQA3AEYAMgBYAFUAaAByADgAMwBKAFQAWQBsAEQAQgBkAG4ATQBoAGMAbQBFAG8AMQA2AEIA
dwA9AD0A
</w:fldData>
        </w:fldChar>
      </w:r>
      <w:r>
        <w:rPr>
          <w:rFonts w:ascii="Times New Roman" w:hAnsi="Times New Roman" w:eastAsia="仿宋_GB2312" w:cs="Times New Roman"/>
          <w:b/>
          <w:color w:val="auto"/>
          <w:szCs w:val="21"/>
          <w:highlight w:val="none"/>
        </w:rPr>
        <w:instrText xml:space="preserve">ADDIN _cp_ \* MERGEFORMAT</w:instrText>
      </w:r>
      <w:r>
        <w:rPr>
          <w:rFonts w:ascii="Times New Roman" w:hAnsi="Times New Roman" w:eastAsia="仿宋_GB2312" w:cs="Times New Roman"/>
          <w:b/>
          <w:color w:val="auto"/>
          <w:szCs w:val="21"/>
          <w:highlight w:val="none"/>
        </w:rPr>
        <w:fldChar w:fldCharType="separate"/>
      </w:r>
      <w:r>
        <w:rPr>
          <w:rFonts w:ascii="Times New Roman" w:hAnsi="Times New Roman" w:eastAsia="仿宋_GB2312" w:cs="Times New Roman"/>
          <w:b/>
          <w:color w:val="auto"/>
          <w:szCs w:val="21"/>
          <w:highlight w:val="none"/>
        </w:rPr>
        <w:t>表4.1-</w:t>
      </w:r>
      <w:r>
        <w:rPr>
          <w:rFonts w:ascii="Times New Roman" w:hAnsi="Times New Roman" w:eastAsia="仿宋_GB2312" w:cs="Times New Roman"/>
          <w:b/>
          <w:color w:val="auto"/>
          <w:szCs w:val="21"/>
          <w:highlight w:val="none"/>
        </w:rPr>
        <w:fldChar w:fldCharType="end"/>
      </w:r>
      <w:r>
        <w:rPr>
          <w:rFonts w:ascii="Times New Roman" w:hAnsi="Times New Roman" w:eastAsia="仿宋_GB2312" w:cs="Times New Roman"/>
          <w:b/>
          <w:color w:val="auto"/>
          <w:szCs w:val="21"/>
          <w:highlight w:val="none"/>
        </w:rPr>
        <w:t xml:space="preserve">2 </w:t>
      </w:r>
      <w:r>
        <w:rPr>
          <w:rFonts w:ascii="Times New Roman" w:hAnsi="Times New Roman" w:eastAsia="仿宋_GB2312" w:cs="Times New Roman"/>
          <w:b/>
          <w:bCs/>
          <w:color w:val="auto"/>
          <w:szCs w:val="21"/>
          <w:highlight w:val="none"/>
        </w:rPr>
        <w:t>项目区水土流失背景值分析</w:t>
      </w:r>
    </w:p>
    <w:tbl>
      <w:tblPr>
        <w:tblStyle w:val="3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806"/>
        <w:gridCol w:w="950"/>
        <w:gridCol w:w="1424"/>
        <w:gridCol w:w="827"/>
        <w:gridCol w:w="827"/>
        <w:gridCol w:w="936"/>
        <w:gridCol w:w="827"/>
        <w:gridCol w:w="1205"/>
        <w:gridCol w:w="10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序号</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分区</w:t>
            </w:r>
          </w:p>
        </w:tc>
        <w:tc>
          <w:tcPr>
            <w:tcW w:w="805"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地类</w:t>
            </w:r>
          </w:p>
        </w:tc>
        <w:tc>
          <w:tcPr>
            <w:tcW w:w="468"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面积</w:t>
            </w:r>
          </w:p>
        </w:tc>
        <w:tc>
          <w:tcPr>
            <w:tcW w:w="468"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坡度</w:t>
            </w:r>
          </w:p>
        </w:tc>
        <w:tc>
          <w:tcPr>
            <w:tcW w:w="530"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植被盖度</w:t>
            </w:r>
          </w:p>
        </w:tc>
        <w:tc>
          <w:tcPr>
            <w:tcW w:w="468"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侵蚀</w:t>
            </w:r>
          </w:p>
        </w:tc>
        <w:tc>
          <w:tcPr>
            <w:tcW w:w="682"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侵蚀模数</w:t>
            </w:r>
          </w:p>
        </w:tc>
        <w:tc>
          <w:tcPr>
            <w:tcW w:w="5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年平均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0"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682"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8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流失量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r>
              <w:rPr>
                <w:rFonts w:hint="eastAsia" w:ascii="Times New Roman" w:hAnsi="Times New Roman" w:eastAsia="宋体" w:cs="Times New Roman"/>
                <w:i w:val="0"/>
                <w:iCs w:val="0"/>
                <w:color w:val="auto"/>
                <w:kern w:val="0"/>
                <w:sz w:val="18"/>
                <w:szCs w:val="18"/>
                <w:highlight w:val="none"/>
                <w:u w:val="none"/>
                <w:lang w:val="en-US" w:eastAsia="zh-CN" w:bidi="ar"/>
              </w:rPr>
              <w:t>hm</w:t>
            </w:r>
            <w:r>
              <w:rPr>
                <w:rFonts w:hint="eastAsia" w:ascii="Times New Roman" w:hAnsi="Times New Roman" w:eastAsia="宋体" w:cs="Times New Roman"/>
                <w:i w:val="0"/>
                <w:iCs w:val="0"/>
                <w:color w:val="auto"/>
                <w:kern w:val="0"/>
                <w:sz w:val="18"/>
                <w:szCs w:val="18"/>
                <w:highlight w:val="none"/>
                <w:u w:val="none"/>
                <w:vertAlign w:val="super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(º)</w:t>
            </w:r>
          </w:p>
        </w:tc>
        <w:tc>
          <w:tcPr>
            <w:tcW w:w="5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强烈</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(t/km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.a)</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Ⅰ</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井场及附属工程</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default" w:ascii="仿宋_GB2312" w:hAnsi="宋体" w:eastAsia="仿宋_GB2312" w:cs="仿宋_GB2312"/>
                <w:i w:val="0"/>
                <w:iCs w:val="0"/>
                <w:color w:val="auto"/>
                <w:kern w:val="0"/>
                <w:sz w:val="18"/>
                <w:szCs w:val="18"/>
                <w:highlight w:val="none"/>
                <w:u w:val="none"/>
                <w:lang w:val="en-US" w:eastAsia="zh-CN" w:bidi="ar"/>
              </w:rPr>
              <w:t>耕地（水田）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default" w:ascii="Times New Roman" w:hAnsi="Times New Roman" w:eastAsia="宋体" w:cs="Times New Roman"/>
                <w:i w:val="0"/>
                <w:iCs w:val="0"/>
                <w:color w:val="auto"/>
                <w:kern w:val="0"/>
                <w:sz w:val="18"/>
                <w:szCs w:val="18"/>
                <w:highlight w:val="none"/>
                <w:u w:val="none"/>
                <w:lang w:val="en-US" w:eastAsia="zh-CN" w:bidi="ar"/>
              </w:rPr>
              <w:t>1.13</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default" w:ascii="仿宋_GB2312" w:hAnsi="宋体" w:eastAsia="仿宋_GB2312" w:cs="仿宋_GB2312"/>
                <w:i w:val="0"/>
                <w:iCs w:val="0"/>
                <w:color w:val="auto"/>
                <w:kern w:val="0"/>
                <w:sz w:val="18"/>
                <w:szCs w:val="18"/>
                <w:highlight w:val="none"/>
                <w:u w:val="none"/>
                <w:lang w:val="en-US" w:eastAsia="zh-CN" w:bidi="ar"/>
              </w:rPr>
              <w:t>小计</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仿宋_GB2312" w:cs="Times New Roman"/>
                <w:color w:val="auto"/>
                <w:kern w:val="0"/>
                <w:sz w:val="18"/>
                <w:szCs w:val="18"/>
                <w:highlight w:val="none"/>
                <w:lang w:val="en-US" w:eastAsia="zh-CN" w:bidi="ar"/>
              </w:rPr>
              <w:t>1.13</w:t>
            </w:r>
          </w:p>
        </w:tc>
        <w:tc>
          <w:tcPr>
            <w:tcW w:w="468"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Ⅱ</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道路工程</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耕地（水田）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default" w:ascii="仿宋_GB2312" w:hAnsi="宋体" w:eastAsia="仿宋_GB2312" w:cs="仿宋_GB2312"/>
                <w:i w:val="0"/>
                <w:iCs w:val="0"/>
                <w:color w:val="auto"/>
                <w:kern w:val="0"/>
                <w:sz w:val="18"/>
                <w:szCs w:val="18"/>
                <w:highlight w:val="none"/>
                <w:u w:val="none"/>
                <w:lang w:val="en-US" w:eastAsia="zh-CN" w:bidi="ar"/>
              </w:rPr>
              <w:t>小计</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0.3</w:t>
            </w:r>
          </w:p>
        </w:tc>
        <w:tc>
          <w:tcPr>
            <w:tcW w:w="468"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4.5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Ⅲ</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表土堆放场</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耕地（水田）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0.10 </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eastAsia" w:ascii="Times New Roman" w:hAnsi="Times New Roman" w:eastAsia="宋体" w:cs="Times New Roman"/>
                <w:i w:val="0"/>
                <w:iCs w:val="0"/>
                <w:color w:val="auto"/>
                <w:kern w:val="0"/>
                <w:sz w:val="18"/>
                <w:szCs w:val="18"/>
                <w:highlight w:val="none"/>
                <w:u w:val="none"/>
                <w:lang w:val="en-US" w:eastAsia="zh-CN" w:bidi="ar"/>
              </w:rPr>
              <w:t>1.5</w:t>
            </w: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default" w:ascii="仿宋_GB2312" w:hAnsi="宋体" w:eastAsia="仿宋_GB2312" w:cs="仿宋_GB2312"/>
                <w:i w:val="0"/>
                <w:iCs w:val="0"/>
                <w:color w:val="auto"/>
                <w:kern w:val="0"/>
                <w:sz w:val="18"/>
                <w:szCs w:val="18"/>
                <w:highlight w:val="none"/>
                <w:u w:val="none"/>
                <w:lang w:val="en-US" w:eastAsia="zh-CN" w:bidi="ar"/>
              </w:rPr>
              <w:t>小计</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0.1</w:t>
            </w:r>
          </w:p>
        </w:tc>
        <w:tc>
          <w:tcPr>
            <w:tcW w:w="468"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restar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Ⅵ</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临时生活区</w:t>
            </w: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耕地（水田）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0.08 </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102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auto"/>
                <w:kern w:val="0"/>
                <w:sz w:val="18"/>
                <w:szCs w:val="18"/>
                <w:highlight w:val="none"/>
                <w:u w:val="none"/>
                <w:lang w:val="en-US" w:eastAsia="zh-CN" w:bidi="ar"/>
              </w:rPr>
            </w:pPr>
          </w:p>
        </w:tc>
        <w:tc>
          <w:tcPr>
            <w:tcW w:w="538"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仿宋_GB2312"/>
                <w:i w:val="0"/>
                <w:iCs w:val="0"/>
                <w:color w:val="auto"/>
                <w:kern w:val="0"/>
                <w:sz w:val="18"/>
                <w:szCs w:val="18"/>
                <w:highlight w:val="none"/>
                <w:u w:val="none"/>
                <w:lang w:val="en-US" w:eastAsia="zh-CN" w:bidi="ar"/>
              </w:rPr>
            </w:pP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耕地（旱地）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0.08 </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1800</w:t>
            </w:r>
          </w:p>
        </w:tc>
        <w:tc>
          <w:tcPr>
            <w:tcW w:w="102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林地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 </w:t>
            </w:r>
          </w:p>
        </w:tc>
        <w:tc>
          <w:tcPr>
            <w:tcW w:w="468" w:type="pct"/>
            <w:tcBorders>
              <w:tl2br w:val="nil"/>
              <w:tr2bl w:val="nil"/>
            </w:tcBorders>
            <w:shd w:val="clear" w:color="auto" w:fill="auto"/>
            <w:noWrap/>
            <w:vAlign w:val="center"/>
          </w:tcPr>
          <w:p>
            <w:pPr>
              <w:jc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53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1026"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tcBorders>
              <w:tl2br w:val="nil"/>
              <w:tr2bl w:val="nil"/>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交通运输用地</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 </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w:t>
            </w: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val="en-US" w:eastAsia="zh-CN"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auto"/>
                <w:kern w:val="0"/>
                <w:sz w:val="18"/>
                <w:szCs w:val="18"/>
                <w:highlight w:val="none"/>
                <w:u w:val="none"/>
                <w:lang w:val="en-US" w:eastAsia="zh-CN" w:bidi="ar"/>
              </w:rPr>
            </w:pPr>
            <w:r>
              <w:rPr>
                <w:rFonts w:hint="eastAsia" w:ascii="仿宋_GB2312" w:hAnsi="宋体" w:eastAsia="仿宋_GB2312" w:cs="仿宋_GB2312"/>
                <w:i w:val="0"/>
                <w:iCs w:val="0"/>
                <w:color w:val="auto"/>
                <w:kern w:val="0"/>
                <w:sz w:val="18"/>
                <w:szCs w:val="18"/>
                <w:highlight w:val="none"/>
                <w:u w:val="none"/>
                <w:lang w:val="en-US" w:eastAsia="zh-CN" w:bidi="ar"/>
              </w:rPr>
              <w:t>微度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300</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457" w:type="pct"/>
            <w:vMerge w:val="continue"/>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805"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小计</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0.23</w:t>
            </w:r>
          </w:p>
        </w:tc>
        <w:tc>
          <w:tcPr>
            <w:tcW w:w="468"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1552</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3" w:hRule="atLeast"/>
        </w:trPr>
        <w:tc>
          <w:tcPr>
            <w:tcW w:w="1801" w:type="pct"/>
            <w:gridSpan w:val="3"/>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Times New Roman" w:hAnsi="Times New Roman" w:eastAsia="仿宋_GB2312" w:cs="仿宋_GB2312"/>
                <w:i w:val="0"/>
                <w:iCs w:val="0"/>
                <w:color w:val="auto"/>
                <w:kern w:val="0"/>
                <w:sz w:val="18"/>
                <w:szCs w:val="18"/>
                <w:highlight w:val="none"/>
                <w:u w:val="none"/>
                <w:lang w:val="en-US" w:eastAsia="zh-CN" w:bidi="ar"/>
              </w:rPr>
              <w:t>总计</w:t>
            </w: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1.76</w:t>
            </w:r>
          </w:p>
        </w:tc>
        <w:tc>
          <w:tcPr>
            <w:tcW w:w="468"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530" w:type="pct"/>
            <w:tcBorders>
              <w:tl2br w:val="nil"/>
              <w:tr2bl w:val="nil"/>
            </w:tcBorders>
            <w:shd w:val="clear" w:color="auto" w:fill="auto"/>
            <w:noWrap/>
            <w:vAlign w:val="center"/>
          </w:tcPr>
          <w:p>
            <w:pPr>
              <w:jc w:val="center"/>
              <w:rPr>
                <w:rFonts w:hint="default" w:ascii="Times New Roman" w:hAnsi="Times New Roman" w:eastAsia="仿宋_GB2312" w:cs="Times New Roman"/>
                <w:color w:val="auto"/>
                <w:kern w:val="0"/>
                <w:sz w:val="18"/>
                <w:szCs w:val="18"/>
                <w:highlight w:val="none"/>
                <w:lang w:bidi="ar"/>
              </w:rPr>
            </w:pPr>
          </w:p>
        </w:tc>
        <w:tc>
          <w:tcPr>
            <w:tcW w:w="46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bidi="ar"/>
              </w:rPr>
            </w:pPr>
            <w:r>
              <w:rPr>
                <w:rFonts w:hint="default" w:ascii="仿宋_GB2312" w:hAnsi="宋体" w:eastAsia="仿宋_GB2312" w:cs="仿宋_GB2312"/>
                <w:i w:val="0"/>
                <w:iCs w:val="0"/>
                <w:color w:val="auto"/>
                <w:kern w:val="0"/>
                <w:sz w:val="18"/>
                <w:szCs w:val="18"/>
                <w:highlight w:val="none"/>
                <w:u w:val="none"/>
                <w:lang w:val="en-US" w:eastAsia="zh-CN" w:bidi="ar"/>
              </w:rPr>
              <w:t>轻度</w:t>
            </w:r>
          </w:p>
        </w:tc>
        <w:tc>
          <w:tcPr>
            <w:tcW w:w="68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1505</w:t>
            </w:r>
          </w:p>
        </w:tc>
        <w:tc>
          <w:tcPr>
            <w:tcW w:w="58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26.5</w:t>
            </w:r>
          </w:p>
        </w:tc>
      </w:tr>
    </w:tbl>
    <w:p>
      <w:pPr>
        <w:keepNext/>
        <w:keepLines/>
        <w:spacing w:before="120" w:beforeLines="50" w:after="120" w:afterLines="50" w:line="360" w:lineRule="auto"/>
        <w:ind w:left="711" w:hanging="711" w:hangingChars="236"/>
        <w:outlineLvl w:val="1"/>
        <w:rPr>
          <w:rFonts w:ascii="Times New Roman" w:hAnsi="Times New Roman" w:eastAsia="仿宋_GB2312" w:cs="Times New Roman"/>
          <w:b/>
          <w:color w:val="auto"/>
          <w:sz w:val="30"/>
          <w:szCs w:val="30"/>
          <w:highlight w:val="none"/>
          <w:lang w:val="zh-CN"/>
        </w:rPr>
      </w:pPr>
      <w:bookmarkStart w:id="229" w:name="_Toc12177004"/>
      <w:bookmarkStart w:id="230" w:name="_Toc74588691"/>
      <w:bookmarkStart w:id="231" w:name="_Toc74588742"/>
      <w:r>
        <w:rPr>
          <w:rFonts w:ascii="Times New Roman" w:hAnsi="Times New Roman" w:eastAsia="仿宋_GB2312" w:cs="Times New Roman"/>
          <w:b/>
          <w:color w:val="auto"/>
          <w:sz w:val="30"/>
          <w:szCs w:val="30"/>
          <w:highlight w:val="none"/>
          <w:lang w:val="zh-CN"/>
        </w:rPr>
        <w:t>4.2水土流失影响因素分析</w:t>
      </w:r>
      <w:bookmarkEnd w:id="229"/>
      <w:bookmarkEnd w:id="230"/>
      <w:bookmarkEnd w:id="231"/>
    </w:p>
    <w:p>
      <w:pPr>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t>4.2.1 新增水土流失影响因素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本项目在建设过程中新增水土流失主要是由于人为扰动地表、构筑人工再塑地貌等活动，在侵蚀营力的作用下产生的，其形成包括自然因素和人为因素两种。</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（1）自然因素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自然因素包括地形地貌、降雨、土壤等因素，其中降雨是形成土壤侵蚀的自然动力因素。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宋体" w:cs="宋体"/>
          <w:color w:val="auto"/>
          <w:sz w:val="24"/>
          <w:highlight w:val="none"/>
        </w:rPr>
        <w:t>①</w:t>
      </w:r>
      <w:r>
        <w:rPr>
          <w:rFonts w:ascii="Times New Roman" w:hAnsi="Times New Roman" w:eastAsia="仿宋_GB2312" w:cs="Times New Roman"/>
          <w:color w:val="auto"/>
          <w:sz w:val="24"/>
          <w:highlight w:val="none"/>
        </w:rPr>
        <w:t>地貌：本工程为点</w:t>
      </w:r>
      <w:r>
        <w:rPr>
          <w:rFonts w:hint="eastAsia" w:ascii="Times New Roman" w:hAnsi="Times New Roman" w:eastAsia="仿宋_GB2312" w:cs="Times New Roman"/>
          <w:color w:val="auto"/>
          <w:sz w:val="24"/>
          <w:highlight w:val="none"/>
          <w:lang w:val="en-US" w:eastAsia="zh-CN"/>
        </w:rPr>
        <w:t>型</w:t>
      </w:r>
      <w:r>
        <w:rPr>
          <w:rFonts w:ascii="Times New Roman" w:hAnsi="Times New Roman" w:eastAsia="仿宋_GB2312" w:cs="Times New Roman"/>
          <w:color w:val="auto"/>
          <w:sz w:val="24"/>
          <w:highlight w:val="none"/>
        </w:rPr>
        <w:t>结合工程，在自然状况下，水土流失随地表坡度的增大而增大。在工程施工等外营力作用下，地表坡度加大对水土流失的作用随之大幅度加大，水土流失强度成倍增加。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宋体" w:cs="宋体"/>
          <w:color w:val="auto"/>
          <w:sz w:val="24"/>
          <w:highlight w:val="none"/>
        </w:rPr>
        <w:t>②</w:t>
      </w:r>
      <w:r>
        <w:rPr>
          <w:rFonts w:ascii="Times New Roman" w:hAnsi="Times New Roman" w:eastAsia="仿宋_GB2312" w:cs="Times New Roman"/>
          <w:color w:val="auto"/>
          <w:sz w:val="24"/>
          <w:highlight w:val="none"/>
        </w:rPr>
        <w:t>降雨：降雨是造成水土流失的主要动力因素，项目区降雨量集中在5～9月份，在人工地表扰动条件下，降雨对水土流失的影响将随之加大，成为项目区影响工程施工新增水土流失的主要自然因素。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宋体" w:cs="宋体"/>
          <w:color w:val="auto"/>
          <w:sz w:val="24"/>
          <w:highlight w:val="none"/>
        </w:rPr>
        <w:t>③</w:t>
      </w:r>
      <w:r>
        <w:rPr>
          <w:rFonts w:ascii="Times New Roman" w:hAnsi="Times New Roman" w:eastAsia="仿宋_GB2312" w:cs="Times New Roman"/>
          <w:color w:val="auto"/>
          <w:sz w:val="24"/>
          <w:highlight w:val="none"/>
        </w:rPr>
        <w:t>土壤：土壤为沉积性沙质土，土质松散，土壤抗蚀性较弱，在人工扰动下极易产生水土流失。</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土壤侵蚀是在地貌、土壤、降雨等多种因素作用的结果，在自然状况下，项目区所在的地区水土流失类型主要是水力侵蚀，以轻度侵蚀为主，在工程施工等扰动作用下，削弱甚至破坏了土地的水土保持功能，水土流失随之大幅度加大，水土流失强度成倍增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（2）人为因素</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由于人为因素损毁原有地貌和地表植被，改变了侵蚀营力与土体抵抗力之间形成的自然相对平衡，破坏了土地的水土保持功能，使潜在的自然因素在人为因素的诱发下发挥作用，导致原地面水土流失加剧。项目区建设面积</w:t>
      </w:r>
      <w:r>
        <w:rPr>
          <w:rFonts w:hint="eastAsia" w:ascii="Times New Roman" w:hAnsi="Times New Roman" w:eastAsia="仿宋_GB2312" w:cs="Times New Roman"/>
          <w:color w:val="auto"/>
          <w:sz w:val="24"/>
          <w:highlight w:val="none"/>
          <w:lang w:val="en-US" w:eastAsia="zh-CN"/>
        </w:rPr>
        <w:t>1.76</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，开挖、回填土方总量</w:t>
      </w:r>
      <w:r>
        <w:rPr>
          <w:rFonts w:hint="eastAsia" w:ascii="Times New Roman" w:hAnsi="Times New Roman" w:eastAsia="仿宋_GB2312" w:cs="Times New Roman"/>
          <w:color w:val="auto"/>
          <w:sz w:val="24"/>
          <w:highlight w:val="none"/>
          <w:lang w:val="en-US" w:eastAsia="zh-CN"/>
        </w:rPr>
        <w:t>4.26</w:t>
      </w:r>
      <w:r>
        <w:rPr>
          <w:rFonts w:ascii="Times New Roman" w:hAnsi="Times New Roman" w:eastAsia="仿宋_GB2312" w:cs="Times New Roman"/>
          <w:color w:val="auto"/>
          <w:sz w:val="24"/>
          <w:highlight w:val="none"/>
        </w:rPr>
        <w:t>万m</w:t>
      </w:r>
      <w:r>
        <w:rPr>
          <w:rFonts w:ascii="Times New Roman" w:hAnsi="Times New Roman" w:eastAsia="仿宋_GB2312" w:cs="Times New Roman"/>
          <w:color w:val="auto"/>
          <w:sz w:val="24"/>
          <w:highlight w:val="none"/>
          <w:vertAlign w:val="superscript"/>
        </w:rPr>
        <w:t>3</w:t>
      </w:r>
      <w:r>
        <w:rPr>
          <w:rFonts w:ascii="Times New Roman" w:hAnsi="Times New Roman" w:eastAsia="仿宋_GB2312" w:cs="Times New Roman"/>
          <w:color w:val="auto"/>
          <w:sz w:val="24"/>
          <w:highlight w:val="none"/>
        </w:rPr>
        <w:t>，由于地表扰动破坏和大量的挖填土石方，项目建设过程中将大幅度加剧水土流失，土石方工程导致的水土流失增加主要发生在挖填工作面上，侵蚀形式以细沟侵蚀的水力侵蚀为主。</w:t>
      </w:r>
    </w:p>
    <w:p>
      <w:pPr>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t>4.2.2  扰动地表面积</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根据主体工程设计资料和土地利用现状现场调查和统计分析，本项目扰动原地貌面积共计</w:t>
      </w:r>
      <w:r>
        <w:rPr>
          <w:rFonts w:hint="eastAsia" w:ascii="Times New Roman" w:hAnsi="Times New Roman" w:eastAsia="仿宋_GB2312" w:cs="Times New Roman"/>
          <w:color w:val="auto"/>
          <w:sz w:val="24"/>
          <w:szCs w:val="24"/>
          <w:highlight w:val="none"/>
          <w:lang w:val="en-US" w:eastAsia="zh-CN"/>
        </w:rPr>
        <w:t>1.76</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highlight w:val="none"/>
        </w:rPr>
        <w:t>，详见表2.3-1。</w:t>
      </w:r>
    </w:p>
    <w:p>
      <w:pPr>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t>4.2.2  弃土（渣）量预测</w:t>
      </w:r>
    </w:p>
    <w:p>
      <w:pPr>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bookmarkStart w:id="232" w:name="_Toc74588692"/>
      <w:bookmarkStart w:id="233" w:name="_Toc74588743"/>
      <w:r>
        <w:rPr>
          <w:rFonts w:hint="eastAsia" w:ascii="Times New Roman" w:hAnsi="Times New Roman" w:eastAsia="仿宋_GB2312" w:cs="Times New Roman"/>
          <w:color w:val="auto"/>
          <w:sz w:val="24"/>
          <w:szCs w:val="24"/>
          <w:highlight w:val="none"/>
        </w:rPr>
        <w:t>本</w:t>
      </w:r>
      <w:r>
        <w:rPr>
          <w:rFonts w:ascii="Times New Roman" w:hAnsi="Times New Roman" w:eastAsia="仿宋_GB2312" w:cs="Times New Roman"/>
          <w:color w:val="auto"/>
          <w:sz w:val="24"/>
          <w:szCs w:val="24"/>
          <w:highlight w:val="none"/>
        </w:rPr>
        <w:t>工程挖方总量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hint="eastAsia" w:ascii="Times New Roman" w:hAnsi="Times New Roman" w:eastAsia="仿宋_GB2312" w:cs="Times New Roman"/>
          <w:color w:val="auto"/>
          <w:sz w:val="24"/>
          <w:szCs w:val="24"/>
          <w:highlight w:val="none"/>
        </w:rPr>
        <w:t>（自然方，下同，含表土剥离</w:t>
      </w:r>
      <w:r>
        <w:rPr>
          <w:rFonts w:hint="eastAsia" w:ascii="Times New Roman" w:hAnsi="Times New Roman" w:eastAsia="仿宋_GB2312" w:cs="Times New Roman"/>
          <w:color w:val="auto"/>
          <w:sz w:val="24"/>
          <w:szCs w:val="24"/>
          <w:highlight w:val="none"/>
          <w:lang w:eastAsia="zh-CN"/>
        </w:rPr>
        <w:t>0.</w:t>
      </w:r>
      <w:r>
        <w:rPr>
          <w:rFonts w:hint="eastAsia" w:ascii="Times New Roman" w:hAnsi="Times New Roman" w:eastAsia="仿宋_GB2312" w:cs="Times New Roman"/>
          <w:color w:val="auto"/>
          <w:sz w:val="24"/>
          <w:szCs w:val="24"/>
          <w:highlight w:val="none"/>
          <w:lang w:val="en-US" w:eastAsia="zh-CN"/>
        </w:rPr>
        <w:t>54</w:t>
      </w:r>
      <w:r>
        <w:rPr>
          <w:rFonts w:hint="eastAsia" w:ascii="Times New Roman" w:hAnsi="Times New Roman" w:eastAsia="仿宋_GB2312" w:cs="Times New Roman"/>
          <w:color w:val="auto"/>
          <w:sz w:val="24"/>
          <w:szCs w:val="24"/>
          <w:highlight w:val="none"/>
          <w:lang w:eastAsia="zh-CN"/>
        </w:rPr>
        <w:t>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hint="eastAsia" w:ascii="Times New Roman" w:hAnsi="Times New Roman" w:eastAsia="仿宋_GB2312" w:cs="Times New Roman"/>
          <w:color w:val="auto"/>
          <w:sz w:val="24"/>
          <w:szCs w:val="24"/>
          <w:highlight w:val="none"/>
        </w:rPr>
        <w:t>）</w:t>
      </w:r>
      <w:r>
        <w:rPr>
          <w:rFonts w:ascii="Times New Roman" w:hAnsi="Times New Roman" w:eastAsia="仿宋_GB2312" w:cs="Times New Roman"/>
          <w:color w:val="auto"/>
          <w:sz w:val="24"/>
          <w:szCs w:val="24"/>
          <w:highlight w:val="none"/>
        </w:rPr>
        <w:t>，总填方量</w:t>
      </w:r>
      <w:r>
        <w:rPr>
          <w:rFonts w:hint="eastAsia" w:ascii="Times New Roman" w:hAnsi="Times New Roman" w:eastAsia="仿宋_GB2312" w:cs="Times New Roman"/>
          <w:color w:val="auto"/>
          <w:sz w:val="24"/>
          <w:szCs w:val="24"/>
          <w:highlight w:val="none"/>
          <w:lang w:val="en-US" w:eastAsia="zh-CN"/>
        </w:rPr>
        <w:t>2.13万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hint="eastAsia" w:ascii="Times New Roman" w:hAnsi="Times New Roman" w:eastAsia="仿宋_GB2312" w:cs="Times New Roman"/>
          <w:color w:val="auto"/>
          <w:sz w:val="24"/>
          <w:szCs w:val="24"/>
          <w:highlight w:val="none"/>
        </w:rPr>
        <w:t>（含</w:t>
      </w:r>
      <w:r>
        <w:rPr>
          <w:rFonts w:ascii="Times New Roman" w:hAnsi="Times New Roman" w:eastAsia="仿宋_GB2312" w:cs="Times New Roman"/>
          <w:color w:val="auto"/>
          <w:sz w:val="24"/>
          <w:szCs w:val="24"/>
          <w:highlight w:val="none"/>
        </w:rPr>
        <w:t>表土</w:t>
      </w:r>
      <w:r>
        <w:rPr>
          <w:rFonts w:hint="eastAsia" w:ascii="Times New Roman" w:hAnsi="Times New Roman" w:eastAsia="仿宋_GB2312" w:cs="Times New Roman"/>
          <w:color w:val="auto"/>
          <w:sz w:val="24"/>
          <w:szCs w:val="24"/>
          <w:highlight w:val="none"/>
        </w:rPr>
        <w:t>利用</w:t>
      </w:r>
      <w:r>
        <w:rPr>
          <w:rFonts w:hint="eastAsia" w:ascii="Times New Roman" w:hAnsi="Times New Roman" w:eastAsia="仿宋_GB2312" w:cs="Times New Roman"/>
          <w:color w:val="auto"/>
          <w:sz w:val="24"/>
          <w:szCs w:val="24"/>
          <w:highlight w:val="none"/>
          <w:lang w:eastAsia="zh-CN"/>
        </w:rPr>
        <w:t>0</w:t>
      </w:r>
      <w:r>
        <w:rPr>
          <w:rFonts w:hint="eastAsia" w:ascii="Times New Roman" w:hAnsi="Times New Roman" w:eastAsia="仿宋_GB2312" w:cs="Times New Roman"/>
          <w:color w:val="auto"/>
          <w:sz w:val="24"/>
          <w:szCs w:val="24"/>
          <w:highlight w:val="none"/>
          <w:lang w:val="en-US" w:eastAsia="zh-CN"/>
        </w:rPr>
        <w:t>.54</w:t>
      </w:r>
      <w:r>
        <w:rPr>
          <w:rFonts w:hint="eastAsia" w:ascii="Times New Roman" w:hAnsi="Times New Roman" w:eastAsia="仿宋_GB2312" w:cs="Times New Roman"/>
          <w:color w:val="auto"/>
          <w:sz w:val="24"/>
          <w:szCs w:val="24"/>
          <w:highlight w:val="none"/>
          <w:lang w:eastAsia="zh-CN"/>
        </w:rPr>
        <w:t>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hint="eastAsia" w:ascii="Times New Roman" w:hAnsi="Times New Roman" w:eastAsia="仿宋_GB2312" w:cs="Times New Roman"/>
          <w:color w:val="auto"/>
          <w:sz w:val="24"/>
          <w:szCs w:val="24"/>
          <w:highlight w:val="none"/>
        </w:rPr>
        <w:t>），工程建设无弃方产生</w:t>
      </w:r>
      <w:r>
        <w:rPr>
          <w:rFonts w:ascii="Times New Roman" w:hAnsi="Times New Roman" w:eastAsia="仿宋_GB2312" w:cs="Times New Roman"/>
          <w:color w:val="auto"/>
          <w:sz w:val="24"/>
          <w:szCs w:val="24"/>
          <w:highlight w:val="none"/>
        </w:rPr>
        <w:t>。</w:t>
      </w:r>
    </w:p>
    <w:p>
      <w:pPr>
        <w:keepNext/>
        <w:keepLines/>
        <w:spacing w:before="120" w:beforeLines="50" w:after="120" w:afterLines="50" w:line="360" w:lineRule="auto"/>
        <w:ind w:left="711" w:hanging="711" w:hangingChars="236"/>
        <w:outlineLvl w:val="1"/>
        <w:rPr>
          <w:rFonts w:ascii="Times New Roman" w:hAnsi="Times New Roman" w:eastAsia="仿宋_GB2312" w:cs="Times New Roman"/>
          <w:b/>
          <w:color w:val="auto"/>
          <w:sz w:val="30"/>
          <w:szCs w:val="30"/>
          <w:highlight w:val="none"/>
          <w:lang w:val="zh-CN"/>
        </w:rPr>
      </w:pPr>
      <w:r>
        <w:rPr>
          <w:rFonts w:ascii="Times New Roman" w:hAnsi="Times New Roman" w:eastAsia="仿宋_GB2312" w:cs="Times New Roman"/>
          <w:b/>
          <w:color w:val="auto"/>
          <w:sz w:val="30"/>
          <w:szCs w:val="30"/>
          <w:highlight w:val="none"/>
          <w:lang w:val="zh-CN"/>
        </w:rPr>
        <w:t>4.3土壤流失量预测</w:t>
      </w:r>
      <w:bookmarkEnd w:id="232"/>
      <w:bookmarkEnd w:id="233"/>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4.3.1预测单元</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根据《生产建设项目水土保持技术标准》（GB50433-2018）等相关规定，确定本项目水土流失预测范围为项目建设区，面积</w:t>
      </w:r>
      <w:r>
        <w:rPr>
          <w:rFonts w:hint="eastAsia" w:ascii="Times New Roman" w:hAnsi="Times New Roman" w:eastAsia="仿宋_GB2312" w:cs="Times New Roman"/>
          <w:color w:val="auto"/>
          <w:sz w:val="24"/>
          <w:szCs w:val="24"/>
          <w:highlight w:val="none"/>
          <w:lang w:val="en-US" w:eastAsia="zh-CN"/>
        </w:rPr>
        <w:t>1.76</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w:t>
      </w:r>
    </w:p>
    <w:p>
      <w:pPr>
        <w:spacing w:line="360" w:lineRule="auto"/>
        <w:ind w:firstLine="482"/>
        <w:rPr>
          <w:rFonts w:ascii="Times New Roman" w:hAnsi="Times New Roman" w:eastAsia="仿宋_GB2312" w:cs="Times New Roman"/>
          <w:color w:val="auto"/>
          <w:sz w:val="24"/>
          <w:highlight w:val="none"/>
          <w:lang w:val="zh-CN"/>
        </w:rPr>
      </w:pPr>
      <w:r>
        <w:rPr>
          <w:rFonts w:ascii="Times New Roman" w:hAnsi="Times New Roman" w:eastAsia="仿宋_GB2312" w:cs="Times New Roman"/>
          <w:color w:val="auto"/>
          <w:sz w:val="24"/>
          <w:highlight w:val="none"/>
        </w:rPr>
        <w:t>根据主体工程水土保持评价与水土流失影响范围及特点，按照工程建设特点及同类建设项目经验进行划分，将项目区分为</w:t>
      </w:r>
      <w:r>
        <w:rPr>
          <w:rFonts w:ascii="Times New Roman" w:hAnsi="Times New Roman" w:eastAsia="仿宋_GB2312" w:cs="Times New Roman"/>
          <w:color w:val="auto"/>
          <w:sz w:val="24"/>
          <w:szCs w:val="24"/>
          <w:highlight w:val="none"/>
        </w:rPr>
        <w:t>井场及附属工程、</w:t>
      </w:r>
      <w:r>
        <w:rPr>
          <w:rFonts w:hint="eastAsia" w:ascii="Times New Roman" w:hAnsi="Times New Roman" w:eastAsia="仿宋_GB2312" w:cs="Times New Roman"/>
          <w:color w:val="auto"/>
          <w:sz w:val="24"/>
          <w:szCs w:val="24"/>
          <w:highlight w:val="none"/>
          <w:vertAlign w:val="baseline"/>
          <w:lang w:eastAsia="zh-CN"/>
        </w:rPr>
        <w:t>临时生活</w:t>
      </w:r>
      <w:r>
        <w:rPr>
          <w:rFonts w:hint="eastAsia" w:ascii="Times New Roman" w:hAnsi="Times New Roman" w:eastAsia="仿宋_GB2312" w:cs="Times New Roman"/>
          <w:color w:val="auto"/>
          <w:sz w:val="24"/>
          <w:szCs w:val="24"/>
          <w:highlight w:val="none"/>
          <w:vertAlign w:val="baseline"/>
          <w:lang w:val="en-US" w:eastAsia="zh-CN"/>
        </w:rPr>
        <w:t>场地</w:t>
      </w:r>
      <w:r>
        <w:rPr>
          <w:rFonts w:ascii="Times New Roman" w:hAnsi="Times New Roman" w:eastAsia="仿宋_GB2312" w:cs="Times New Roman"/>
          <w:color w:val="auto"/>
          <w:sz w:val="24"/>
          <w:szCs w:val="24"/>
          <w:highlight w:val="none"/>
        </w:rPr>
        <w:t>、表土堆放场、道路工程共4个</w:t>
      </w:r>
      <w:r>
        <w:rPr>
          <w:rFonts w:ascii="Times New Roman" w:hAnsi="Times New Roman" w:eastAsia="仿宋_GB2312" w:cs="Times New Roman"/>
          <w:color w:val="auto"/>
          <w:sz w:val="24"/>
          <w:highlight w:val="none"/>
        </w:rPr>
        <w:t>预测单元。</w:t>
      </w:r>
    </w:p>
    <w:p>
      <w:pPr>
        <w:keepNext/>
        <w:keepLines/>
        <w:spacing w:before="120" w:beforeLines="50" w:after="120" w:afterLines="50" w:line="360" w:lineRule="auto"/>
        <w:outlineLvl w:val="2"/>
        <w:rPr>
          <w:rFonts w:ascii="Times New Roman" w:hAnsi="Times New Roman" w:eastAsia="仿宋_GB2312" w:cs="Times New Roman"/>
          <w:b/>
          <w:bCs/>
          <w:color w:val="auto"/>
          <w:kern w:val="0"/>
          <w:sz w:val="28"/>
          <w:szCs w:val="28"/>
          <w:highlight w:val="none"/>
          <w:lang w:val="zh-CN"/>
        </w:rPr>
      </w:pPr>
      <w:r>
        <w:rPr>
          <w:rFonts w:ascii="Times New Roman" w:hAnsi="Times New Roman" w:eastAsia="仿宋_GB2312" w:cs="Times New Roman"/>
          <w:b/>
          <w:bCs/>
          <w:color w:val="auto"/>
          <w:kern w:val="0"/>
          <w:sz w:val="28"/>
          <w:szCs w:val="28"/>
          <w:highlight w:val="none"/>
          <w:lang w:val="zh-CN"/>
        </w:rPr>
        <w:t>4.3.2预测时段</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根据《生产建设项目水土保持技术标准》（GB 50433-2018），本项目属于建设类工程，根据工程建设特点，本项目水土流失预测时段包括施工期（含施工准备期）和自然恢复期两个时段。</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主体工程计划于2022年</w:t>
      </w:r>
      <w:r>
        <w:rPr>
          <w:rFonts w:hint="eastAsia" w:ascii="Times New Roman" w:hAnsi="Times New Roman" w:eastAsia="仿宋_GB2312" w:cs="Times New Roman"/>
          <w:color w:val="auto"/>
          <w:sz w:val="24"/>
          <w:szCs w:val="24"/>
          <w:highlight w:val="none"/>
          <w:lang w:val="en-US" w:eastAsia="zh-CN"/>
        </w:rPr>
        <w:t>9</w:t>
      </w:r>
      <w:r>
        <w:rPr>
          <w:rFonts w:ascii="Times New Roman" w:hAnsi="Times New Roman" w:eastAsia="仿宋_GB2312" w:cs="Times New Roman"/>
          <w:color w:val="auto"/>
          <w:sz w:val="24"/>
          <w:szCs w:val="24"/>
          <w:highlight w:val="none"/>
        </w:rPr>
        <w:t>月开工，预计202</w:t>
      </w:r>
      <w:r>
        <w:rPr>
          <w:rFonts w:hint="eastAsia" w:ascii="Times New Roman" w:hAnsi="Times New Roman" w:eastAsia="仿宋_GB2312" w:cs="Times New Roman"/>
          <w:color w:val="auto"/>
          <w:sz w:val="24"/>
          <w:szCs w:val="24"/>
          <w:highlight w:val="none"/>
          <w:lang w:val="en-US" w:eastAsia="zh-CN"/>
        </w:rPr>
        <w:t>3</w:t>
      </w:r>
      <w:r>
        <w:rPr>
          <w:rFonts w:ascii="Times New Roman" w:hAnsi="Times New Roman" w:eastAsia="仿宋_GB2312" w:cs="Times New Roman"/>
          <w:color w:val="auto"/>
          <w:sz w:val="24"/>
          <w:szCs w:val="24"/>
          <w:highlight w:val="none"/>
        </w:rPr>
        <w:t>年</w:t>
      </w:r>
      <w:r>
        <w:rPr>
          <w:rFonts w:hint="eastAsia" w:ascii="Times New Roman" w:hAnsi="Times New Roman" w:eastAsia="仿宋_GB2312" w:cs="Times New Roman"/>
          <w:color w:val="auto"/>
          <w:sz w:val="24"/>
          <w:szCs w:val="24"/>
          <w:highlight w:val="none"/>
          <w:lang w:val="en-US" w:eastAsia="zh-CN"/>
        </w:rPr>
        <w:t>2</w:t>
      </w:r>
      <w:r>
        <w:rPr>
          <w:rFonts w:ascii="Times New Roman" w:hAnsi="Times New Roman" w:eastAsia="仿宋_GB2312" w:cs="Times New Roman"/>
          <w:color w:val="auto"/>
          <w:sz w:val="24"/>
          <w:szCs w:val="24"/>
          <w:highlight w:val="none"/>
        </w:rPr>
        <w:t>月底竣工，总工期6个月。根据各预测单元的施工扰动时间，按最不利条件确定预测时段。</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（1）施工期</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施工期根据各预测单元实际施工进度确定预测时段，施工期经过一个完整雨季，按照最不利因素考虑，施工期预测时段按</w:t>
      </w:r>
      <w:r>
        <w:rPr>
          <w:rFonts w:hint="eastAsia" w:ascii="Times New Roman" w:hAnsi="Times New Roman" w:eastAsia="仿宋_GB2312" w:cs="Times New Roman"/>
          <w:color w:val="auto"/>
          <w:sz w:val="24"/>
          <w:szCs w:val="24"/>
          <w:highlight w:val="none"/>
          <w:lang w:val="en-US" w:eastAsia="zh-CN"/>
        </w:rPr>
        <w:t>1</w:t>
      </w:r>
      <w:r>
        <w:rPr>
          <w:rFonts w:ascii="Times New Roman" w:hAnsi="Times New Roman" w:eastAsia="仿宋_GB2312" w:cs="Times New Roman"/>
          <w:color w:val="auto"/>
          <w:sz w:val="24"/>
          <w:szCs w:val="24"/>
          <w:highlight w:val="none"/>
        </w:rPr>
        <w:t>年考虑。</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（2）自然恢复期</w:t>
      </w:r>
    </w:p>
    <w:p>
      <w:pPr>
        <w:spacing w:line="360" w:lineRule="auto"/>
        <w:ind w:firstLine="48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自然恢复期为施工扰动结束后，不采取水土保持措施的情况下，土壤侵蚀强度自然恢复到扰动前土壤侵蚀强度所需要的时间，根据项目区自然条件，本项目自然恢复期预测时段取2年。</w:t>
      </w:r>
    </w:p>
    <w:p>
      <w:pPr>
        <w:spacing w:line="360" w:lineRule="auto"/>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t>表4.3-1 各预测单元面积及预测时段统计表</w:t>
      </w:r>
    </w:p>
    <w:tbl>
      <w:tblPr>
        <w:tblStyle w:val="39"/>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628"/>
        <w:gridCol w:w="1880"/>
        <w:gridCol w:w="1829"/>
        <w:gridCol w:w="1313"/>
        <w:gridCol w:w="1887"/>
        <w:gridCol w:w="12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tblHeader/>
          <w:jc w:val="center"/>
        </w:trPr>
        <w:tc>
          <w:tcPr>
            <w:tcW w:w="628" w:type="dxa"/>
            <w:vMerge w:val="restart"/>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序号</w:t>
            </w:r>
          </w:p>
        </w:tc>
        <w:tc>
          <w:tcPr>
            <w:tcW w:w="1880" w:type="dxa"/>
            <w:vMerge w:val="restart"/>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预测单元</w:t>
            </w:r>
          </w:p>
        </w:tc>
        <w:tc>
          <w:tcPr>
            <w:tcW w:w="3142" w:type="dxa"/>
            <w:gridSpan w:val="2"/>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预测面积（</w:t>
            </w:r>
            <w:r>
              <w:rPr>
                <w:rFonts w:hint="eastAsia" w:ascii="Times New Roman" w:hAnsi="Times New Roman" w:eastAsia="仿宋_GB2312" w:cs="Times New Roman"/>
                <w:color w:val="auto"/>
                <w:kern w:val="0"/>
                <w:sz w:val="18"/>
                <w:szCs w:val="18"/>
                <w:highlight w:val="none"/>
                <w:lang w:eastAsia="zh-CN"/>
              </w:rPr>
              <w:t>hm</w:t>
            </w:r>
            <w:r>
              <w:rPr>
                <w:rFonts w:hint="eastAsia" w:ascii="Times New Roman" w:hAnsi="Times New Roman" w:eastAsia="仿宋_GB2312" w:cs="Times New Roman"/>
                <w:color w:val="auto"/>
                <w:kern w:val="0"/>
                <w:sz w:val="18"/>
                <w:szCs w:val="18"/>
                <w:highlight w:val="none"/>
                <w:vertAlign w:val="superscript"/>
                <w:lang w:eastAsia="zh-CN"/>
              </w:rPr>
              <w:t>2</w:t>
            </w:r>
            <w:r>
              <w:rPr>
                <w:rFonts w:ascii="Times New Roman" w:hAnsi="Times New Roman" w:eastAsia="仿宋_GB2312" w:cs="Times New Roman"/>
                <w:color w:val="auto"/>
                <w:kern w:val="0"/>
                <w:sz w:val="18"/>
                <w:szCs w:val="18"/>
                <w:highlight w:val="none"/>
              </w:rPr>
              <w:t>）</w:t>
            </w:r>
          </w:p>
        </w:tc>
        <w:tc>
          <w:tcPr>
            <w:tcW w:w="3137" w:type="dxa"/>
            <w:gridSpan w:val="2"/>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预测时段（a）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tblHeader/>
          <w:jc w:val="center"/>
        </w:trPr>
        <w:tc>
          <w:tcPr>
            <w:tcW w:w="628" w:type="dxa"/>
            <w:vMerge w:val="continue"/>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p>
        </w:tc>
        <w:tc>
          <w:tcPr>
            <w:tcW w:w="1880" w:type="dxa"/>
            <w:vMerge w:val="continue"/>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p>
        </w:tc>
        <w:tc>
          <w:tcPr>
            <w:tcW w:w="1829"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施工期（含准备期）</w:t>
            </w:r>
          </w:p>
        </w:tc>
        <w:tc>
          <w:tcPr>
            <w:tcW w:w="1313"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自然恢复期</w:t>
            </w:r>
          </w:p>
        </w:tc>
        <w:tc>
          <w:tcPr>
            <w:tcW w:w="1887"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施工期（含准备期）</w:t>
            </w:r>
          </w:p>
        </w:tc>
        <w:tc>
          <w:tcPr>
            <w:tcW w:w="1250"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自然恢复期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jc w:val="center"/>
        </w:trPr>
        <w:tc>
          <w:tcPr>
            <w:tcW w:w="628"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1</w:t>
            </w:r>
          </w:p>
        </w:tc>
        <w:tc>
          <w:tcPr>
            <w:tcW w:w="1880"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w:t>
            </w:r>
          </w:p>
        </w:tc>
        <w:tc>
          <w:tcPr>
            <w:tcW w:w="18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1.13</w:t>
            </w:r>
          </w:p>
        </w:tc>
        <w:tc>
          <w:tcPr>
            <w:tcW w:w="13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1.03</w:t>
            </w:r>
          </w:p>
        </w:tc>
        <w:tc>
          <w:tcPr>
            <w:tcW w:w="188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w:t>
            </w:r>
          </w:p>
        </w:tc>
        <w:tc>
          <w:tcPr>
            <w:tcW w:w="1250" w:type="dxa"/>
            <w:tcBorders>
              <w:tl2br w:val="nil"/>
              <w:tr2bl w:val="nil"/>
            </w:tcBorders>
            <w:vAlign w:val="center"/>
          </w:tcPr>
          <w:p>
            <w:pPr>
              <w:keepNext w:val="0"/>
              <w:keepLines w:val="0"/>
              <w:widowControl/>
              <w:suppressLineNumbers w:val="0"/>
              <w:jc w:val="center"/>
              <w:textAlignment w:val="center"/>
              <w:rPr>
                <w:rFonts w:ascii="Times New Roman" w:hAnsi="Times New Roman" w:eastAsia="仿宋_GB2312"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jc w:val="center"/>
        </w:trPr>
        <w:tc>
          <w:tcPr>
            <w:tcW w:w="628"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2</w:t>
            </w:r>
          </w:p>
        </w:tc>
        <w:tc>
          <w:tcPr>
            <w:tcW w:w="1880"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w:t>
            </w:r>
          </w:p>
        </w:tc>
        <w:tc>
          <w:tcPr>
            <w:tcW w:w="18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0.30</w:t>
            </w:r>
          </w:p>
        </w:tc>
        <w:tc>
          <w:tcPr>
            <w:tcW w:w="13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0.25</w:t>
            </w:r>
          </w:p>
        </w:tc>
        <w:tc>
          <w:tcPr>
            <w:tcW w:w="188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color w:val="auto"/>
                <w:sz w:val="18"/>
                <w:szCs w:val="18"/>
                <w:highlight w:val="none"/>
                <w:lang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w:t>
            </w:r>
          </w:p>
        </w:tc>
        <w:tc>
          <w:tcPr>
            <w:tcW w:w="1250" w:type="dxa"/>
            <w:tcBorders>
              <w:tl2br w:val="nil"/>
              <w:tr2bl w:val="nil"/>
            </w:tcBorders>
            <w:vAlign w:val="center"/>
          </w:tcPr>
          <w:p>
            <w:pPr>
              <w:keepNext w:val="0"/>
              <w:keepLines w:val="0"/>
              <w:widowControl/>
              <w:suppressLineNumbers w:val="0"/>
              <w:jc w:val="center"/>
              <w:textAlignment w:val="center"/>
              <w:rPr>
                <w:rFonts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jc w:val="center"/>
        </w:trPr>
        <w:tc>
          <w:tcPr>
            <w:tcW w:w="628"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3</w:t>
            </w:r>
          </w:p>
        </w:tc>
        <w:tc>
          <w:tcPr>
            <w:tcW w:w="1880"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w:t>
            </w:r>
          </w:p>
        </w:tc>
        <w:tc>
          <w:tcPr>
            <w:tcW w:w="18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0.10</w:t>
            </w:r>
          </w:p>
        </w:tc>
        <w:tc>
          <w:tcPr>
            <w:tcW w:w="13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c>
          <w:tcPr>
            <w:tcW w:w="188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color w:val="auto"/>
                <w:sz w:val="18"/>
                <w:szCs w:val="18"/>
                <w:highlight w:val="none"/>
                <w:lang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w:t>
            </w:r>
          </w:p>
        </w:tc>
        <w:tc>
          <w:tcPr>
            <w:tcW w:w="1250" w:type="dxa"/>
            <w:tcBorders>
              <w:tl2br w:val="nil"/>
              <w:tr2bl w:val="nil"/>
            </w:tcBorders>
            <w:vAlign w:val="center"/>
          </w:tcPr>
          <w:p>
            <w:pPr>
              <w:keepNext w:val="0"/>
              <w:keepLines w:val="0"/>
              <w:widowControl/>
              <w:suppressLineNumbers w:val="0"/>
              <w:jc w:val="center"/>
              <w:textAlignment w:val="center"/>
              <w:rPr>
                <w:rFonts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jc w:val="center"/>
        </w:trPr>
        <w:tc>
          <w:tcPr>
            <w:tcW w:w="628" w:type="dxa"/>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4</w:t>
            </w:r>
          </w:p>
        </w:tc>
        <w:tc>
          <w:tcPr>
            <w:tcW w:w="1880" w:type="dxa"/>
            <w:tcBorders>
              <w:tl2br w:val="nil"/>
              <w:tr2bl w:val="nil"/>
            </w:tcBorders>
            <w:vAlign w:val="center"/>
          </w:tcPr>
          <w:p>
            <w:pPr>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vertAlign w:val="baseline"/>
                <w:lang w:eastAsia="zh-CN"/>
              </w:rPr>
              <w:t>临时生活区</w:t>
            </w:r>
          </w:p>
        </w:tc>
        <w:tc>
          <w:tcPr>
            <w:tcW w:w="18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0.23</w:t>
            </w:r>
          </w:p>
        </w:tc>
        <w:tc>
          <w:tcPr>
            <w:tcW w:w="13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0.23</w:t>
            </w:r>
          </w:p>
        </w:tc>
        <w:tc>
          <w:tcPr>
            <w:tcW w:w="188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eastAsiaTheme="minorEastAsia"/>
                <w:color w:val="auto"/>
                <w:sz w:val="18"/>
                <w:szCs w:val="18"/>
                <w:highlight w:val="none"/>
                <w:lang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w:t>
            </w:r>
          </w:p>
        </w:tc>
        <w:tc>
          <w:tcPr>
            <w:tcW w:w="1250" w:type="dxa"/>
            <w:tcBorders>
              <w:tl2br w:val="nil"/>
              <w:tr2bl w:val="nil"/>
            </w:tcBorders>
            <w:vAlign w:val="center"/>
          </w:tcPr>
          <w:p>
            <w:pPr>
              <w:keepNext w:val="0"/>
              <w:keepLines w:val="0"/>
              <w:widowControl/>
              <w:suppressLineNumbers w:val="0"/>
              <w:jc w:val="center"/>
              <w:textAlignment w:val="center"/>
              <w:rPr>
                <w:rFonts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283" w:hRule="atLeast"/>
          <w:jc w:val="center"/>
        </w:trPr>
        <w:tc>
          <w:tcPr>
            <w:tcW w:w="2508" w:type="dxa"/>
            <w:gridSpan w:val="2"/>
            <w:tcBorders>
              <w:tl2br w:val="nil"/>
              <w:tr2bl w:val="nil"/>
            </w:tcBorders>
            <w:vAlign w:val="center"/>
          </w:tcPr>
          <w:p>
            <w:pPr>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合计</w:t>
            </w:r>
          </w:p>
        </w:tc>
        <w:tc>
          <w:tcPr>
            <w:tcW w:w="182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1.76</w:t>
            </w:r>
          </w:p>
        </w:tc>
        <w:tc>
          <w:tcPr>
            <w:tcW w:w="13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1.61</w:t>
            </w:r>
          </w:p>
        </w:tc>
        <w:tc>
          <w:tcPr>
            <w:tcW w:w="1887" w:type="dxa"/>
            <w:tcBorders>
              <w:tl2br w:val="nil"/>
              <w:tr2bl w:val="nil"/>
            </w:tcBorders>
            <w:vAlign w:val="center"/>
          </w:tcPr>
          <w:p>
            <w:pPr>
              <w:keepNext w:val="0"/>
              <w:keepLines w:val="0"/>
              <w:widowControl/>
              <w:suppressLineNumbers w:val="0"/>
              <w:jc w:val="center"/>
              <w:textAlignment w:val="center"/>
              <w:rPr>
                <w:rFonts w:ascii="Times New Roman" w:hAnsi="Times New Roman" w:eastAsia="仿宋_GB2312" w:cs="Times New Roman"/>
                <w:b/>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250" w:type="dxa"/>
            <w:tcBorders>
              <w:tl2br w:val="nil"/>
              <w:tr2bl w:val="nil"/>
            </w:tcBorders>
            <w:vAlign w:val="center"/>
          </w:tcPr>
          <w:p>
            <w:pPr>
              <w:keepNext w:val="0"/>
              <w:keepLines w:val="0"/>
              <w:widowControl/>
              <w:suppressLineNumbers w:val="0"/>
              <w:jc w:val="center"/>
              <w:textAlignment w:val="center"/>
              <w:rPr>
                <w:rFonts w:ascii="Times New Roman" w:hAnsi="Times New Roman" w:eastAsia="仿宋_GB2312" w:cs="Times New Roman"/>
                <w:b/>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bl>
    <w:p>
      <w:pPr>
        <w:adjustRightInd w:val="0"/>
        <w:snapToGrid w:val="0"/>
        <w:spacing w:before="240" w:beforeLines="10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XwBjAHAAXwB6AGoANQB4AEYAcQBFACsAZQBYAG4AbgBvAFMAMgArAEMAWAB5AHcASQBiAFkASQB3
AFAAcAAwAEwAaABtACsAbABnADQARQBPAFMAMgBtAGEAegBOAHUAagAyAHUAOQByAFMAegAyAGwA
QQA9AD0A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4.3.3</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土壤侵蚀模数</w:t>
      </w:r>
    </w:p>
    <w:p>
      <w:pPr>
        <w:spacing w:line="360" w:lineRule="auto"/>
        <w:ind w:firstLine="48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1、项目区土壤侵蚀模数背景值确定</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根据实地调查结果，确定本工程各建设区土壤侵蚀强度背景值，计算本工程建设扰动范围内平均土壤侵蚀模数约</w:t>
      </w:r>
      <w:r>
        <w:rPr>
          <w:rFonts w:hint="eastAsia" w:ascii="Times New Roman" w:hAnsi="Times New Roman" w:eastAsia="仿宋_GB2312" w:cs="Times New Roman"/>
          <w:color w:val="auto"/>
          <w:sz w:val="24"/>
          <w:szCs w:val="24"/>
          <w:highlight w:val="none"/>
          <w:lang w:val="en-US" w:eastAsia="zh-CN"/>
        </w:rPr>
        <w:t>1505t</w:t>
      </w:r>
      <w:r>
        <w:rPr>
          <w:rFonts w:ascii="Times New Roman" w:hAnsi="Times New Roman" w:eastAsia="仿宋_GB2312" w:cs="Times New Roman"/>
          <w:color w:val="auto"/>
          <w:sz w:val="24"/>
          <w:szCs w:val="24"/>
          <w:highlight w:val="none"/>
        </w:rPr>
        <w:t>/(km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szCs w:val="24"/>
          <w:highlight w:val="none"/>
        </w:rPr>
        <w:t>·a)，平均土壤流失强度表现为</w:t>
      </w:r>
      <w:r>
        <w:rPr>
          <w:rFonts w:hint="eastAsia" w:ascii="Times New Roman" w:hAnsi="Times New Roman" w:eastAsia="仿宋_GB2312" w:cs="Times New Roman"/>
          <w:color w:val="auto"/>
          <w:sz w:val="24"/>
          <w:szCs w:val="24"/>
          <w:highlight w:val="none"/>
          <w:lang w:val="en-US" w:eastAsia="zh-CN"/>
        </w:rPr>
        <w:t>轻</w:t>
      </w:r>
      <w:r>
        <w:rPr>
          <w:rFonts w:ascii="Times New Roman" w:hAnsi="Times New Roman" w:eastAsia="仿宋_GB2312" w:cs="Times New Roman"/>
          <w:color w:val="auto"/>
          <w:sz w:val="24"/>
          <w:szCs w:val="24"/>
          <w:highlight w:val="none"/>
        </w:rPr>
        <w:t>度。</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2、扰动后各单元土壤侵蚀模数测算</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（1）扰动后各单元土壤流失量测算方法</w:t>
      </w:r>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根据《生产建设项目土壤流失量测算导则》（SL 773-2018），本项目土壤流失类型主要为植被破坏型一般扰动地表、上方有来水工程开挖面、上方无来水堆积体和上方有来水工程堆积体4类（按扰动方式、坡度、坡长、地表覆盖度、土壤类型和质地、气候参数等细化），其对应的计算公式如下所示：</w:t>
      </w:r>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fldChar w:fldCharType="begin"/>
      </w:r>
      <w:r>
        <w:rPr>
          <w:rFonts w:ascii="Times New Roman" w:hAnsi="Times New Roman" w:eastAsia="仿宋_GB2312" w:cs="Times New Roman"/>
          <w:color w:val="auto"/>
          <w:sz w:val="24"/>
          <w:szCs w:val="24"/>
          <w:highlight w:val="none"/>
        </w:rPr>
        <w:instrText xml:space="preserve"> = 1 \* GB3 </w:instrText>
      </w:r>
      <w:r>
        <w:rPr>
          <w:rFonts w:ascii="Times New Roman" w:hAnsi="Times New Roman" w:cs="Times New Roman"/>
          <w:color w:val="auto"/>
          <w:sz w:val="24"/>
          <w:szCs w:val="24"/>
          <w:highlight w:val="none"/>
        </w:rPr>
        <w:fldChar w:fldCharType="separate"/>
      </w:r>
      <w:r>
        <w:rPr>
          <w:rFonts w:hint="eastAsia" w:ascii="Times New Roman" w:hAnsi="Times New Roman" w:eastAsia="宋体" w:cs="宋体"/>
          <w:color w:val="auto"/>
          <w:sz w:val="24"/>
          <w:szCs w:val="24"/>
          <w:highlight w:val="none"/>
        </w:rPr>
        <w:t>①</w:t>
      </w:r>
      <w:r>
        <w:rPr>
          <w:rFonts w:ascii="Times New Roman" w:hAnsi="Times New Roman" w:cs="Times New Roman"/>
          <w:color w:val="auto"/>
          <w:sz w:val="24"/>
          <w:szCs w:val="24"/>
          <w:highlight w:val="none"/>
        </w:rPr>
        <w:fldChar w:fldCharType="end"/>
      </w:r>
      <w:r>
        <w:rPr>
          <w:rFonts w:ascii="Times New Roman" w:hAnsi="Times New Roman" w:eastAsia="仿宋_GB2312" w:cs="Times New Roman"/>
          <w:color w:val="auto"/>
          <w:sz w:val="24"/>
          <w:szCs w:val="24"/>
          <w:highlight w:val="none"/>
        </w:rPr>
        <w:t>植被破坏型一般扰动地表</w:t>
      </w:r>
    </w:p>
    <w:p>
      <w:pPr>
        <w:snapToGrid w:val="0"/>
        <w:spacing w:line="360" w:lineRule="auto"/>
        <w:ind w:firstLine="480"/>
        <w:rPr>
          <w:rFonts w:ascii="Times New Roman" w:hAnsi="Times New Roman" w:cs="Times New Roman"/>
          <w:color w:val="auto"/>
          <w:sz w:val="24"/>
          <w:szCs w:val="24"/>
          <w:highlight w:val="none"/>
        </w:rPr>
      </w:pPr>
      <m:oMathPara>
        <m:oMath>
          <m:r>
            <m:rPr/>
            <w:rPr>
              <w:rFonts w:ascii="Cambria Math" w:hAnsi="Cambria Math" w:eastAsia="仿宋_GB2312" w:cs="Times New Roman"/>
              <w:color w:val="auto"/>
              <w:sz w:val="24"/>
              <w:szCs w:val="24"/>
              <w:highlight w:val="none"/>
            </w:rPr>
            <m:t>Myz=RKLySyBETA</m:t>
          </m:r>
        </m:oMath>
      </m:oMathPara>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式中：</w:t>
      </w:r>
      <w:r>
        <w:rPr>
          <w:rFonts w:ascii="Times New Roman" w:hAnsi="Times New Roman" w:eastAsia="仿宋_GB2312" w:cs="Times New Roman"/>
          <w:i/>
          <w:color w:val="auto"/>
          <w:sz w:val="24"/>
          <w:szCs w:val="24"/>
          <w:highlight w:val="none"/>
        </w:rPr>
        <w:t>M</w:t>
      </w:r>
      <w:r>
        <w:rPr>
          <w:rFonts w:ascii="Times New Roman" w:hAnsi="Times New Roman" w:eastAsia="仿宋_GB2312" w:cs="Times New Roman"/>
          <w:i/>
          <w:color w:val="auto"/>
          <w:sz w:val="24"/>
          <w:szCs w:val="24"/>
          <w:highlight w:val="none"/>
          <w:vertAlign w:val="subscript"/>
        </w:rPr>
        <w:t>yz</w:t>
      </w:r>
      <w:r>
        <w:rPr>
          <w:rFonts w:ascii="Times New Roman" w:hAnsi="Times New Roman" w:eastAsia="仿宋_GB2312" w:cs="Times New Roman"/>
          <w:color w:val="auto"/>
          <w:sz w:val="24"/>
          <w:szCs w:val="24"/>
          <w:highlight w:val="none"/>
        </w:rPr>
        <w:t>——土壤流失量（t)；</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R</w:t>
      </w:r>
      <w:r>
        <w:rPr>
          <w:rFonts w:ascii="Times New Roman" w:hAnsi="Times New Roman" w:eastAsia="仿宋_GB2312" w:cs="Times New Roman"/>
          <w:color w:val="auto"/>
          <w:sz w:val="24"/>
          <w:szCs w:val="24"/>
          <w:highlight w:val="none"/>
        </w:rPr>
        <w:t>——降雨侵蚀力因子，</w:t>
      </w:r>
      <w:r>
        <w:rPr>
          <w:rFonts w:ascii="Times New Roman" w:hAnsi="Times New Roman" w:eastAsia="仿宋_GB2312" w:cs="Times New Roman"/>
          <w:snapToGrid w:val="0"/>
          <w:color w:val="auto"/>
          <w:sz w:val="24"/>
          <w:szCs w:val="24"/>
          <w:highlight w:val="none"/>
        </w:rPr>
        <w:t xml:space="preserve"> MJ•mm/(</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•h)；</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K</w:t>
      </w:r>
      <w:r>
        <w:rPr>
          <w:rFonts w:ascii="Times New Roman" w:hAnsi="Times New Roman" w:eastAsia="仿宋_GB2312" w:cs="Times New Roman"/>
          <w:snapToGrid w:val="0"/>
          <w:color w:val="auto"/>
          <w:sz w:val="24"/>
          <w:szCs w:val="24"/>
          <w:highlight w:val="none"/>
        </w:rPr>
        <w:t>——土壤可蚀性因子，t•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•h(</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•MJ•mm)；</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L</w:t>
      </w:r>
      <w:r>
        <w:rPr>
          <w:rFonts w:ascii="Times New Roman" w:hAnsi="Times New Roman" w:eastAsia="仿宋_GB2312" w:cs="Times New Roman"/>
          <w:i/>
          <w:color w:val="auto"/>
          <w:sz w:val="24"/>
          <w:szCs w:val="24"/>
          <w:highlight w:val="none"/>
          <w:vertAlign w:val="subscript"/>
        </w:rPr>
        <w:t>y</w:t>
      </w:r>
      <w:r>
        <w:rPr>
          <w:rFonts w:ascii="Times New Roman" w:hAnsi="Times New Roman" w:eastAsia="仿宋_GB2312" w:cs="Times New Roman"/>
          <w:snapToGrid w:val="0"/>
          <w:color w:val="auto"/>
          <w:sz w:val="24"/>
          <w:szCs w:val="24"/>
          <w:highlight w:val="none"/>
        </w:rPr>
        <w:t>——坡长因子，无量纲；</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S</w:t>
      </w:r>
      <w:r>
        <w:rPr>
          <w:rFonts w:ascii="Times New Roman" w:hAnsi="Times New Roman" w:eastAsia="仿宋_GB2312" w:cs="Times New Roman"/>
          <w:i/>
          <w:color w:val="auto"/>
          <w:sz w:val="24"/>
          <w:szCs w:val="24"/>
          <w:highlight w:val="none"/>
          <w:vertAlign w:val="subscript"/>
        </w:rPr>
        <w:t>y</w:t>
      </w:r>
      <w:r>
        <w:rPr>
          <w:rFonts w:ascii="Times New Roman" w:hAnsi="Times New Roman" w:eastAsia="仿宋_GB2312" w:cs="Times New Roman"/>
          <w:snapToGrid w:val="0"/>
          <w:color w:val="auto"/>
          <w:sz w:val="24"/>
          <w:szCs w:val="24"/>
          <w:highlight w:val="none"/>
        </w:rPr>
        <w:t>——坡度因子，无量纲；</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B</w:t>
      </w:r>
      <w:r>
        <w:rPr>
          <w:rFonts w:ascii="Times New Roman" w:hAnsi="Times New Roman" w:eastAsia="仿宋_GB2312" w:cs="Times New Roman"/>
          <w:snapToGrid w:val="0"/>
          <w:color w:val="auto"/>
          <w:sz w:val="24"/>
          <w:szCs w:val="24"/>
          <w:highlight w:val="none"/>
        </w:rPr>
        <w:t>——植被因子，无量纲；</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E</w:t>
      </w:r>
      <w:r>
        <w:rPr>
          <w:rFonts w:ascii="Times New Roman" w:hAnsi="Times New Roman" w:eastAsia="仿宋_GB2312" w:cs="Times New Roman"/>
          <w:snapToGrid w:val="0"/>
          <w:color w:val="auto"/>
          <w:sz w:val="24"/>
          <w:szCs w:val="24"/>
          <w:highlight w:val="none"/>
        </w:rPr>
        <w:t>——工程措施因子，无量纲。</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T</w:t>
      </w:r>
      <w:r>
        <w:rPr>
          <w:rFonts w:ascii="Times New Roman" w:hAnsi="Times New Roman" w:eastAsia="仿宋_GB2312" w:cs="Times New Roman"/>
          <w:snapToGrid w:val="0"/>
          <w:color w:val="auto"/>
          <w:sz w:val="24"/>
          <w:szCs w:val="24"/>
          <w:highlight w:val="none"/>
        </w:rPr>
        <w:t>——耕作措施因子，无量纲。</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A</w:t>
      </w:r>
      <w:r>
        <w:rPr>
          <w:rFonts w:ascii="Times New Roman" w:hAnsi="Times New Roman" w:eastAsia="仿宋_GB2312" w:cs="Times New Roman"/>
          <w:snapToGrid w:val="0"/>
          <w:color w:val="auto"/>
          <w:sz w:val="24"/>
          <w:szCs w:val="24"/>
          <w:highlight w:val="none"/>
        </w:rPr>
        <w:t>——计算单元的水平投影面积，</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p>
    <w:p>
      <w:pPr>
        <w:snapToGrid w:val="0"/>
        <w:spacing w:line="360" w:lineRule="auto"/>
        <w:ind w:firstLine="482"/>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fldChar w:fldCharType="begin"/>
      </w:r>
      <w:r>
        <w:rPr>
          <w:rFonts w:ascii="Times New Roman" w:hAnsi="Times New Roman" w:eastAsia="仿宋_GB2312" w:cs="Times New Roman"/>
          <w:color w:val="auto"/>
          <w:sz w:val="24"/>
          <w:szCs w:val="24"/>
          <w:highlight w:val="none"/>
        </w:rPr>
        <w:instrText xml:space="preserve"> = 2 \* GB3 </w:instrText>
      </w:r>
      <w:r>
        <w:rPr>
          <w:rFonts w:ascii="Times New Roman" w:hAnsi="Times New Roman" w:cs="Times New Roman"/>
          <w:color w:val="auto"/>
          <w:sz w:val="24"/>
          <w:szCs w:val="24"/>
          <w:highlight w:val="none"/>
        </w:rPr>
        <w:fldChar w:fldCharType="separate"/>
      </w:r>
      <w:r>
        <w:rPr>
          <w:rFonts w:hint="eastAsia" w:ascii="Times New Roman" w:hAnsi="Times New Roman" w:eastAsia="宋体" w:cs="宋体"/>
          <w:color w:val="auto"/>
          <w:sz w:val="24"/>
          <w:szCs w:val="24"/>
          <w:highlight w:val="none"/>
        </w:rPr>
        <w:t>②</w:t>
      </w:r>
      <w:r>
        <w:rPr>
          <w:rFonts w:ascii="Times New Roman" w:hAnsi="Times New Roman" w:cs="Times New Roman"/>
          <w:color w:val="auto"/>
          <w:sz w:val="24"/>
          <w:szCs w:val="24"/>
          <w:highlight w:val="none"/>
        </w:rPr>
        <w:fldChar w:fldCharType="end"/>
      </w:r>
      <w:r>
        <w:rPr>
          <w:rFonts w:ascii="Times New Roman" w:hAnsi="Times New Roman" w:eastAsia="仿宋_GB2312" w:cs="Times New Roman"/>
          <w:color w:val="auto"/>
          <w:sz w:val="24"/>
          <w:szCs w:val="24"/>
          <w:highlight w:val="none"/>
        </w:rPr>
        <w:t>上方有来水工程开挖面</w:t>
      </w:r>
    </w:p>
    <w:p>
      <w:pPr>
        <w:snapToGrid w:val="0"/>
        <w:spacing w:line="360" w:lineRule="auto"/>
        <w:ind w:firstLine="480"/>
        <w:rPr>
          <w:rFonts w:ascii="Times New Roman" w:hAnsi="Times New Roman" w:cs="Times New Roman"/>
          <w:color w:val="auto"/>
          <w:sz w:val="24"/>
          <w:szCs w:val="24"/>
          <w:highlight w:val="none"/>
        </w:rPr>
      </w:pPr>
      <m:oMathPara>
        <m:oMath>
          <m:r>
            <m:rPr/>
            <w:rPr>
              <w:rFonts w:ascii="Cambria Math" w:hAnsi="Cambria Math" w:eastAsia="仿宋_GB2312" w:cs="Times New Roman"/>
              <w:color w:val="auto"/>
              <w:sz w:val="24"/>
              <w:szCs w:val="24"/>
              <w:highlight w:val="none"/>
            </w:rPr>
            <m:t>Mky=FkyGkyLkySkyA+Mkw</m:t>
          </m:r>
        </m:oMath>
      </m:oMathPara>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式中：</w:t>
      </w:r>
      <w:r>
        <w:rPr>
          <w:rFonts w:ascii="Times New Roman" w:hAnsi="Times New Roman" w:eastAsia="仿宋_GB2312" w:cs="Times New Roman"/>
          <w:i/>
          <w:color w:val="auto"/>
          <w:sz w:val="24"/>
          <w:szCs w:val="24"/>
          <w:highlight w:val="none"/>
        </w:rPr>
        <w:t>M</w:t>
      </w:r>
      <w:r>
        <w:rPr>
          <w:rFonts w:ascii="Times New Roman" w:hAnsi="Times New Roman" w:eastAsia="仿宋_GB2312" w:cs="Times New Roman"/>
          <w:i/>
          <w:color w:val="auto"/>
          <w:sz w:val="24"/>
          <w:szCs w:val="24"/>
          <w:highlight w:val="none"/>
          <w:vertAlign w:val="subscript"/>
        </w:rPr>
        <w:t>ky</w:t>
      </w:r>
      <w:r>
        <w:rPr>
          <w:rFonts w:ascii="Times New Roman" w:hAnsi="Times New Roman" w:eastAsia="仿宋_GB2312" w:cs="Times New Roman"/>
          <w:color w:val="auto"/>
          <w:sz w:val="24"/>
          <w:szCs w:val="24"/>
          <w:highlight w:val="none"/>
        </w:rPr>
        <w:t>——土壤流失量（t)；</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F</w:t>
      </w:r>
      <w:r>
        <w:rPr>
          <w:rFonts w:ascii="Times New Roman" w:hAnsi="Times New Roman" w:eastAsia="仿宋_GB2312" w:cs="Times New Roman"/>
          <w:i/>
          <w:color w:val="auto"/>
          <w:sz w:val="24"/>
          <w:szCs w:val="24"/>
          <w:highlight w:val="none"/>
          <w:vertAlign w:val="subscript"/>
        </w:rPr>
        <w:t>ky</w:t>
      </w:r>
      <w:r>
        <w:rPr>
          <w:rFonts w:ascii="Times New Roman" w:hAnsi="Times New Roman" w:eastAsia="仿宋_GB2312" w:cs="Times New Roman"/>
          <w:color w:val="auto"/>
          <w:sz w:val="24"/>
          <w:szCs w:val="24"/>
          <w:highlight w:val="none"/>
        </w:rPr>
        <w:t>——上方有来水工程开挖面径流冲蚀力因子，</w:t>
      </w:r>
      <w:r>
        <w:rPr>
          <w:rFonts w:ascii="Times New Roman" w:hAnsi="Times New Roman" w:eastAsia="仿宋_GB2312" w:cs="Times New Roman"/>
          <w:snapToGrid w:val="0"/>
          <w:color w:val="auto"/>
          <w:sz w:val="24"/>
          <w:szCs w:val="24"/>
          <w:highlight w:val="none"/>
        </w:rPr>
        <w:t>MJ /(</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G</w:t>
      </w:r>
      <w:r>
        <w:rPr>
          <w:rFonts w:ascii="Times New Roman" w:hAnsi="Times New Roman" w:eastAsia="仿宋_GB2312" w:cs="Times New Roman"/>
          <w:i/>
          <w:color w:val="auto"/>
          <w:sz w:val="24"/>
          <w:szCs w:val="24"/>
          <w:highlight w:val="none"/>
          <w:vertAlign w:val="subscript"/>
        </w:rPr>
        <w:t>ky</w:t>
      </w:r>
      <w:r>
        <w:rPr>
          <w:rFonts w:ascii="Times New Roman" w:hAnsi="Times New Roman" w:eastAsia="仿宋_GB2312" w:cs="Times New Roman"/>
          <w:color w:val="auto"/>
          <w:sz w:val="24"/>
          <w:szCs w:val="24"/>
          <w:highlight w:val="none"/>
        </w:rPr>
        <w:t>——上方有来水工程开挖面土质因子，</w:t>
      </w:r>
      <w:r>
        <w:rPr>
          <w:rFonts w:ascii="Times New Roman" w:hAnsi="Times New Roman" w:eastAsia="仿宋_GB2312" w:cs="Times New Roman"/>
          <w:snapToGrid w:val="0"/>
          <w:color w:val="auto"/>
          <w:sz w:val="24"/>
          <w:szCs w:val="24"/>
          <w:highlight w:val="none"/>
        </w:rPr>
        <w:t>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•MJ)；</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L</w:t>
      </w:r>
      <w:r>
        <w:rPr>
          <w:rFonts w:ascii="Times New Roman" w:hAnsi="Times New Roman" w:eastAsia="仿宋_GB2312" w:cs="Times New Roman"/>
          <w:i/>
          <w:color w:val="auto"/>
          <w:sz w:val="24"/>
          <w:szCs w:val="24"/>
          <w:highlight w:val="none"/>
          <w:vertAlign w:val="subscript"/>
        </w:rPr>
        <w:t>ky</w:t>
      </w:r>
      <w:r>
        <w:rPr>
          <w:rFonts w:ascii="Times New Roman" w:hAnsi="Times New Roman" w:eastAsia="仿宋_GB2312" w:cs="Times New Roman"/>
          <w:color w:val="auto"/>
          <w:sz w:val="24"/>
          <w:szCs w:val="24"/>
          <w:highlight w:val="none"/>
        </w:rPr>
        <w:t>——上方有来水工程开挖面坡长因子，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S</w:t>
      </w:r>
      <w:r>
        <w:rPr>
          <w:rFonts w:ascii="Times New Roman" w:hAnsi="Times New Roman" w:eastAsia="仿宋_GB2312" w:cs="Times New Roman"/>
          <w:i/>
          <w:color w:val="auto"/>
          <w:sz w:val="24"/>
          <w:szCs w:val="24"/>
          <w:highlight w:val="none"/>
          <w:vertAlign w:val="subscript"/>
        </w:rPr>
        <w:t>ky</w:t>
      </w:r>
      <w:r>
        <w:rPr>
          <w:rFonts w:ascii="Times New Roman" w:hAnsi="Times New Roman" w:eastAsia="仿宋_GB2312" w:cs="Times New Roman"/>
          <w:color w:val="auto"/>
          <w:sz w:val="24"/>
          <w:szCs w:val="24"/>
          <w:highlight w:val="none"/>
        </w:rPr>
        <w:t>——上方有来水工程开挖面坡度因子，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M</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——上方无来水工程开挖面土壤流失量（t）。</w:t>
      </w:r>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其中：</w:t>
      </w:r>
    </w:p>
    <w:p>
      <w:pPr>
        <w:snapToGrid w:val="0"/>
        <w:spacing w:line="360" w:lineRule="auto"/>
        <w:ind w:firstLine="480"/>
        <w:rPr>
          <w:rFonts w:ascii="Times New Roman" w:hAnsi="Times New Roman" w:cs="Times New Roman"/>
          <w:color w:val="auto"/>
          <w:sz w:val="24"/>
          <w:szCs w:val="24"/>
          <w:highlight w:val="none"/>
        </w:rPr>
      </w:pPr>
      <m:oMathPara>
        <m:oMath>
          <m:r>
            <m:rPr/>
            <w:rPr>
              <w:rFonts w:ascii="Cambria Math" w:hAnsi="Cambria Math" w:eastAsia="仿宋_GB2312" w:cs="Times New Roman"/>
              <w:color w:val="auto"/>
              <w:sz w:val="24"/>
              <w:szCs w:val="24"/>
              <w:highlight w:val="none"/>
            </w:rPr>
            <m:t>Mkw=RGkwLkwSkwA</m:t>
          </m:r>
        </m:oMath>
      </m:oMathPara>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式中：</w:t>
      </w:r>
      <w:r>
        <w:rPr>
          <w:rFonts w:ascii="Times New Roman" w:hAnsi="Times New Roman" w:eastAsia="仿宋_GB2312" w:cs="Times New Roman"/>
          <w:i/>
          <w:color w:val="auto"/>
          <w:sz w:val="24"/>
          <w:szCs w:val="24"/>
          <w:highlight w:val="none"/>
        </w:rPr>
        <w:t>G</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——上方无来水工程开挖面土质因子，</w:t>
      </w:r>
      <w:r>
        <w:rPr>
          <w:rFonts w:ascii="Times New Roman" w:hAnsi="Times New Roman" w:eastAsia="仿宋_GB2312" w:cs="Times New Roman"/>
          <w:snapToGrid w:val="0"/>
          <w:color w:val="auto"/>
          <w:sz w:val="24"/>
          <w:szCs w:val="24"/>
          <w:highlight w:val="none"/>
        </w:rPr>
        <w:t>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•MJ)；</w:t>
      </w:r>
    </w:p>
    <w:p>
      <w:pPr>
        <w:snapToGrid w:val="0"/>
        <w:spacing w:line="360" w:lineRule="auto"/>
        <w:ind w:firstLine="1274" w:firstLineChars="531"/>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L</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——上方无来水工程开挖面坡长因子，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1274" w:firstLineChars="531"/>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S</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——上方无来水工程开挖面坡度因子，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482"/>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fldChar w:fldCharType="begin"/>
      </w:r>
      <w:r>
        <w:rPr>
          <w:rFonts w:ascii="Times New Roman" w:hAnsi="Times New Roman" w:eastAsia="仿宋_GB2312" w:cs="Times New Roman"/>
          <w:color w:val="auto"/>
          <w:sz w:val="24"/>
          <w:szCs w:val="24"/>
          <w:highlight w:val="none"/>
        </w:rPr>
        <w:instrText xml:space="preserve"> = 3 \* GB3 </w:instrText>
      </w:r>
      <w:r>
        <w:rPr>
          <w:rFonts w:ascii="Times New Roman" w:hAnsi="Times New Roman" w:cs="Times New Roman"/>
          <w:color w:val="auto"/>
          <w:sz w:val="24"/>
          <w:szCs w:val="24"/>
          <w:highlight w:val="none"/>
        </w:rPr>
        <w:fldChar w:fldCharType="separate"/>
      </w:r>
      <w:r>
        <w:rPr>
          <w:rFonts w:hint="eastAsia" w:ascii="Times New Roman" w:hAnsi="Times New Roman" w:eastAsia="宋体" w:cs="宋体"/>
          <w:color w:val="auto"/>
          <w:sz w:val="24"/>
          <w:szCs w:val="24"/>
          <w:highlight w:val="none"/>
        </w:rPr>
        <w:t>③</w:t>
      </w:r>
      <w:r>
        <w:rPr>
          <w:rFonts w:ascii="Times New Roman" w:hAnsi="Times New Roman" w:cs="Times New Roman"/>
          <w:color w:val="auto"/>
          <w:sz w:val="24"/>
          <w:szCs w:val="24"/>
          <w:highlight w:val="none"/>
        </w:rPr>
        <w:fldChar w:fldCharType="end"/>
      </w:r>
      <w:r>
        <w:rPr>
          <w:rFonts w:ascii="Times New Roman" w:hAnsi="Times New Roman" w:eastAsia="仿宋_GB2312" w:cs="Times New Roman"/>
          <w:color w:val="auto"/>
          <w:sz w:val="24"/>
          <w:szCs w:val="24"/>
          <w:highlight w:val="none"/>
        </w:rPr>
        <w:t>上方无来水工程堆积体</w:t>
      </w:r>
    </w:p>
    <w:p>
      <w:pPr>
        <w:snapToGrid w:val="0"/>
        <w:spacing w:line="360" w:lineRule="auto"/>
        <w:ind w:firstLine="480"/>
        <w:rPr>
          <w:rFonts w:ascii="Times New Roman" w:hAnsi="Times New Roman" w:cs="Times New Roman"/>
          <w:snapToGrid w:val="0"/>
          <w:color w:val="auto"/>
          <w:sz w:val="24"/>
          <w:szCs w:val="24"/>
          <w:highlight w:val="none"/>
        </w:rPr>
      </w:pPr>
      <m:oMathPara>
        <m:oMath>
          <m:r>
            <m:rPr/>
            <w:rPr>
              <w:rFonts w:ascii="Cambria Math" w:hAnsi="Cambria Math" w:eastAsia="仿宋_GB2312" w:cs="Times New Roman"/>
              <w:snapToGrid w:val="0"/>
              <w:color w:val="auto"/>
              <w:sz w:val="24"/>
              <w:szCs w:val="24"/>
              <w:highlight w:val="none"/>
            </w:rPr>
            <m:t>Mdw=XRGdwLdwSdwA</m:t>
          </m:r>
        </m:oMath>
      </m:oMathPara>
    </w:p>
    <w:p>
      <w:pPr>
        <w:snapToGrid w:val="0"/>
        <w:spacing w:line="360" w:lineRule="auto"/>
        <w:ind w:firstLine="480"/>
        <w:rPr>
          <w:rFonts w:ascii="Times New Roman" w:hAnsi="Times New Roman" w:cs="Times New Roman"/>
          <w:snapToGrid w:val="0"/>
          <w:color w:val="auto"/>
          <w:sz w:val="24"/>
          <w:szCs w:val="24"/>
          <w:highlight w:val="none"/>
        </w:rPr>
      </w:pPr>
      <w:r>
        <w:rPr>
          <w:rFonts w:ascii="Times New Roman" w:hAnsi="Times New Roman" w:eastAsia="仿宋_GB2312" w:cs="Times New Roman"/>
          <w:snapToGrid w:val="0"/>
          <w:color w:val="auto"/>
          <w:sz w:val="24"/>
          <w:szCs w:val="24"/>
          <w:highlight w:val="none"/>
        </w:rPr>
        <w:t>式中：</w:t>
      </w:r>
      <w:r>
        <w:rPr>
          <w:rFonts w:ascii="Times New Roman" w:hAnsi="Times New Roman" w:eastAsia="仿宋_GB2312" w:cs="Times New Roman"/>
          <w:i/>
          <w:snapToGrid w:val="0"/>
          <w:color w:val="auto"/>
          <w:sz w:val="24"/>
          <w:szCs w:val="24"/>
          <w:highlight w:val="none"/>
        </w:rPr>
        <w:t>M</w:t>
      </w:r>
      <w:r>
        <w:rPr>
          <w:rFonts w:ascii="Times New Roman" w:hAnsi="Times New Roman" w:eastAsia="仿宋_GB2312" w:cs="Times New Roman"/>
          <w:i/>
          <w:snapToGrid w:val="0"/>
          <w:color w:val="auto"/>
          <w:sz w:val="24"/>
          <w:szCs w:val="24"/>
          <w:highlight w:val="none"/>
          <w:vertAlign w:val="subscript"/>
        </w:rPr>
        <w:t>dw</w:t>
      </w:r>
      <w:r>
        <w:rPr>
          <w:rFonts w:ascii="Times New Roman" w:hAnsi="Times New Roman" w:eastAsia="仿宋_GB2312" w:cs="Times New Roman"/>
          <w:snapToGrid w:val="0"/>
          <w:color w:val="auto"/>
          <w:sz w:val="24"/>
          <w:szCs w:val="24"/>
          <w:highlight w:val="none"/>
        </w:rPr>
        <w:t>——土壤流失量（t)；</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snapToGrid w:val="0"/>
          <w:color w:val="auto"/>
          <w:sz w:val="24"/>
          <w:szCs w:val="24"/>
          <w:highlight w:val="none"/>
        </w:rPr>
        <w:t>X</w:t>
      </w:r>
      <w:r>
        <w:rPr>
          <w:rFonts w:ascii="Times New Roman" w:hAnsi="Times New Roman" w:eastAsia="仿宋_GB2312" w:cs="Times New Roman"/>
          <w:snapToGrid w:val="0"/>
          <w:color w:val="auto"/>
          <w:sz w:val="24"/>
          <w:szCs w:val="24"/>
          <w:highlight w:val="none"/>
        </w:rPr>
        <w:t>——工程堆积体形态因子，无量纲；</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snapToGrid w:val="0"/>
          <w:color w:val="auto"/>
          <w:sz w:val="24"/>
          <w:szCs w:val="24"/>
          <w:highlight w:val="none"/>
        </w:rPr>
        <w:t>R</w:t>
      </w:r>
      <w:r>
        <w:rPr>
          <w:rFonts w:ascii="Times New Roman" w:hAnsi="Times New Roman" w:eastAsia="仿宋_GB2312" w:cs="Times New Roman"/>
          <w:snapToGrid w:val="0"/>
          <w:color w:val="auto"/>
          <w:sz w:val="24"/>
          <w:szCs w:val="24"/>
          <w:highlight w:val="none"/>
        </w:rPr>
        <w:t>——降雨侵蚀力因子，MJ•mm /(</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•h)；</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snapToGrid w:val="0"/>
          <w:color w:val="auto"/>
          <w:sz w:val="24"/>
          <w:szCs w:val="24"/>
          <w:highlight w:val="none"/>
        </w:rPr>
        <w:t>G</w:t>
      </w:r>
      <w:r>
        <w:rPr>
          <w:rFonts w:ascii="Times New Roman" w:hAnsi="Times New Roman" w:eastAsia="仿宋_GB2312" w:cs="Times New Roman"/>
          <w:i/>
          <w:snapToGrid w:val="0"/>
          <w:color w:val="auto"/>
          <w:sz w:val="24"/>
          <w:szCs w:val="24"/>
          <w:highlight w:val="none"/>
          <w:vertAlign w:val="subscript"/>
        </w:rPr>
        <w:t>dw</w:t>
      </w:r>
      <w:r>
        <w:rPr>
          <w:rFonts w:ascii="Times New Roman" w:hAnsi="Times New Roman" w:eastAsia="仿宋_GB2312" w:cs="Times New Roman"/>
          <w:snapToGrid w:val="0"/>
          <w:color w:val="auto"/>
          <w:sz w:val="24"/>
          <w:szCs w:val="24"/>
          <w:highlight w:val="none"/>
        </w:rPr>
        <w:t>——上方无来水工程堆积体土石质因子，t•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•h(</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•MJ•mm)；</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snapToGrid w:val="0"/>
          <w:color w:val="auto"/>
          <w:sz w:val="24"/>
          <w:szCs w:val="24"/>
          <w:highlight w:val="none"/>
        </w:rPr>
        <w:t>L</w:t>
      </w:r>
      <w:r>
        <w:rPr>
          <w:rFonts w:ascii="Times New Roman" w:hAnsi="Times New Roman" w:eastAsia="仿宋_GB2312" w:cs="Times New Roman"/>
          <w:i/>
          <w:snapToGrid w:val="0"/>
          <w:color w:val="auto"/>
          <w:sz w:val="24"/>
          <w:szCs w:val="24"/>
          <w:highlight w:val="none"/>
          <w:vertAlign w:val="subscript"/>
        </w:rPr>
        <w:t>dw</w:t>
      </w:r>
      <w:r>
        <w:rPr>
          <w:rFonts w:ascii="Times New Roman" w:hAnsi="Times New Roman" w:eastAsia="仿宋_GB2312" w:cs="Times New Roman"/>
          <w:snapToGrid w:val="0"/>
          <w:color w:val="auto"/>
          <w:sz w:val="24"/>
          <w:szCs w:val="24"/>
          <w:highlight w:val="none"/>
        </w:rPr>
        <w:t>——上方无来水工程堆积体坡长因子，无量纲；</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snapToGrid w:val="0"/>
          <w:color w:val="auto"/>
          <w:sz w:val="24"/>
          <w:szCs w:val="24"/>
          <w:highlight w:val="none"/>
        </w:rPr>
        <w:t>S</w:t>
      </w:r>
      <w:r>
        <w:rPr>
          <w:rFonts w:ascii="Times New Roman" w:hAnsi="Times New Roman" w:eastAsia="仿宋_GB2312" w:cs="Times New Roman"/>
          <w:i/>
          <w:snapToGrid w:val="0"/>
          <w:color w:val="auto"/>
          <w:sz w:val="24"/>
          <w:szCs w:val="24"/>
          <w:highlight w:val="none"/>
          <w:vertAlign w:val="subscript"/>
        </w:rPr>
        <w:t>dw</w:t>
      </w:r>
      <w:r>
        <w:rPr>
          <w:rFonts w:ascii="Times New Roman" w:hAnsi="Times New Roman" w:eastAsia="仿宋_GB2312" w:cs="Times New Roman"/>
          <w:snapToGrid w:val="0"/>
          <w:color w:val="auto"/>
          <w:sz w:val="24"/>
          <w:szCs w:val="24"/>
          <w:highlight w:val="none"/>
        </w:rPr>
        <w:t>——上方无来水工程堆积体坡度因子，无量纲；</w:t>
      </w:r>
    </w:p>
    <w:p>
      <w:pPr>
        <w:snapToGrid w:val="0"/>
        <w:spacing w:line="360" w:lineRule="auto"/>
        <w:ind w:firstLine="482"/>
        <w:rPr>
          <w:rFonts w:ascii="Times New Roman" w:hAnsi="Times New Roman" w:cs="Times New Roman"/>
          <w:color w:val="auto"/>
          <w:sz w:val="24"/>
          <w:szCs w:val="24"/>
          <w:highlight w:val="none"/>
        </w:rPr>
      </w:pPr>
      <w:r>
        <w:rPr>
          <w:rFonts w:hint="eastAsia" w:ascii="Times New Roman" w:hAnsi="Times New Roman" w:eastAsia="宋体" w:cs="宋体"/>
          <w:color w:val="auto"/>
          <w:sz w:val="24"/>
          <w:szCs w:val="24"/>
          <w:highlight w:val="none"/>
        </w:rPr>
        <w:t>④</w:t>
      </w:r>
      <w:r>
        <w:rPr>
          <w:rFonts w:ascii="Times New Roman" w:hAnsi="Times New Roman" w:eastAsia="仿宋_GB2312" w:cs="Times New Roman"/>
          <w:color w:val="auto"/>
          <w:sz w:val="24"/>
          <w:szCs w:val="24"/>
          <w:highlight w:val="none"/>
        </w:rPr>
        <w:t>上方有来水工程堆积体</w:t>
      </w:r>
    </w:p>
    <w:p>
      <w:pPr>
        <w:snapToGrid w:val="0"/>
        <w:spacing w:line="360" w:lineRule="auto"/>
        <w:ind w:firstLine="480"/>
        <w:rPr>
          <w:rFonts w:ascii="Times New Roman" w:hAnsi="Times New Roman" w:cs="Times New Roman"/>
          <w:color w:val="auto"/>
          <w:sz w:val="24"/>
          <w:szCs w:val="24"/>
          <w:highlight w:val="none"/>
        </w:rPr>
      </w:pPr>
      <m:oMathPara>
        <m:oMath>
          <m:r>
            <m:rPr/>
            <w:rPr>
              <w:rFonts w:ascii="Cambria Math" w:hAnsi="Cambria Math" w:eastAsia="仿宋_GB2312" w:cs="Times New Roman"/>
              <w:color w:val="auto"/>
              <w:sz w:val="24"/>
              <w:szCs w:val="24"/>
              <w:highlight w:val="none"/>
            </w:rPr>
            <m:t>Mdy=FdyGdyLdySdyA+Mdw</m:t>
          </m:r>
        </m:oMath>
      </m:oMathPara>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式中：</w:t>
      </w:r>
      <w:r>
        <w:rPr>
          <w:rFonts w:ascii="Times New Roman" w:hAnsi="Times New Roman" w:eastAsia="仿宋_GB2312" w:cs="Times New Roman"/>
          <w:i/>
          <w:color w:val="auto"/>
          <w:sz w:val="24"/>
          <w:szCs w:val="24"/>
          <w:highlight w:val="none"/>
        </w:rPr>
        <w:t>M</w:t>
      </w:r>
      <w:r>
        <w:rPr>
          <w:rFonts w:ascii="Times New Roman" w:hAnsi="Times New Roman" w:eastAsia="仿宋_GB2312" w:cs="Times New Roman"/>
          <w:i/>
          <w:color w:val="auto"/>
          <w:sz w:val="24"/>
          <w:szCs w:val="24"/>
          <w:highlight w:val="none"/>
          <w:vertAlign w:val="subscript"/>
        </w:rPr>
        <w:t>dy</w:t>
      </w:r>
      <w:r>
        <w:rPr>
          <w:rFonts w:ascii="Times New Roman" w:hAnsi="Times New Roman" w:eastAsia="仿宋_GB2312" w:cs="Times New Roman"/>
          <w:color w:val="auto"/>
          <w:sz w:val="24"/>
          <w:szCs w:val="24"/>
          <w:highlight w:val="none"/>
        </w:rPr>
        <w:t>——土壤流失量（t)；</w:t>
      </w:r>
    </w:p>
    <w:p>
      <w:pPr>
        <w:snapToGrid w:val="0"/>
        <w:spacing w:line="360" w:lineRule="auto"/>
        <w:ind w:firstLine="1132" w:firstLineChars="472"/>
        <w:rPr>
          <w:rFonts w:ascii="Times New Roman" w:hAnsi="Times New Roman" w:cs="Times New Roman"/>
          <w:snapToGrid w:val="0"/>
          <w:color w:val="auto"/>
          <w:sz w:val="24"/>
          <w:szCs w:val="24"/>
          <w:highlight w:val="none"/>
        </w:rPr>
      </w:pPr>
      <w:r>
        <w:rPr>
          <w:rFonts w:ascii="Times New Roman" w:hAnsi="Times New Roman" w:eastAsia="仿宋_GB2312" w:cs="Times New Roman"/>
          <w:i/>
          <w:color w:val="auto"/>
          <w:sz w:val="24"/>
          <w:szCs w:val="24"/>
          <w:highlight w:val="none"/>
        </w:rPr>
        <w:t>F</w:t>
      </w:r>
      <w:r>
        <w:rPr>
          <w:rFonts w:ascii="Times New Roman" w:hAnsi="Times New Roman" w:eastAsia="仿宋_GB2312" w:cs="Times New Roman"/>
          <w:i/>
          <w:color w:val="auto"/>
          <w:sz w:val="24"/>
          <w:szCs w:val="24"/>
          <w:highlight w:val="none"/>
          <w:vertAlign w:val="subscript"/>
        </w:rPr>
        <w:t>dy</w:t>
      </w:r>
      <w:r>
        <w:rPr>
          <w:rFonts w:ascii="Times New Roman" w:hAnsi="Times New Roman" w:eastAsia="仿宋_GB2312" w:cs="Times New Roman"/>
          <w:color w:val="auto"/>
          <w:sz w:val="24"/>
          <w:szCs w:val="24"/>
          <w:highlight w:val="none"/>
        </w:rPr>
        <w:t>——上方有来水工程堆积体径流冲蚀力因子，</w:t>
      </w:r>
      <w:r>
        <w:rPr>
          <w:rFonts w:ascii="Times New Roman" w:hAnsi="Times New Roman" w:eastAsia="仿宋_GB2312" w:cs="Times New Roman"/>
          <w:snapToGrid w:val="0"/>
          <w:color w:val="auto"/>
          <w:sz w:val="24"/>
          <w:szCs w:val="24"/>
          <w:highlight w:val="none"/>
        </w:rPr>
        <w:t>MJ /(</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G</w:t>
      </w:r>
      <w:r>
        <w:rPr>
          <w:rFonts w:ascii="Times New Roman" w:hAnsi="Times New Roman" w:eastAsia="仿宋_GB2312" w:cs="Times New Roman"/>
          <w:i/>
          <w:color w:val="auto"/>
          <w:sz w:val="24"/>
          <w:szCs w:val="24"/>
          <w:highlight w:val="none"/>
          <w:vertAlign w:val="subscript"/>
        </w:rPr>
        <w:t>dy</w:t>
      </w:r>
      <w:r>
        <w:rPr>
          <w:rFonts w:ascii="Times New Roman" w:hAnsi="Times New Roman" w:eastAsia="仿宋_GB2312" w:cs="Times New Roman"/>
          <w:color w:val="auto"/>
          <w:sz w:val="24"/>
          <w:szCs w:val="24"/>
          <w:highlight w:val="none"/>
        </w:rPr>
        <w:t>——上方有来水工程堆积体土质因子，</w:t>
      </w:r>
      <w:r>
        <w:rPr>
          <w:rFonts w:ascii="Times New Roman" w:hAnsi="Times New Roman" w:eastAsia="仿宋_GB2312" w:cs="Times New Roman"/>
          <w:snapToGrid w:val="0"/>
          <w:color w:val="auto"/>
          <w:sz w:val="24"/>
          <w:szCs w:val="24"/>
          <w:highlight w:val="none"/>
        </w:rPr>
        <w:t>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•MJ)；</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L</w:t>
      </w:r>
      <w:r>
        <w:rPr>
          <w:rFonts w:ascii="Times New Roman" w:hAnsi="Times New Roman" w:eastAsia="仿宋_GB2312" w:cs="Times New Roman"/>
          <w:i/>
          <w:color w:val="auto"/>
          <w:sz w:val="24"/>
          <w:szCs w:val="24"/>
          <w:highlight w:val="none"/>
          <w:vertAlign w:val="subscript"/>
        </w:rPr>
        <w:t>dy</w:t>
      </w:r>
      <w:r>
        <w:rPr>
          <w:rFonts w:ascii="Times New Roman" w:hAnsi="Times New Roman" w:eastAsia="仿宋_GB2312" w:cs="Times New Roman"/>
          <w:color w:val="auto"/>
          <w:sz w:val="24"/>
          <w:szCs w:val="24"/>
          <w:highlight w:val="none"/>
        </w:rPr>
        <w:t>——上方有来水工程堆积体坡长因子，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S</w:t>
      </w:r>
      <w:r>
        <w:rPr>
          <w:rFonts w:ascii="Times New Roman" w:hAnsi="Times New Roman" w:eastAsia="仿宋_GB2312" w:cs="Times New Roman"/>
          <w:i/>
          <w:color w:val="auto"/>
          <w:sz w:val="24"/>
          <w:szCs w:val="24"/>
          <w:highlight w:val="none"/>
          <w:vertAlign w:val="subscript"/>
        </w:rPr>
        <w:t>dy</w:t>
      </w:r>
      <w:r>
        <w:rPr>
          <w:rFonts w:ascii="Times New Roman" w:hAnsi="Times New Roman" w:eastAsia="仿宋_GB2312" w:cs="Times New Roman"/>
          <w:color w:val="auto"/>
          <w:sz w:val="24"/>
          <w:szCs w:val="24"/>
          <w:highlight w:val="none"/>
        </w:rPr>
        <w:t>——上方有来水工程堆积体坡度因子，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1132" w:firstLineChars="472"/>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M</w:t>
      </w:r>
      <w:r>
        <w:rPr>
          <w:rFonts w:ascii="Times New Roman" w:hAnsi="Times New Roman" w:eastAsia="仿宋_GB2312" w:cs="Times New Roman"/>
          <w:i/>
          <w:color w:val="auto"/>
          <w:sz w:val="24"/>
          <w:szCs w:val="24"/>
          <w:highlight w:val="none"/>
          <w:vertAlign w:val="subscript"/>
        </w:rPr>
        <w:t>dw</w:t>
      </w:r>
      <w:r>
        <w:rPr>
          <w:rFonts w:ascii="Times New Roman" w:hAnsi="Times New Roman" w:eastAsia="仿宋_GB2312" w:cs="Times New Roman"/>
          <w:color w:val="auto"/>
          <w:sz w:val="24"/>
          <w:szCs w:val="24"/>
          <w:highlight w:val="none"/>
        </w:rPr>
        <w:t>——上方无来水工程堆积体土壤流失量（t）</w:t>
      </w:r>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其中：</w:t>
      </w:r>
    </w:p>
    <w:p>
      <w:pPr>
        <w:snapToGrid w:val="0"/>
        <w:spacing w:line="360" w:lineRule="auto"/>
        <w:ind w:firstLine="480"/>
        <w:rPr>
          <w:rFonts w:ascii="Times New Roman" w:hAnsi="Times New Roman" w:cs="Times New Roman"/>
          <w:color w:val="auto"/>
          <w:sz w:val="24"/>
          <w:szCs w:val="24"/>
          <w:highlight w:val="none"/>
        </w:rPr>
      </w:pPr>
      <m:oMathPara>
        <m:oMath>
          <m:r>
            <m:rPr/>
            <w:rPr>
              <w:rFonts w:ascii="Cambria Math" w:hAnsi="Cambria Math" w:eastAsia="仿宋_GB2312" w:cs="Times New Roman"/>
              <w:color w:val="auto"/>
              <w:sz w:val="24"/>
              <w:szCs w:val="24"/>
              <w:highlight w:val="none"/>
            </w:rPr>
            <m:t>Mdw=RGdwLdwSdwA</m:t>
          </m:r>
        </m:oMath>
      </m:oMathPara>
    </w:p>
    <w:p>
      <w:pPr>
        <w:snapToGrid w:val="0"/>
        <w:spacing w:line="360" w:lineRule="auto"/>
        <w:ind w:firstLine="480"/>
        <w:rPr>
          <w:rFonts w:ascii="Times New Roman" w:hAnsi="Times New Roman" w:cs="Times New Roman"/>
          <w:color w:val="auto"/>
          <w:sz w:val="24"/>
          <w:szCs w:val="24"/>
          <w:highlight w:val="none"/>
        </w:rPr>
      </w:pPr>
      <w:r>
        <w:rPr>
          <w:rFonts w:ascii="Times New Roman" w:hAnsi="Times New Roman" w:eastAsia="仿宋_GB2312" w:cs="Times New Roman"/>
          <w:color w:val="auto"/>
          <w:sz w:val="24"/>
          <w:szCs w:val="24"/>
          <w:highlight w:val="none"/>
        </w:rPr>
        <w:t>式中：</w:t>
      </w:r>
      <w:r>
        <w:rPr>
          <w:rFonts w:ascii="Times New Roman" w:hAnsi="Times New Roman" w:eastAsia="仿宋_GB2312" w:cs="Times New Roman"/>
          <w:i/>
          <w:color w:val="auto"/>
          <w:sz w:val="24"/>
          <w:szCs w:val="24"/>
          <w:highlight w:val="none"/>
        </w:rPr>
        <w:t>G</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——上方无来水工程堆积体土质因子，</w:t>
      </w:r>
      <w:r>
        <w:rPr>
          <w:rFonts w:ascii="Times New Roman" w:hAnsi="Times New Roman" w:eastAsia="仿宋_GB2312" w:cs="Times New Roman"/>
          <w:snapToGrid w:val="0"/>
          <w:color w:val="auto"/>
          <w:sz w:val="24"/>
          <w:szCs w:val="24"/>
          <w:highlight w:val="none"/>
        </w:rPr>
        <w:t>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w:t>
      </w:r>
      <w:r>
        <w:rPr>
          <w:rFonts w:hint="eastAsia" w:ascii="Times New Roman" w:hAnsi="Times New Roman" w:eastAsia="仿宋_GB2312" w:cs="Times New Roman"/>
          <w:snapToGrid w:val="0"/>
          <w:color w:val="auto"/>
          <w:sz w:val="24"/>
          <w:szCs w:val="24"/>
          <w:highlight w:val="none"/>
          <w:lang w:eastAsia="zh-CN"/>
        </w:rPr>
        <w:t>hm</w:t>
      </w:r>
      <w:r>
        <w:rPr>
          <w:rFonts w:hint="eastAsia" w:ascii="Times New Roman" w:hAnsi="Times New Roman" w:eastAsia="仿宋_GB2312" w:cs="Times New Roman"/>
          <w:snapToGrid w:val="0"/>
          <w:color w:val="auto"/>
          <w:sz w:val="24"/>
          <w:szCs w:val="24"/>
          <w:highlight w:val="none"/>
          <w:vertAlign w:val="superscript"/>
          <w:lang w:eastAsia="zh-CN"/>
        </w:rPr>
        <w:t>2</w:t>
      </w:r>
      <w:r>
        <w:rPr>
          <w:rFonts w:ascii="Times New Roman" w:hAnsi="Times New Roman" w:eastAsia="仿宋_GB2312" w:cs="Times New Roman"/>
          <w:snapToGrid w:val="0"/>
          <w:color w:val="auto"/>
          <w:sz w:val="24"/>
          <w:szCs w:val="24"/>
          <w:highlight w:val="none"/>
        </w:rPr>
        <w:t>•MJ)；</w:t>
      </w:r>
    </w:p>
    <w:p>
      <w:pPr>
        <w:snapToGrid w:val="0"/>
        <w:spacing w:line="360" w:lineRule="auto"/>
        <w:ind w:firstLine="1274" w:firstLineChars="531"/>
        <w:rPr>
          <w:rFonts w:ascii="Times New Roman" w:hAnsi="Times New Roman" w:cs="Times New Roman"/>
          <w:color w:val="auto"/>
          <w:sz w:val="24"/>
          <w:szCs w:val="24"/>
          <w:highlight w:val="none"/>
        </w:rPr>
      </w:pPr>
      <w:r>
        <w:rPr>
          <w:rFonts w:ascii="Times New Roman" w:hAnsi="Times New Roman" w:eastAsia="仿宋_GB2312" w:cs="Times New Roman"/>
          <w:i/>
          <w:color w:val="auto"/>
          <w:sz w:val="24"/>
          <w:szCs w:val="24"/>
          <w:highlight w:val="none"/>
        </w:rPr>
        <w:t>L</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——上方无来水工程堆积体坡长因子，</w:t>
      </w:r>
      <w:r>
        <w:rPr>
          <w:rFonts w:ascii="Times New Roman" w:hAnsi="Times New Roman" w:eastAsia="仿宋_GB2312" w:cs="Times New Roman"/>
          <w:snapToGrid w:val="0"/>
          <w:color w:val="auto"/>
          <w:sz w:val="24"/>
          <w:szCs w:val="24"/>
          <w:highlight w:val="none"/>
        </w:rPr>
        <w:t>无量纲；</w:t>
      </w:r>
    </w:p>
    <w:p>
      <w:pPr>
        <w:snapToGrid w:val="0"/>
        <w:spacing w:line="360" w:lineRule="auto"/>
        <w:ind w:firstLine="1274" w:firstLineChars="531"/>
        <w:rPr>
          <w:rFonts w:ascii="Times New Roman" w:hAnsi="Times New Roman" w:eastAsia="仿宋_GB2312" w:cs="Times New Roman"/>
          <w:color w:val="auto"/>
          <w:sz w:val="24"/>
          <w:szCs w:val="24"/>
          <w:highlight w:val="none"/>
        </w:rPr>
      </w:pPr>
      <w:r>
        <w:rPr>
          <w:rFonts w:ascii="Times New Roman" w:hAnsi="Times New Roman" w:eastAsia="仿宋_GB2312" w:cs="Times New Roman"/>
          <w:i/>
          <w:color w:val="auto"/>
          <w:sz w:val="24"/>
          <w:szCs w:val="24"/>
          <w:highlight w:val="none"/>
        </w:rPr>
        <w:t>S</w:t>
      </w:r>
      <w:r>
        <w:rPr>
          <w:rFonts w:ascii="Times New Roman" w:hAnsi="Times New Roman" w:eastAsia="仿宋_GB2312" w:cs="Times New Roman"/>
          <w:i/>
          <w:color w:val="auto"/>
          <w:sz w:val="24"/>
          <w:szCs w:val="24"/>
          <w:highlight w:val="none"/>
          <w:vertAlign w:val="subscript"/>
        </w:rPr>
        <w:t>kw</w:t>
      </w:r>
      <w:r>
        <w:rPr>
          <w:rFonts w:ascii="Times New Roman" w:hAnsi="Times New Roman" w:eastAsia="仿宋_GB2312" w:cs="Times New Roman"/>
          <w:color w:val="auto"/>
          <w:sz w:val="24"/>
          <w:szCs w:val="24"/>
          <w:highlight w:val="none"/>
        </w:rPr>
        <w:t>——上方无来水工程堆积体坡度因子，</w:t>
      </w:r>
      <w:r>
        <w:rPr>
          <w:rFonts w:ascii="Times New Roman" w:hAnsi="Times New Roman" w:eastAsia="仿宋_GB2312" w:cs="Times New Roman"/>
          <w:snapToGrid w:val="0"/>
          <w:color w:val="auto"/>
          <w:sz w:val="24"/>
          <w:szCs w:val="24"/>
          <w:highlight w:val="none"/>
        </w:rPr>
        <w:t>无量纲。</w:t>
      </w:r>
    </w:p>
    <w:p>
      <w:pPr>
        <w:spacing w:line="408" w:lineRule="auto"/>
        <w:ind w:firstLine="482"/>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（2）扰动后各单元土壤侵蚀模数</w:t>
      </w:r>
    </w:p>
    <w:p>
      <w:pPr>
        <w:snapToGrid w:val="0"/>
        <w:spacing w:line="408"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根据主体设计资料结合现场调查分析，确定本项目可分为植被破坏型一般扰动地表、上方有来水工程开挖面、上方无来水工程堆积体和上方有来水工程堆积体4类扰动，根据扰动后的土壤流失量测算方法，计算得出本项目扰动后各单元侵蚀模数如下表所示：</w:t>
      </w:r>
    </w:p>
    <w:p>
      <w:pPr>
        <w:spacing w:line="360" w:lineRule="auto"/>
        <w:jc w:val="center"/>
        <w:rPr>
          <w:rFonts w:ascii="Times New Roman" w:hAnsi="Times New Roman" w:eastAsia="仿宋_GB2312" w:cs="Times New Roman"/>
          <w:b/>
          <w:bCs/>
          <w:color w:val="auto"/>
          <w:szCs w:val="21"/>
          <w:highlight w:val="none"/>
        </w:rPr>
      </w:pPr>
      <w:r>
        <w:rPr>
          <w:rFonts w:ascii="Times New Roman" w:hAnsi="Times New Roman" w:eastAsia="仿宋_GB2312" w:cs="Times New Roman"/>
          <w:b/>
          <w:bCs/>
          <w:color w:val="auto"/>
          <w:szCs w:val="21"/>
          <w:highlight w:val="none"/>
        </w:rPr>
        <w:t>表4.3-2 扰动后各单元土壤侵蚀模数取值表</w:t>
      </w:r>
    </w:p>
    <w:tbl>
      <w:tblPr>
        <w:tblStyle w:val="201"/>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8"/>
        <w:gridCol w:w="2366"/>
        <w:gridCol w:w="1516"/>
        <w:gridCol w:w="1719"/>
        <w:gridCol w:w="17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预测单元</w:t>
            </w: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土壤流失单元</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0"/>
                <w:sz w:val="20"/>
                <w:szCs w:val="20"/>
                <w:highlight w:val="none"/>
              </w:rPr>
            </w:pPr>
            <w:r>
              <w:rPr>
                <w:rFonts w:hint="default" w:ascii="Times New Roman" w:hAnsi="Times New Roman" w:eastAsia="宋体" w:cs="Times New Roman"/>
                <w:color w:val="auto"/>
                <w:kern w:val="0"/>
                <w:sz w:val="20"/>
                <w:szCs w:val="20"/>
                <w:highlight w:val="none"/>
              </w:rPr>
              <w:t>M[t/(km².a) ]</w:t>
            </w:r>
            <w:r>
              <w:rPr>
                <w:rFonts w:hint="eastAsia" w:ascii="仿宋_GB2312" w:hAnsi="Times New Roman" w:eastAsia="仿宋_GB2312" w:cs="Times New Roman"/>
                <w:color w:val="auto"/>
                <w:kern w:val="0"/>
                <w:sz w:val="22"/>
                <w:szCs w:val="24"/>
                <w:highlight w:val="none"/>
              </w:rPr>
              <w:t>　</w:t>
            </w:r>
          </w:p>
        </w:tc>
        <w:tc>
          <w:tcPr>
            <w:tcW w:w="973"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面积</w:t>
            </w:r>
            <w:r>
              <w:rPr>
                <w:rFonts w:hint="default" w:ascii="Times New Roman" w:hAnsi="Times New Roman" w:eastAsia="仿宋_GB2312" w:cs="Times New Roman"/>
                <w:color w:val="auto"/>
                <w:kern w:val="0"/>
                <w:sz w:val="20"/>
                <w:szCs w:val="20"/>
                <w:highlight w:val="none"/>
              </w:rPr>
              <w:t>(hm²)</w:t>
            </w:r>
          </w:p>
        </w:tc>
        <w:tc>
          <w:tcPr>
            <w:tcW w:w="973" w:type="pct"/>
            <w:noWrap/>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宋体"/>
                <w:color w:val="auto"/>
                <w:kern w:val="0"/>
                <w:sz w:val="18"/>
                <w:szCs w:val="18"/>
                <w:highlight w:val="none"/>
                <w:lang w:val="en-US" w:eastAsia="zh-CN"/>
              </w:rPr>
            </w:pPr>
            <w:r>
              <w:rPr>
                <w:rFonts w:hint="eastAsia" w:ascii="仿宋_GB2312" w:hAnsi="宋体" w:eastAsia="仿宋_GB2312" w:cs="宋体"/>
                <w:color w:val="auto"/>
                <w:kern w:val="0"/>
                <w:sz w:val="18"/>
                <w:szCs w:val="18"/>
                <w:highlight w:val="none"/>
                <w:lang w:val="en-US" w:eastAsia="zh-CN"/>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vMerge w:val="restart"/>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井场及附属工程</w:t>
            </w: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上方有来水工程开挖面</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color w:val="auto"/>
                <w:sz w:val="18"/>
                <w:szCs w:val="18"/>
                <w:highlight w:val="none"/>
                <w:lang w:val="en-US" w:eastAsia="zh-CN"/>
              </w:rPr>
              <w:t>6500</w:t>
            </w:r>
          </w:p>
        </w:tc>
        <w:tc>
          <w:tcPr>
            <w:tcW w:w="171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0.54</w:t>
            </w:r>
          </w:p>
        </w:tc>
        <w:tc>
          <w:tcPr>
            <w:tcW w:w="973" w:type="pct"/>
            <w:vMerge w:val="restar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vMerge w:val="continue"/>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上方无来水工程堆积体</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6800</w:t>
            </w:r>
          </w:p>
        </w:tc>
        <w:tc>
          <w:tcPr>
            <w:tcW w:w="171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0.59</w:t>
            </w:r>
          </w:p>
        </w:tc>
        <w:tc>
          <w:tcPr>
            <w:tcW w:w="973" w:type="pct"/>
            <w:vMerge w:val="continue"/>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vAlign w:val="center"/>
          </w:tcPr>
          <w:p>
            <w:pPr>
              <w:keepNext w:val="0"/>
              <w:keepLines w:val="0"/>
              <w:widowControl w:val="0"/>
              <w:suppressLineNumbers w:val="0"/>
              <w:spacing w:before="0" w:beforeAutospacing="0" w:after="0" w:afterAutospacing="0"/>
              <w:ind w:left="0" w:right="0"/>
              <w:jc w:val="center"/>
              <w:rPr>
                <w:rFonts w:hint="eastAsia"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施工临时</w:t>
            </w:r>
          </w:p>
          <w:p>
            <w:pPr>
              <w:keepNext w:val="0"/>
              <w:keepLines w:val="0"/>
              <w:widowControl w:val="0"/>
              <w:suppressLineNumbers w:val="0"/>
              <w:spacing w:before="0" w:beforeAutospacing="0" w:after="0" w:afterAutospacing="0"/>
              <w:ind w:left="0" w:right="0"/>
              <w:jc w:val="center"/>
              <w:rPr>
                <w:rFonts w:hint="eastAsia" w:ascii="仿宋_GB2312" w:hAnsi="宋体" w:eastAsia="仿宋_GB2312" w:cs="宋体"/>
                <w:color w:val="auto"/>
                <w:kern w:val="0"/>
                <w:sz w:val="18"/>
                <w:szCs w:val="18"/>
                <w:highlight w:val="none"/>
                <w:lang w:val="en-US" w:eastAsia="zh-CN"/>
              </w:rPr>
            </w:pPr>
            <w:r>
              <w:rPr>
                <w:rFonts w:hint="eastAsia" w:ascii="仿宋_GB2312" w:hAnsi="宋体" w:eastAsia="仿宋_GB2312" w:cs="宋体"/>
                <w:color w:val="auto"/>
                <w:kern w:val="0"/>
                <w:sz w:val="18"/>
                <w:szCs w:val="18"/>
                <w:highlight w:val="none"/>
              </w:rPr>
              <w:t>生活</w:t>
            </w:r>
            <w:r>
              <w:rPr>
                <w:rFonts w:hint="eastAsia" w:ascii="仿宋_GB2312" w:hAnsi="宋体" w:eastAsia="仿宋_GB2312" w:cs="宋体"/>
                <w:color w:val="auto"/>
                <w:kern w:val="0"/>
                <w:sz w:val="18"/>
                <w:szCs w:val="18"/>
                <w:highlight w:val="none"/>
                <w:lang w:val="en-US" w:eastAsia="zh-CN"/>
              </w:rPr>
              <w:t>场地</w:t>
            </w: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植被破坏型一般扰动地表</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45</w:t>
            </w:r>
            <w:r>
              <w:rPr>
                <w:rFonts w:hint="default" w:ascii="Times New Roman" w:hAnsi="Times New Roman" w:eastAsia="宋体" w:cs="Times New Roman"/>
                <w:color w:val="auto"/>
                <w:sz w:val="18"/>
                <w:szCs w:val="18"/>
                <w:highlight w:val="none"/>
              </w:rPr>
              <w:t>00</w:t>
            </w:r>
          </w:p>
        </w:tc>
        <w:tc>
          <w:tcPr>
            <w:tcW w:w="17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0.23</w:t>
            </w:r>
          </w:p>
        </w:tc>
        <w:tc>
          <w:tcPr>
            <w:tcW w:w="1719" w:type="dxa"/>
            <w:noWrap/>
            <w:vAlign w:val="center"/>
          </w:tcPr>
          <w:p>
            <w:pPr>
              <w:keepNext w:val="0"/>
              <w:keepLines w:val="0"/>
              <w:widowControl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仿宋_GB2312" w:cs="Times New Roman"/>
                <w:color w:val="auto"/>
                <w:sz w:val="18"/>
                <w:szCs w:val="18"/>
                <w:highlight w:val="none"/>
                <w:lang w:val="en-US" w:eastAsia="zh-CN"/>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表土堆放场</w:t>
            </w: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上方无来水工程堆积体</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6500</w:t>
            </w:r>
          </w:p>
        </w:tc>
        <w:tc>
          <w:tcPr>
            <w:tcW w:w="171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c>
          <w:tcPr>
            <w:tcW w:w="171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vMerge w:val="restart"/>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道路工程</w:t>
            </w: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上方有来水工程开挖面</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6500</w:t>
            </w:r>
          </w:p>
        </w:tc>
        <w:tc>
          <w:tcPr>
            <w:tcW w:w="171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0.13</w:t>
            </w:r>
          </w:p>
        </w:tc>
        <w:tc>
          <w:tcPr>
            <w:tcW w:w="973" w:type="pct"/>
            <w:vMerge w:val="restar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54" w:type="pct"/>
            <w:vMerge w:val="continue"/>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340" w:type="pct"/>
            <w:noWrap/>
            <w:vAlign w:val="center"/>
          </w:tcPr>
          <w:p>
            <w:pPr>
              <w:keepNext w:val="0"/>
              <w:keepLines w:val="0"/>
              <w:widowControl w:val="0"/>
              <w:suppressLineNumbers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上方无来水工程堆积体</w:t>
            </w:r>
          </w:p>
        </w:tc>
        <w:tc>
          <w:tcPr>
            <w:tcW w:w="858" w:type="pct"/>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6800</w:t>
            </w:r>
          </w:p>
        </w:tc>
        <w:tc>
          <w:tcPr>
            <w:tcW w:w="1719" w:type="dxa"/>
            <w:noWrap/>
            <w:vAlign w:val="center"/>
          </w:tcPr>
          <w:p>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0.17</w:t>
            </w:r>
          </w:p>
        </w:tc>
        <w:tc>
          <w:tcPr>
            <w:tcW w:w="973" w:type="pct"/>
            <w:vMerge w:val="continue"/>
            <w:noWrap/>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highlight w:val="none"/>
              </w:rPr>
            </w:pPr>
          </w:p>
        </w:tc>
      </w:tr>
    </w:tbl>
    <w:p>
      <w:pPr>
        <w:adjustRightInd w:val="0"/>
        <w:snapToGrid w:val="0"/>
        <w:spacing w:before="240" w:beforeLines="100" w:line="360" w:lineRule="auto"/>
        <w:ind w:left="113" w:right="113"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（3）自然恢复期各单元土壤侵蚀模数</w:t>
      </w:r>
    </w:p>
    <w:p>
      <w:pPr>
        <w:adjustRightInd w:val="0"/>
        <w:snapToGrid w:val="0"/>
        <w:spacing w:line="360" w:lineRule="auto"/>
        <w:ind w:firstLine="592" w:firstLineChars="247"/>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自然恢复期各单元土壤侵蚀模数通过调查周边同类项目自然恢复期土壤侵蚀模数确定取值，详见下表。</w:t>
      </w:r>
    </w:p>
    <w:p>
      <w:pPr>
        <w:spacing w:line="360" w:lineRule="auto"/>
        <w:jc w:val="center"/>
        <w:rPr>
          <w:rFonts w:ascii="Times New Roman" w:hAnsi="Times New Roman" w:eastAsia="仿宋_GB2312" w:cs="Times New Roman"/>
          <w:b/>
          <w:color w:val="auto"/>
          <w:sz w:val="24"/>
          <w:highlight w:val="none"/>
        </w:rPr>
      </w:pPr>
      <w:r>
        <w:rPr>
          <w:rFonts w:ascii="Times New Roman" w:hAnsi="Times New Roman" w:eastAsia="仿宋_GB2312" w:cs="Times New Roman"/>
          <w:b/>
          <w:color w:val="auto"/>
          <w:szCs w:val="20"/>
          <w:highlight w:val="none"/>
        </w:rPr>
        <w:t>表4.3-3 自然恢复期土壤侵蚀模数取值一览表</w:t>
      </w:r>
    </w:p>
    <w:tbl>
      <w:tblPr>
        <w:tblStyle w:val="20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3469"/>
        <w:gridCol w:w="3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Align w:val="center"/>
          </w:tcPr>
          <w:p>
            <w:pPr>
              <w:jc w:val="center"/>
              <w:rPr>
                <w:rFonts w:ascii="Times New Roman" w:hAnsi="Times New Roman" w:eastAsia="仿宋_GB2312" w:cs="Times New Roman"/>
                <w:b/>
                <w:bCs/>
                <w:color w:val="auto"/>
                <w:kern w:val="0"/>
                <w:sz w:val="18"/>
                <w:szCs w:val="18"/>
                <w:highlight w:val="none"/>
              </w:rPr>
            </w:pPr>
            <w:r>
              <w:rPr>
                <w:rFonts w:ascii="Times New Roman" w:hAnsi="Times New Roman" w:eastAsia="仿宋_GB2312" w:cs="Times New Roman"/>
                <w:b/>
                <w:bCs/>
                <w:color w:val="auto"/>
                <w:kern w:val="0"/>
                <w:sz w:val="18"/>
                <w:szCs w:val="18"/>
                <w:highlight w:val="none"/>
              </w:rPr>
              <w:t>序号</w:t>
            </w:r>
          </w:p>
        </w:tc>
        <w:tc>
          <w:tcPr>
            <w:tcW w:w="1963" w:type="pct"/>
            <w:vAlign w:val="center"/>
          </w:tcPr>
          <w:p>
            <w:pPr>
              <w:jc w:val="center"/>
              <w:rPr>
                <w:rFonts w:ascii="Times New Roman" w:hAnsi="Times New Roman" w:eastAsia="仿宋_GB2312" w:cs="Times New Roman"/>
                <w:b/>
                <w:bCs/>
                <w:color w:val="auto"/>
                <w:kern w:val="0"/>
                <w:sz w:val="18"/>
                <w:szCs w:val="18"/>
                <w:highlight w:val="none"/>
              </w:rPr>
            </w:pPr>
            <w:r>
              <w:rPr>
                <w:rFonts w:ascii="Times New Roman" w:hAnsi="Times New Roman" w:eastAsia="仿宋_GB2312" w:cs="Times New Roman"/>
                <w:b/>
                <w:bCs/>
                <w:color w:val="auto"/>
                <w:kern w:val="0"/>
                <w:sz w:val="18"/>
                <w:szCs w:val="18"/>
                <w:highlight w:val="none"/>
              </w:rPr>
              <w:t>预测单元</w:t>
            </w:r>
          </w:p>
        </w:tc>
        <w:tc>
          <w:tcPr>
            <w:tcW w:w="2166" w:type="pct"/>
            <w:vAlign w:val="center"/>
          </w:tcPr>
          <w:p>
            <w:pPr>
              <w:jc w:val="center"/>
              <w:rPr>
                <w:rFonts w:ascii="Times New Roman" w:hAnsi="Times New Roman" w:eastAsia="仿宋_GB2312" w:cs="Times New Roman"/>
                <w:b/>
                <w:bCs/>
                <w:color w:val="auto"/>
                <w:kern w:val="0"/>
                <w:sz w:val="18"/>
                <w:szCs w:val="18"/>
                <w:highlight w:val="none"/>
              </w:rPr>
            </w:pPr>
            <w:r>
              <w:rPr>
                <w:rFonts w:ascii="Times New Roman" w:hAnsi="Times New Roman" w:eastAsia="仿宋_GB2312" w:cs="Times New Roman"/>
                <w:b/>
                <w:bCs/>
                <w:color w:val="auto"/>
                <w:kern w:val="0"/>
                <w:sz w:val="18"/>
                <w:szCs w:val="18"/>
                <w:highlight w:val="none"/>
              </w:rPr>
              <w:t>自然恢复期土壤侵蚀模数（t/km</w:t>
            </w:r>
            <w:r>
              <w:rPr>
                <w:rFonts w:ascii="Times New Roman" w:hAnsi="Times New Roman" w:eastAsia="仿宋_GB2312" w:cs="Times New Roman"/>
                <w:b/>
                <w:bCs/>
                <w:color w:val="auto"/>
                <w:kern w:val="0"/>
                <w:sz w:val="18"/>
                <w:szCs w:val="18"/>
                <w:highlight w:val="none"/>
                <w:vertAlign w:val="superscript"/>
              </w:rPr>
              <w:t>2</w:t>
            </w:r>
            <w:r>
              <w:rPr>
                <w:rFonts w:ascii="Times New Roman" w:hAnsi="Times New Roman" w:eastAsia="仿宋_GB2312" w:cs="Times New Roman"/>
                <w:b/>
                <w:bCs/>
                <w:color w:val="auto"/>
                <w:kern w:val="0"/>
                <w:sz w:val="18"/>
                <w:szCs w:val="18"/>
                <w:highlight w:val="none"/>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1</w:t>
            </w:r>
          </w:p>
        </w:tc>
        <w:tc>
          <w:tcPr>
            <w:tcW w:w="1963"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井场及附属工程</w:t>
            </w:r>
          </w:p>
        </w:tc>
        <w:tc>
          <w:tcPr>
            <w:tcW w:w="3827"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2</w:t>
            </w:r>
          </w:p>
        </w:tc>
        <w:tc>
          <w:tcPr>
            <w:tcW w:w="1963"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道路工程</w:t>
            </w:r>
          </w:p>
        </w:tc>
        <w:tc>
          <w:tcPr>
            <w:tcW w:w="3827"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3</w:t>
            </w:r>
          </w:p>
        </w:tc>
        <w:tc>
          <w:tcPr>
            <w:tcW w:w="1963"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表土堆放场</w:t>
            </w:r>
          </w:p>
        </w:tc>
        <w:tc>
          <w:tcPr>
            <w:tcW w:w="3827"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 w:type="pct"/>
            <w:vAlign w:val="center"/>
          </w:tcPr>
          <w:p>
            <w:pPr>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4</w:t>
            </w:r>
          </w:p>
        </w:tc>
        <w:tc>
          <w:tcPr>
            <w:tcW w:w="1963" w:type="pct"/>
            <w:vAlign w:val="center"/>
          </w:tcPr>
          <w:p>
            <w:pPr>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sz w:val="18"/>
                <w:szCs w:val="18"/>
                <w:highlight w:val="none"/>
                <w:vertAlign w:val="baseline"/>
                <w:lang w:eastAsia="zh-CN"/>
              </w:rPr>
              <w:t>临时生活</w:t>
            </w:r>
            <w:r>
              <w:rPr>
                <w:rFonts w:hint="eastAsia" w:ascii="Times New Roman" w:hAnsi="Times New Roman" w:eastAsia="仿宋_GB2312" w:cs="Times New Roman"/>
                <w:color w:val="auto"/>
                <w:sz w:val="18"/>
                <w:szCs w:val="18"/>
                <w:highlight w:val="none"/>
                <w:vertAlign w:val="baseline"/>
                <w:lang w:val="en-US" w:eastAsia="zh-CN"/>
              </w:rPr>
              <w:t>场地</w:t>
            </w:r>
          </w:p>
        </w:tc>
        <w:tc>
          <w:tcPr>
            <w:tcW w:w="3827"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2000</w:t>
            </w:r>
          </w:p>
        </w:tc>
      </w:tr>
    </w:tbl>
    <w:p>
      <w:pPr>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XwBjAHAAXwBFAFAARgByAHQAMQAwAHUATQBCAFoAbgBkAHgALwBLAGUAeQA2AFcAWQBkAEcAKwB1
AE8AZABrAEkAUQB1ADAAZQA3AFoAQgBDAGgAKwBCAFIASwB0AEsAeQBOAGIAQwBiADYASgBTADEA
ZwA9AD0A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4.3.4</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预测结果</w:t>
      </w:r>
    </w:p>
    <w:p>
      <w:pPr>
        <w:keepNext/>
        <w:keepLines/>
        <w:adjustRightInd w:val="0"/>
        <w:snapToGrid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4.3.4.1计算方法</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工程扰动地表可能造成水土流失采用《生产建设项目水土保持技术标准》（GB50433-2018）推荐的经验公式进行预测，具体计算公式如下：</w:t>
      </w:r>
    </w:p>
    <w:p>
      <w:pPr>
        <w:adjustRightInd w:val="0"/>
        <w:snapToGrid w:val="0"/>
        <w:ind w:firstLine="480" w:firstLineChars="20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object>
          <v:shape id="_x0000_i1025" o:spt="75" type="#_x0000_t75" style="height:32.1pt;width:173.9pt;" o:ole="t" filled="f" o:preferrelative="t" stroked="f" coordsize="21600,21600">
            <v:path/>
            <v:fill on="f" focussize="0,0"/>
            <v:stroke on="f" joinstyle="miter"/>
            <v:imagedata r:id="rId32" o:title=""/>
            <o:lock v:ext="edit" aspectratio="t"/>
            <w10:wrap type="none"/>
            <w10:anchorlock/>
          </v:shape>
          <o:OLEObject Type="Embed" ProgID="Equation.3" ShapeID="_x0000_i1025" DrawAspect="Content" ObjectID="_1468075725" r:id="rId31">
            <o:LockedField>false</o:LockedField>
          </o:OLEObject>
        </w:object>
      </w:r>
    </w:p>
    <w:p>
      <w:pPr>
        <w:adjustRightInd w:val="0"/>
        <w:snapToGrid w:val="0"/>
        <w:ind w:firstLine="480" w:firstLineChars="200"/>
        <w:jc w:val="center"/>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object>
          <v:shape id="_x0000_i1026" o:spt="75" type="#_x0000_t75" style="height:32.1pt;width:176.1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3">
            <o:LockedField>false</o:LockedField>
          </o:OLEObject>
        </w:objec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式中：</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W－土壤流失量，t；</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Cambria Math"/>
          <w:color w:val="auto"/>
          <w:sz w:val="24"/>
          <w:highlight w:val="none"/>
        </w:rPr>
        <w:t>△</w:t>
      </w:r>
      <w:r>
        <w:rPr>
          <w:rFonts w:ascii="Times New Roman" w:hAnsi="Times New Roman" w:eastAsia="仿宋_GB2312" w:cs="Times New Roman"/>
          <w:color w:val="auto"/>
          <w:sz w:val="24"/>
          <w:highlight w:val="none"/>
        </w:rPr>
        <w:t>W－新增土壤流失量，t；</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F</w:t>
      </w:r>
      <w:r>
        <w:rPr>
          <w:rFonts w:ascii="Times New Roman" w:hAnsi="Times New Roman" w:eastAsia="仿宋_GB2312" w:cs="Times New Roman"/>
          <w:color w:val="auto"/>
          <w:sz w:val="24"/>
          <w:highlight w:val="none"/>
          <w:vertAlign w:val="subscript"/>
        </w:rPr>
        <w:t>ji</w:t>
      </w:r>
      <w:r>
        <w:rPr>
          <w:rFonts w:ascii="Times New Roman" w:hAnsi="Times New Roman" w:eastAsia="仿宋_GB2312" w:cs="Times New Roman"/>
          <w:color w:val="auto"/>
          <w:sz w:val="24"/>
          <w:highlight w:val="none"/>
        </w:rPr>
        <w:t>－某时段某单元的预测面积，km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M</w:t>
      </w:r>
      <w:r>
        <w:rPr>
          <w:rFonts w:ascii="Times New Roman" w:hAnsi="Times New Roman" w:eastAsia="仿宋_GB2312" w:cs="Times New Roman"/>
          <w:color w:val="auto"/>
          <w:sz w:val="24"/>
          <w:highlight w:val="none"/>
          <w:vertAlign w:val="subscript"/>
        </w:rPr>
        <w:t>ji</w:t>
      </w:r>
      <w:r>
        <w:rPr>
          <w:rFonts w:ascii="Times New Roman" w:hAnsi="Times New Roman" w:eastAsia="仿宋_GB2312" w:cs="Times New Roman"/>
          <w:color w:val="auto"/>
          <w:sz w:val="24"/>
          <w:highlight w:val="none"/>
        </w:rPr>
        <w:t>－某时段某单元的土壤侵蚀模数，t/km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·a；</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M</w:t>
      </w:r>
      <w:r>
        <w:rPr>
          <w:rFonts w:ascii="Times New Roman" w:hAnsi="Times New Roman" w:eastAsia="仿宋_GB2312" w:cs="Times New Roman"/>
          <w:color w:val="auto"/>
          <w:sz w:val="24"/>
          <w:highlight w:val="none"/>
          <w:vertAlign w:val="subscript"/>
        </w:rPr>
        <w:t>ji</w:t>
      </w:r>
      <w:r>
        <w:rPr>
          <w:rFonts w:ascii="Times New Roman" w:hAnsi="Times New Roman" w:eastAsia="仿宋_GB2312" w:cs="Times New Roman"/>
          <w:color w:val="auto"/>
          <w:sz w:val="24"/>
          <w:highlight w:val="none"/>
        </w:rPr>
        <w:t>－某时段某单元的新增土壤侵蚀模数，t/km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·a，只计正值，负值按0计；</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T</w:t>
      </w:r>
      <w:r>
        <w:rPr>
          <w:rFonts w:ascii="Times New Roman" w:hAnsi="Times New Roman" w:eastAsia="仿宋_GB2312" w:cs="Times New Roman"/>
          <w:color w:val="auto"/>
          <w:sz w:val="24"/>
          <w:highlight w:val="none"/>
          <w:vertAlign w:val="subscript"/>
        </w:rPr>
        <w:t>ji</w:t>
      </w:r>
      <w:r>
        <w:rPr>
          <w:rFonts w:ascii="Times New Roman" w:hAnsi="Times New Roman" w:eastAsia="仿宋_GB2312" w:cs="Times New Roman"/>
          <w:color w:val="auto"/>
          <w:sz w:val="24"/>
          <w:highlight w:val="none"/>
        </w:rPr>
        <w:t>－某时段某单元的预测时间，a；</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i－预测单元，i=1、2、3、……、n；　</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j－预测时段，j=1、2，指施工期和自然恢复期。</w:t>
      </w:r>
    </w:p>
    <w:p>
      <w:pPr>
        <w:keepNext/>
        <w:keepLines/>
        <w:adjustRightInd w:val="0"/>
        <w:snapToGrid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4.3.4.2计算结果</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根据《生产建设项目水土保持方案技术规范》（GB50433-2018），工程新增水土流失预测基础为假设不采取任何防护措施下可能产生的水土流失量和危害。根据对项目区水土流失现状调查及工程建设对水土流失的影响分析。新增水土流失产生于施工期和自然恢复期两个阶段。施工期的大量开挖，是水土流失最强烈的时期；自然恢复期，因水土保持工程效益发挥的滞后性和裸露地表自然植被生态恢复的延时性，项目区尚存在一定的水土流失，但呈逐渐减弱趋势。本方案对施工期及自然恢复期水土流失总量和新增水土流失量进行预测</w:t>
      </w:r>
      <w:r>
        <w:rPr>
          <w:rFonts w:hint="eastAsia" w:ascii="Times New Roman" w:hAnsi="Times New Roman" w:eastAsia="仿宋_GB2312" w:cs="Times New Roman"/>
          <w:color w:val="auto"/>
          <w:sz w:val="24"/>
          <w:highlight w:val="none"/>
          <w:lang w:val="en-US" w:eastAsia="zh-CN"/>
        </w:rPr>
        <w:t>。</w:t>
      </w:r>
      <w:r>
        <w:rPr>
          <w:rFonts w:ascii="Times New Roman" w:hAnsi="Times New Roman" w:eastAsia="仿宋_GB2312" w:cs="Times New Roman"/>
          <w:color w:val="auto"/>
          <w:sz w:val="24"/>
          <w:highlight w:val="none"/>
        </w:rPr>
        <w:t>经预测分析，工程建设期间可能产生土壤流失总量</w:t>
      </w:r>
      <w:r>
        <w:rPr>
          <w:rFonts w:hint="eastAsia" w:ascii="Times New Roman" w:hAnsi="Times New Roman" w:eastAsia="仿宋_GB2312" w:cs="Times New Roman"/>
          <w:color w:val="auto"/>
          <w:sz w:val="24"/>
          <w:highlight w:val="none"/>
          <w:lang w:val="en-US" w:eastAsia="zh-CN"/>
        </w:rPr>
        <w:t>185.38t</w:t>
      </w:r>
      <w:r>
        <w:rPr>
          <w:rFonts w:ascii="Times New Roman" w:hAnsi="Times New Roman" w:eastAsia="仿宋_GB2312" w:cs="Times New Roman"/>
          <w:color w:val="auto"/>
          <w:sz w:val="24"/>
          <w:highlight w:val="none"/>
        </w:rPr>
        <w:t>，新增水土流失量</w:t>
      </w:r>
      <w:r>
        <w:rPr>
          <w:rFonts w:hint="eastAsia" w:ascii="Times New Roman" w:hAnsi="Times New Roman" w:eastAsia="仿宋_GB2312" w:cs="Times New Roman"/>
          <w:color w:val="auto"/>
          <w:sz w:val="24"/>
          <w:highlight w:val="none"/>
          <w:lang w:val="en-US" w:eastAsia="zh-CN"/>
        </w:rPr>
        <w:t>110.32t</w:t>
      </w:r>
      <w:r>
        <w:rPr>
          <w:rFonts w:ascii="Times New Roman" w:hAnsi="Times New Roman" w:eastAsia="仿宋_GB2312" w:cs="Times New Roman"/>
          <w:color w:val="auto"/>
          <w:sz w:val="24"/>
          <w:highlight w:val="none"/>
        </w:rPr>
        <w:t>，其中</w:t>
      </w:r>
      <w:r>
        <w:rPr>
          <w:rFonts w:hint="eastAsia" w:ascii="Times New Roman" w:hAnsi="Times New Roman" w:eastAsia="仿宋_GB2312" w:cs="Times New Roman"/>
          <w:color w:val="auto"/>
          <w:sz w:val="24"/>
          <w:highlight w:val="none"/>
        </w:rPr>
        <w:t>施工期</w:t>
      </w:r>
      <w:r>
        <w:rPr>
          <w:rFonts w:ascii="Times New Roman" w:hAnsi="Times New Roman" w:eastAsia="仿宋_GB2312" w:cs="Times New Roman"/>
          <w:color w:val="auto"/>
          <w:sz w:val="24"/>
          <w:highlight w:val="none"/>
        </w:rPr>
        <w:t>新增</w:t>
      </w:r>
      <w:r>
        <w:rPr>
          <w:rFonts w:hint="eastAsia" w:ascii="Times New Roman" w:hAnsi="Times New Roman" w:eastAsia="仿宋_GB2312" w:cs="Times New Roman"/>
          <w:color w:val="auto"/>
          <w:sz w:val="24"/>
          <w:highlight w:val="none"/>
          <w:lang w:val="en-US" w:eastAsia="zh-CN"/>
        </w:rPr>
        <w:t>85.56</w:t>
      </w:r>
      <w:r>
        <w:rPr>
          <w:rFonts w:ascii="Times New Roman" w:hAnsi="Times New Roman" w:eastAsia="仿宋_GB2312" w:cs="Times New Roman"/>
          <w:color w:val="auto"/>
          <w:sz w:val="24"/>
          <w:highlight w:val="none"/>
        </w:rPr>
        <w:t>t，占比约</w:t>
      </w:r>
      <w:r>
        <w:rPr>
          <w:rFonts w:hint="eastAsia" w:ascii="Times New Roman" w:hAnsi="Times New Roman" w:eastAsia="仿宋_GB2312" w:cs="Times New Roman"/>
          <w:color w:val="auto"/>
          <w:sz w:val="24"/>
          <w:highlight w:val="none"/>
          <w:lang w:val="en-US" w:eastAsia="zh-CN"/>
        </w:rPr>
        <w:t>77.56</w:t>
      </w: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w:t>
      </w:r>
      <w:r>
        <w:rPr>
          <w:rFonts w:hint="eastAsia" w:ascii="Times New Roman" w:hAnsi="Times New Roman" w:eastAsia="仿宋_GB2312" w:cs="Times New Roman"/>
          <w:color w:val="auto"/>
          <w:sz w:val="24"/>
          <w:highlight w:val="none"/>
        </w:rPr>
        <w:t>施工期</w:t>
      </w:r>
      <w:r>
        <w:rPr>
          <w:rFonts w:ascii="Times New Roman" w:hAnsi="Times New Roman" w:eastAsia="仿宋_GB2312" w:cs="Times New Roman"/>
          <w:color w:val="auto"/>
          <w:sz w:val="24"/>
          <w:highlight w:val="none"/>
        </w:rPr>
        <w:t>是水土流失发生的主要时段，井场及附属工程区是水土流失重点区域。预测成果</w:t>
      </w:r>
      <w:r>
        <w:rPr>
          <w:rFonts w:hint="eastAsia" w:ascii="Times New Roman" w:hAnsi="Times New Roman" w:eastAsia="仿宋_GB2312" w:cs="Times New Roman"/>
          <w:color w:val="auto"/>
          <w:sz w:val="24"/>
          <w:highlight w:val="none"/>
          <w:lang w:val="en-US" w:eastAsia="zh-CN"/>
        </w:rPr>
        <w:t>如下</w:t>
      </w:r>
      <w:r>
        <w:rPr>
          <w:rFonts w:ascii="Times New Roman" w:hAnsi="Times New Roman" w:eastAsia="仿宋_GB2312" w:cs="Times New Roman"/>
          <w:color w:val="auto"/>
          <w:sz w:val="24"/>
          <w:highlight w:val="none"/>
        </w:rPr>
        <w:t>。</w:t>
      </w:r>
    </w:p>
    <w:p>
      <w:pPr>
        <w:spacing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t>表4.3-4</w:t>
      </w:r>
      <w:r>
        <w:rPr>
          <w:rFonts w:hint="eastAsia" w:ascii="Times New Roman" w:hAnsi="Times New Roman" w:eastAsia="仿宋_GB2312" w:cs="Times New Roman"/>
          <w:b/>
          <w:color w:val="auto"/>
          <w:highlight w:val="none"/>
          <w:lang w:val="en-US" w:eastAsia="zh-CN"/>
        </w:rPr>
        <w:t xml:space="preserve"> </w:t>
      </w:r>
      <w:r>
        <w:rPr>
          <w:rFonts w:ascii="Times New Roman" w:hAnsi="Times New Roman" w:eastAsia="仿宋_GB2312" w:cs="Times New Roman"/>
          <w:b/>
          <w:color w:val="auto"/>
          <w:highlight w:val="none"/>
        </w:rPr>
        <w:t>项目施工期</w:t>
      </w:r>
      <w:r>
        <w:rPr>
          <w:rFonts w:hint="eastAsia" w:ascii="Times New Roman" w:hAnsi="Times New Roman" w:eastAsia="仿宋_GB2312" w:cs="Times New Roman"/>
          <w:b/>
          <w:color w:val="auto"/>
          <w:highlight w:val="none"/>
        </w:rPr>
        <w:t>（含施工准备期）</w:t>
      </w:r>
      <w:r>
        <w:rPr>
          <w:rFonts w:ascii="Times New Roman" w:hAnsi="Times New Roman" w:eastAsia="仿宋_GB2312" w:cs="Times New Roman"/>
          <w:b/>
          <w:color w:val="auto"/>
          <w:szCs w:val="20"/>
          <w:highlight w:val="none"/>
        </w:rPr>
        <w:t>水土流失</w:t>
      </w:r>
      <w:r>
        <w:rPr>
          <w:rFonts w:ascii="Times New Roman" w:hAnsi="Times New Roman" w:eastAsia="仿宋_GB2312" w:cs="Times New Roman"/>
          <w:b/>
          <w:color w:val="auto"/>
          <w:highlight w:val="none"/>
        </w:rPr>
        <w:t>量计算表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28" w:type="dxa"/>
          <w:bottom w:w="28" w:type="dxa"/>
          <w:right w:w="28" w:type="dxa"/>
        </w:tblCellMar>
      </w:tblPr>
      <w:tblGrid>
        <w:gridCol w:w="1316"/>
        <w:gridCol w:w="2096"/>
        <w:gridCol w:w="820"/>
        <w:gridCol w:w="961"/>
        <w:gridCol w:w="678"/>
        <w:gridCol w:w="614"/>
        <w:gridCol w:w="729"/>
        <w:gridCol w:w="729"/>
        <w:gridCol w:w="7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blHeader/>
        </w:trPr>
        <w:tc>
          <w:tcPr>
            <w:tcW w:w="1897" w:type="pct"/>
            <w:gridSpan w:val="2"/>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预测单元</w:t>
            </w:r>
          </w:p>
        </w:tc>
        <w:tc>
          <w:tcPr>
            <w:tcW w:w="49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背景侵</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蚀模数</w:t>
            </w:r>
          </w:p>
        </w:tc>
        <w:tc>
          <w:tcPr>
            <w:tcW w:w="57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扰动后</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侵蚀模数</w:t>
            </w:r>
          </w:p>
        </w:tc>
        <w:tc>
          <w:tcPr>
            <w:tcW w:w="408"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侵蚀</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面积</w:t>
            </w:r>
          </w:p>
        </w:tc>
        <w:tc>
          <w:tcPr>
            <w:tcW w:w="37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侵蚀</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时间</w:t>
            </w:r>
          </w:p>
        </w:tc>
        <w:tc>
          <w:tcPr>
            <w:tcW w:w="42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背景</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流失量</w:t>
            </w:r>
          </w:p>
        </w:tc>
        <w:tc>
          <w:tcPr>
            <w:tcW w:w="42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预测</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流失量</w:t>
            </w:r>
          </w:p>
        </w:tc>
        <w:tc>
          <w:tcPr>
            <w:tcW w:w="42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新增</w:t>
            </w:r>
          </w:p>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流失量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blHeader/>
        </w:trPr>
        <w:tc>
          <w:tcPr>
            <w:tcW w:w="1897" w:type="pct"/>
            <w:gridSpan w:val="2"/>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49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r>
              <w:rPr>
                <w:rFonts w:hint="default" w:ascii="Times New Roman" w:hAnsi="Times New Roman" w:eastAsia="仿宋_GB2312" w:cs="Times New Roman"/>
                <w:color w:val="auto"/>
                <w:kern w:val="0"/>
                <w:sz w:val="18"/>
                <w:szCs w:val="18"/>
                <w:highlight w:val="none"/>
              </w:rPr>
              <w:t>(</w:t>
            </w:r>
            <w:r>
              <w:rPr>
                <w:rFonts w:hint="default" w:ascii="Times New Roman" w:hAnsi="Times New Roman" w:eastAsia="宋体" w:cs="Times New Roman"/>
                <w:color w:val="auto"/>
                <w:kern w:val="0"/>
                <w:sz w:val="18"/>
                <w:szCs w:val="18"/>
                <w:highlight w:val="none"/>
              </w:rPr>
              <w:t>km</w:t>
            </w:r>
            <w:r>
              <w:rPr>
                <w:rFonts w:hint="default" w:ascii="Times New Roman" w:hAnsi="Times New Roman" w:eastAsia="宋体" w:cs="Times New Roman"/>
                <w:color w:val="auto"/>
                <w:kern w:val="0"/>
                <w:sz w:val="18"/>
                <w:szCs w:val="18"/>
                <w:highlight w:val="none"/>
                <w:vertAlign w:val="superscript"/>
              </w:rPr>
              <w:t>2</w:t>
            </w:r>
            <w:r>
              <w:rPr>
                <w:rFonts w:hint="default" w:ascii="Times New Roman" w:hAnsi="Times New Roman" w:eastAsia="宋体" w:cs="Times New Roman"/>
                <w:color w:val="auto"/>
                <w:kern w:val="0"/>
                <w:sz w:val="18"/>
                <w:szCs w:val="18"/>
                <w:highlight w:val="none"/>
              </w:rPr>
              <w:t>·a</w:t>
            </w:r>
            <w:r>
              <w:rPr>
                <w:rFonts w:hint="default" w:ascii="Times New Roman" w:hAnsi="Times New Roman" w:eastAsia="仿宋_GB2312" w:cs="Times New Roman"/>
                <w:color w:val="auto"/>
                <w:kern w:val="0"/>
                <w:sz w:val="18"/>
                <w:szCs w:val="18"/>
                <w:highlight w:val="none"/>
              </w:rPr>
              <w:t>)</w:t>
            </w:r>
          </w:p>
        </w:tc>
        <w:tc>
          <w:tcPr>
            <w:tcW w:w="57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r>
              <w:rPr>
                <w:rFonts w:hint="default" w:ascii="Times New Roman" w:hAnsi="Times New Roman" w:eastAsia="仿宋_GB2312" w:cs="Times New Roman"/>
                <w:color w:val="auto"/>
                <w:kern w:val="0"/>
                <w:sz w:val="18"/>
                <w:szCs w:val="18"/>
                <w:highlight w:val="none"/>
              </w:rPr>
              <w:t>(</w:t>
            </w:r>
            <w:r>
              <w:rPr>
                <w:rFonts w:hint="default" w:ascii="Times New Roman" w:hAnsi="Times New Roman" w:eastAsia="宋体" w:cs="Times New Roman"/>
                <w:color w:val="auto"/>
                <w:kern w:val="0"/>
                <w:sz w:val="18"/>
                <w:szCs w:val="18"/>
                <w:highlight w:val="none"/>
              </w:rPr>
              <w:t>km</w:t>
            </w:r>
            <w:r>
              <w:rPr>
                <w:rFonts w:hint="default" w:ascii="Times New Roman" w:hAnsi="Times New Roman" w:eastAsia="宋体" w:cs="Times New Roman"/>
                <w:color w:val="auto"/>
                <w:kern w:val="0"/>
                <w:sz w:val="18"/>
                <w:szCs w:val="18"/>
                <w:highlight w:val="none"/>
                <w:vertAlign w:val="superscript"/>
              </w:rPr>
              <w:t>2</w:t>
            </w:r>
            <w:r>
              <w:rPr>
                <w:rFonts w:hint="default" w:ascii="Times New Roman" w:hAnsi="Times New Roman" w:eastAsia="宋体" w:cs="Times New Roman"/>
                <w:color w:val="auto"/>
                <w:kern w:val="0"/>
                <w:sz w:val="18"/>
                <w:szCs w:val="18"/>
                <w:highlight w:val="none"/>
              </w:rPr>
              <w:t>·a</w:t>
            </w:r>
            <w:r>
              <w:rPr>
                <w:rFonts w:hint="default" w:ascii="Times New Roman" w:hAnsi="Times New Roman" w:eastAsia="仿宋_GB2312" w:cs="Times New Roman"/>
                <w:color w:val="auto"/>
                <w:kern w:val="0"/>
                <w:sz w:val="18"/>
                <w:szCs w:val="18"/>
                <w:highlight w:val="none"/>
              </w:rPr>
              <w:t>)</w:t>
            </w:r>
          </w:p>
        </w:tc>
        <w:tc>
          <w:tcPr>
            <w:tcW w:w="408"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hm</w:t>
            </w:r>
            <w:r>
              <w:rPr>
                <w:rFonts w:hint="default" w:ascii="Times New Roman" w:hAnsi="Times New Roman" w:eastAsia="宋体" w:cs="Times New Roman"/>
                <w:color w:val="auto"/>
                <w:kern w:val="0"/>
                <w:sz w:val="18"/>
                <w:szCs w:val="18"/>
                <w:highlight w:val="none"/>
                <w:vertAlign w:val="superscript"/>
              </w:rPr>
              <w:t>2</w:t>
            </w:r>
          </w:p>
        </w:tc>
        <w:tc>
          <w:tcPr>
            <w:tcW w:w="371"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a</w:t>
            </w:r>
          </w:p>
        </w:tc>
        <w:tc>
          <w:tcPr>
            <w:tcW w:w="42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p>
        </w:tc>
        <w:tc>
          <w:tcPr>
            <w:tcW w:w="42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p>
        </w:tc>
        <w:tc>
          <w:tcPr>
            <w:tcW w:w="420"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井场及附属</w:t>
            </w:r>
            <w:r>
              <w:rPr>
                <w:rFonts w:hint="default" w:ascii="Times New Roman" w:hAnsi="Times New Roman" w:eastAsia="仿宋_GB2312" w:cs="Times New Roman"/>
                <w:color w:val="auto"/>
                <w:kern w:val="0"/>
                <w:sz w:val="18"/>
                <w:szCs w:val="18"/>
                <w:highlight w:val="none"/>
              </w:rPr>
              <w:t>工程</w:t>
            </w:r>
          </w:p>
        </w:tc>
        <w:tc>
          <w:tcPr>
            <w:tcW w:w="1225"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上方有来水工程开挖面</w:t>
            </w:r>
          </w:p>
        </w:tc>
        <w:tc>
          <w:tcPr>
            <w:tcW w:w="49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6500</w:t>
            </w:r>
          </w:p>
        </w:tc>
        <w:tc>
          <w:tcPr>
            <w:tcW w:w="40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0.54</w:t>
            </w:r>
          </w:p>
        </w:tc>
        <w:tc>
          <w:tcPr>
            <w:tcW w:w="3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8.1</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35.1</w:t>
            </w:r>
          </w:p>
        </w:tc>
        <w:tc>
          <w:tcPr>
            <w:tcW w:w="730"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25"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上方无来水工程堆积体</w:t>
            </w:r>
          </w:p>
        </w:tc>
        <w:tc>
          <w:tcPr>
            <w:tcW w:w="49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6800</w:t>
            </w:r>
          </w:p>
        </w:tc>
        <w:tc>
          <w:tcPr>
            <w:tcW w:w="40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0.59</w:t>
            </w:r>
          </w:p>
        </w:tc>
        <w:tc>
          <w:tcPr>
            <w:tcW w:w="3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8.85</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40.12</w:t>
            </w:r>
          </w:p>
        </w:tc>
        <w:tc>
          <w:tcPr>
            <w:tcW w:w="730"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31.27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25"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小计</w:t>
            </w:r>
          </w:p>
        </w:tc>
        <w:tc>
          <w:tcPr>
            <w:tcW w:w="490" w:type="pct"/>
            <w:vAlign w:val="center"/>
          </w:tcPr>
          <w:p>
            <w:pPr>
              <w:adjustRightInd w:val="0"/>
              <w:snapToGrid w:val="0"/>
              <w:jc w:val="center"/>
              <w:rPr>
                <w:rFonts w:hint="default" w:ascii="Times New Roman" w:hAnsi="Times New Roman" w:eastAsia="宋体" w:cs="Times New Roman"/>
                <w:color w:val="auto"/>
                <w:sz w:val="18"/>
                <w:szCs w:val="18"/>
                <w:highlight w:val="none"/>
              </w:rPr>
            </w:pPr>
          </w:p>
        </w:tc>
        <w:tc>
          <w:tcPr>
            <w:tcW w:w="571" w:type="pct"/>
            <w:noWrap/>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408"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1.13</w:t>
            </w:r>
          </w:p>
        </w:tc>
        <w:tc>
          <w:tcPr>
            <w:tcW w:w="371" w:type="pct"/>
            <w:noWrap/>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72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16.95</w:t>
            </w:r>
          </w:p>
        </w:tc>
        <w:tc>
          <w:tcPr>
            <w:tcW w:w="72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75.22</w:t>
            </w:r>
          </w:p>
        </w:tc>
        <w:tc>
          <w:tcPr>
            <w:tcW w:w="73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58.27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施工临时</w:t>
            </w:r>
          </w:p>
          <w:p>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仿宋_GB2312" w:cs="Times New Roman"/>
                <w:color w:val="auto"/>
                <w:kern w:val="0"/>
                <w:sz w:val="18"/>
                <w:szCs w:val="18"/>
                <w:highlight w:val="none"/>
                <w:lang w:val="en-US" w:eastAsia="zh-CN"/>
              </w:rPr>
            </w:pPr>
            <w:r>
              <w:rPr>
                <w:rFonts w:hint="default" w:ascii="Times New Roman" w:hAnsi="Times New Roman" w:eastAsia="仿宋_GB2312" w:cs="Times New Roman"/>
                <w:color w:val="auto"/>
                <w:kern w:val="0"/>
                <w:sz w:val="18"/>
                <w:szCs w:val="18"/>
                <w:highlight w:val="none"/>
              </w:rPr>
              <w:t>生活</w:t>
            </w:r>
            <w:r>
              <w:rPr>
                <w:rFonts w:hint="eastAsia" w:ascii="Times New Roman" w:hAnsi="Times New Roman" w:eastAsia="仿宋_GB2312" w:cs="Times New Roman"/>
                <w:color w:val="auto"/>
                <w:kern w:val="0"/>
                <w:sz w:val="18"/>
                <w:szCs w:val="18"/>
                <w:highlight w:val="none"/>
                <w:lang w:val="en-US" w:eastAsia="zh-CN"/>
              </w:rPr>
              <w:t>场地</w:t>
            </w:r>
          </w:p>
        </w:tc>
        <w:tc>
          <w:tcPr>
            <w:tcW w:w="1225"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植被破坏型一般扰动地表</w:t>
            </w:r>
          </w:p>
        </w:tc>
        <w:tc>
          <w:tcPr>
            <w:tcW w:w="49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1552</w:t>
            </w:r>
          </w:p>
        </w:tc>
        <w:tc>
          <w:tcPr>
            <w:tcW w:w="5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4500</w:t>
            </w:r>
          </w:p>
        </w:tc>
        <w:tc>
          <w:tcPr>
            <w:tcW w:w="40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0.23</w:t>
            </w:r>
          </w:p>
        </w:tc>
        <w:tc>
          <w:tcPr>
            <w:tcW w:w="371"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3.57 </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10.35</w:t>
            </w:r>
          </w:p>
        </w:tc>
        <w:tc>
          <w:tcPr>
            <w:tcW w:w="730"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6.78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表土堆放场</w:t>
            </w:r>
          </w:p>
        </w:tc>
        <w:tc>
          <w:tcPr>
            <w:tcW w:w="1225"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上方无来水工程堆积体</w:t>
            </w:r>
          </w:p>
        </w:tc>
        <w:tc>
          <w:tcPr>
            <w:tcW w:w="49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6500</w:t>
            </w:r>
          </w:p>
        </w:tc>
        <w:tc>
          <w:tcPr>
            <w:tcW w:w="40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c>
          <w:tcPr>
            <w:tcW w:w="3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6.5</w:t>
            </w:r>
          </w:p>
        </w:tc>
        <w:tc>
          <w:tcPr>
            <w:tcW w:w="730"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vMerge w:val="restar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r>
              <w:rPr>
                <w:rFonts w:hint="default" w:ascii="Times New Roman" w:hAnsi="Times New Roman" w:eastAsia="仿宋_GB2312" w:cs="Times New Roman"/>
                <w:color w:val="auto"/>
                <w:kern w:val="0"/>
                <w:sz w:val="18"/>
                <w:szCs w:val="18"/>
                <w:highlight w:val="none"/>
              </w:rPr>
              <w:t>道路工程</w:t>
            </w:r>
          </w:p>
        </w:tc>
        <w:tc>
          <w:tcPr>
            <w:tcW w:w="1225"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上方有来水工程开挖面</w:t>
            </w:r>
          </w:p>
        </w:tc>
        <w:tc>
          <w:tcPr>
            <w:tcW w:w="49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6500</w:t>
            </w:r>
          </w:p>
        </w:tc>
        <w:tc>
          <w:tcPr>
            <w:tcW w:w="40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0.13</w:t>
            </w:r>
          </w:p>
        </w:tc>
        <w:tc>
          <w:tcPr>
            <w:tcW w:w="3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29"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1.95</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8.45</w:t>
            </w:r>
          </w:p>
        </w:tc>
        <w:tc>
          <w:tcPr>
            <w:tcW w:w="730"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25" w:type="pct"/>
            <w:noWrap/>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上方无来水工程堆积体</w:t>
            </w:r>
          </w:p>
        </w:tc>
        <w:tc>
          <w:tcPr>
            <w:tcW w:w="49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5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6800</w:t>
            </w:r>
          </w:p>
        </w:tc>
        <w:tc>
          <w:tcPr>
            <w:tcW w:w="40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0.17</w:t>
            </w:r>
          </w:p>
        </w:tc>
        <w:tc>
          <w:tcPr>
            <w:tcW w:w="37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2.55</w:t>
            </w:r>
          </w:p>
        </w:tc>
        <w:tc>
          <w:tcPr>
            <w:tcW w:w="72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11.56</w:t>
            </w:r>
          </w:p>
        </w:tc>
        <w:tc>
          <w:tcPr>
            <w:tcW w:w="730"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9.01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672" w:type="pct"/>
            <w:vMerge w:val="continue"/>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kern w:val="0"/>
                <w:sz w:val="18"/>
                <w:szCs w:val="18"/>
                <w:highlight w:val="none"/>
              </w:rPr>
            </w:pPr>
          </w:p>
        </w:tc>
        <w:tc>
          <w:tcPr>
            <w:tcW w:w="1225" w:type="pct"/>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小计</w:t>
            </w:r>
          </w:p>
        </w:tc>
        <w:tc>
          <w:tcPr>
            <w:tcW w:w="490" w:type="pct"/>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571" w:type="pct"/>
            <w:noWrap/>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408"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0.30</w:t>
            </w:r>
          </w:p>
        </w:tc>
        <w:tc>
          <w:tcPr>
            <w:tcW w:w="371" w:type="pct"/>
            <w:noWrap/>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729" w:type="dxa"/>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4.5</w:t>
            </w:r>
          </w:p>
        </w:tc>
        <w:tc>
          <w:tcPr>
            <w:tcW w:w="72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20.01</w:t>
            </w:r>
          </w:p>
        </w:tc>
        <w:tc>
          <w:tcPr>
            <w:tcW w:w="73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28" w:type="dxa"/>
            <w:bottom w:w="28" w:type="dxa"/>
            <w:right w:w="28" w:type="dxa"/>
          </w:tblCellMar>
        </w:tblPrEx>
        <w:trPr>
          <w:trHeight w:val="340" w:hRule="atLeast"/>
        </w:trPr>
        <w:tc>
          <w:tcPr>
            <w:tcW w:w="1897" w:type="pct"/>
            <w:gridSpan w:val="2"/>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仿宋_GB2312" w:cs="Times New Roman"/>
                <w:color w:val="auto"/>
                <w:sz w:val="18"/>
                <w:szCs w:val="18"/>
                <w:highlight w:val="none"/>
              </w:rPr>
            </w:pPr>
            <w:r>
              <w:rPr>
                <w:rFonts w:hint="default" w:ascii="Times New Roman" w:hAnsi="Times New Roman" w:eastAsia="仿宋_GB2312" w:cs="Times New Roman"/>
                <w:color w:val="auto"/>
                <w:sz w:val="18"/>
                <w:szCs w:val="18"/>
                <w:highlight w:val="none"/>
              </w:rPr>
              <w:t>合计</w:t>
            </w:r>
          </w:p>
        </w:tc>
        <w:tc>
          <w:tcPr>
            <w:tcW w:w="490" w:type="pct"/>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571" w:type="pct"/>
            <w:noWrap/>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408"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1.76</w:t>
            </w:r>
          </w:p>
        </w:tc>
        <w:tc>
          <w:tcPr>
            <w:tcW w:w="371" w:type="pct"/>
            <w:noWrap/>
            <w:vAlign w:val="center"/>
          </w:tcPr>
          <w:p>
            <w:pPr>
              <w:adjustRightInd w:val="0"/>
              <w:snapToGrid w:val="0"/>
              <w:jc w:val="both"/>
              <w:rPr>
                <w:rFonts w:hint="default" w:ascii="Times New Roman" w:hAnsi="Times New Roman" w:eastAsia="宋体" w:cs="Times New Roman"/>
                <w:color w:val="auto"/>
                <w:sz w:val="18"/>
                <w:szCs w:val="18"/>
                <w:highlight w:val="none"/>
              </w:rPr>
            </w:pPr>
          </w:p>
        </w:tc>
        <w:tc>
          <w:tcPr>
            <w:tcW w:w="72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26.52 </w:t>
            </w:r>
          </w:p>
        </w:tc>
        <w:tc>
          <w:tcPr>
            <w:tcW w:w="72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112.08</w:t>
            </w:r>
          </w:p>
        </w:tc>
        <w:tc>
          <w:tcPr>
            <w:tcW w:w="73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85.56 </w:t>
            </w:r>
          </w:p>
        </w:tc>
      </w:tr>
    </w:tbl>
    <w:p>
      <w:pPr>
        <w:spacing w:before="120" w:beforeLines="50"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t>表4</w:t>
      </w:r>
      <w:r>
        <w:rPr>
          <w:rFonts w:hint="eastAsia" w:ascii="Times New Roman" w:hAnsi="Times New Roman" w:eastAsia="仿宋_GB2312" w:cs="Times New Roman"/>
          <w:b/>
          <w:color w:val="auto"/>
          <w:highlight w:val="none"/>
        </w:rPr>
        <w:t>.3-</w:t>
      </w:r>
      <w:r>
        <w:rPr>
          <w:rFonts w:hint="eastAsia" w:ascii="Times New Roman" w:hAnsi="Times New Roman" w:eastAsia="仿宋_GB2312" w:cs="Times New Roman"/>
          <w:b/>
          <w:color w:val="auto"/>
          <w:highlight w:val="none"/>
          <w:lang w:val="en-US" w:eastAsia="zh-CN"/>
        </w:rPr>
        <w:t>5</w:t>
      </w:r>
      <w:r>
        <w:rPr>
          <w:rFonts w:ascii="Times New Roman" w:hAnsi="Times New Roman" w:eastAsia="仿宋_GB2312" w:cs="Times New Roman"/>
          <w:b/>
          <w:color w:val="auto"/>
          <w:highlight w:val="none"/>
        </w:rPr>
        <w:t xml:space="preserve"> 项目自然</w:t>
      </w:r>
      <w:r>
        <w:rPr>
          <w:rFonts w:ascii="Times New Roman" w:hAnsi="Times New Roman" w:eastAsia="仿宋_GB2312" w:cs="Times New Roman"/>
          <w:b/>
          <w:color w:val="auto"/>
          <w:szCs w:val="20"/>
          <w:highlight w:val="none"/>
        </w:rPr>
        <w:t>恢复期</w:t>
      </w:r>
      <w:r>
        <w:rPr>
          <w:rFonts w:ascii="Times New Roman" w:hAnsi="Times New Roman" w:eastAsia="仿宋_GB2312" w:cs="Times New Roman"/>
          <w:b/>
          <w:color w:val="auto"/>
          <w:highlight w:val="none"/>
        </w:rPr>
        <w:t>水土流失量计算表</w:t>
      </w:r>
    </w:p>
    <w:tbl>
      <w:tblPr>
        <w:tblStyle w:val="115"/>
        <w:tblW w:w="84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28" w:type="dxa"/>
          <w:left w:w="108" w:type="dxa"/>
          <w:bottom w:w="28" w:type="dxa"/>
          <w:right w:w="108" w:type="dxa"/>
        </w:tblCellMar>
      </w:tblPr>
      <w:tblGrid>
        <w:gridCol w:w="1755"/>
        <w:gridCol w:w="1036"/>
        <w:gridCol w:w="1000"/>
        <w:gridCol w:w="909"/>
        <w:gridCol w:w="882"/>
        <w:gridCol w:w="1045"/>
        <w:gridCol w:w="955"/>
        <w:gridCol w:w="8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vMerge w:val="restart"/>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预测单元</w:t>
            </w:r>
          </w:p>
        </w:tc>
        <w:tc>
          <w:tcPr>
            <w:tcW w:w="1036"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背景侵</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蚀模数</w:t>
            </w:r>
          </w:p>
        </w:tc>
        <w:tc>
          <w:tcPr>
            <w:tcW w:w="1000"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扰动后</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侵蚀模数</w:t>
            </w:r>
          </w:p>
        </w:tc>
        <w:tc>
          <w:tcPr>
            <w:tcW w:w="909"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侵蚀</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面积</w:t>
            </w:r>
          </w:p>
        </w:tc>
        <w:tc>
          <w:tcPr>
            <w:tcW w:w="882"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侵蚀</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时间</w:t>
            </w:r>
          </w:p>
        </w:tc>
        <w:tc>
          <w:tcPr>
            <w:tcW w:w="1045"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背景</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流失量</w:t>
            </w:r>
          </w:p>
        </w:tc>
        <w:tc>
          <w:tcPr>
            <w:tcW w:w="955"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预测</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流失量</w:t>
            </w:r>
          </w:p>
        </w:tc>
        <w:tc>
          <w:tcPr>
            <w:tcW w:w="864"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新增</w:t>
            </w:r>
          </w:p>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流失量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p>
        </w:tc>
        <w:tc>
          <w:tcPr>
            <w:tcW w:w="103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r>
              <w:rPr>
                <w:rFonts w:hint="eastAsia" w:ascii="仿宋_GB2312" w:hAnsi="Times New Roman" w:eastAsia="仿宋_GB2312" w:cs="Times New Roman"/>
                <w:color w:val="auto"/>
                <w:kern w:val="0"/>
                <w:sz w:val="18"/>
                <w:szCs w:val="18"/>
                <w:highlight w:val="none"/>
              </w:rPr>
              <w:t>（</w:t>
            </w:r>
            <w:r>
              <w:rPr>
                <w:rFonts w:hint="default" w:ascii="Times New Roman" w:hAnsi="Times New Roman" w:eastAsia="宋体" w:cs="Times New Roman"/>
                <w:color w:val="auto"/>
                <w:kern w:val="0"/>
                <w:sz w:val="18"/>
                <w:szCs w:val="18"/>
                <w:highlight w:val="none"/>
              </w:rPr>
              <w:t>km</w:t>
            </w:r>
            <w:r>
              <w:rPr>
                <w:rFonts w:hint="default" w:ascii="Times New Roman" w:hAnsi="Times New Roman" w:eastAsia="宋体" w:cs="Times New Roman"/>
                <w:color w:val="auto"/>
                <w:kern w:val="0"/>
                <w:sz w:val="18"/>
                <w:szCs w:val="18"/>
                <w:highlight w:val="none"/>
                <w:vertAlign w:val="superscript"/>
              </w:rPr>
              <w:t>2</w:t>
            </w:r>
            <w:r>
              <w:rPr>
                <w:rFonts w:hint="default" w:ascii="Times New Roman" w:hAnsi="Times New Roman" w:eastAsia="宋体" w:cs="Times New Roman"/>
                <w:color w:val="auto"/>
                <w:kern w:val="0"/>
                <w:sz w:val="18"/>
                <w:szCs w:val="18"/>
                <w:highlight w:val="none"/>
              </w:rPr>
              <w:t>·a</w:t>
            </w:r>
            <w:r>
              <w:rPr>
                <w:rFonts w:hint="eastAsia" w:ascii="仿宋_GB2312" w:hAnsi="Times New Roman" w:eastAsia="仿宋_GB2312" w:cs="Times New Roman"/>
                <w:color w:val="auto"/>
                <w:kern w:val="0"/>
                <w:sz w:val="18"/>
                <w:szCs w:val="18"/>
                <w:highlight w:val="none"/>
              </w:rPr>
              <w:t>）</w:t>
            </w:r>
          </w:p>
        </w:tc>
        <w:tc>
          <w:tcPr>
            <w:tcW w:w="100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r>
              <w:rPr>
                <w:rFonts w:hint="eastAsia" w:ascii="仿宋_GB2312" w:hAnsi="Times New Roman" w:eastAsia="仿宋_GB2312" w:cs="Times New Roman"/>
                <w:color w:val="auto"/>
                <w:kern w:val="0"/>
                <w:sz w:val="18"/>
                <w:szCs w:val="18"/>
                <w:highlight w:val="none"/>
              </w:rPr>
              <w:t>（</w:t>
            </w:r>
            <w:r>
              <w:rPr>
                <w:rFonts w:hint="default" w:ascii="Times New Roman" w:hAnsi="Times New Roman" w:eastAsia="宋体" w:cs="Times New Roman"/>
                <w:color w:val="auto"/>
                <w:kern w:val="0"/>
                <w:sz w:val="18"/>
                <w:szCs w:val="18"/>
                <w:highlight w:val="none"/>
              </w:rPr>
              <w:t>km</w:t>
            </w:r>
            <w:r>
              <w:rPr>
                <w:rFonts w:hint="default" w:ascii="Times New Roman" w:hAnsi="Times New Roman" w:eastAsia="宋体" w:cs="Times New Roman"/>
                <w:color w:val="auto"/>
                <w:kern w:val="0"/>
                <w:sz w:val="18"/>
                <w:szCs w:val="18"/>
                <w:highlight w:val="none"/>
                <w:vertAlign w:val="superscript"/>
              </w:rPr>
              <w:t>2</w:t>
            </w:r>
            <w:r>
              <w:rPr>
                <w:rFonts w:hint="default" w:ascii="Times New Roman" w:hAnsi="Times New Roman" w:eastAsia="宋体" w:cs="Times New Roman"/>
                <w:color w:val="auto"/>
                <w:kern w:val="0"/>
                <w:sz w:val="18"/>
                <w:szCs w:val="18"/>
                <w:highlight w:val="none"/>
              </w:rPr>
              <w:t>·a</w:t>
            </w:r>
            <w:r>
              <w:rPr>
                <w:rFonts w:hint="eastAsia" w:ascii="仿宋_GB2312" w:hAnsi="Times New Roman" w:eastAsia="仿宋_GB2312" w:cs="Times New Roman"/>
                <w:color w:val="auto"/>
                <w:kern w:val="0"/>
                <w:sz w:val="18"/>
                <w:szCs w:val="18"/>
                <w:highlight w:val="none"/>
              </w:rPr>
              <w:t>）</w:t>
            </w:r>
          </w:p>
        </w:tc>
        <w:tc>
          <w:tcPr>
            <w:tcW w:w="909"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hm</w:t>
            </w:r>
            <w:r>
              <w:rPr>
                <w:rFonts w:hint="default" w:ascii="Times New Roman" w:hAnsi="Times New Roman" w:eastAsia="宋体" w:cs="Times New Roman"/>
                <w:color w:val="auto"/>
                <w:kern w:val="0"/>
                <w:sz w:val="18"/>
                <w:szCs w:val="18"/>
                <w:highlight w:val="none"/>
                <w:vertAlign w:val="superscript"/>
              </w:rPr>
              <w:t>2</w:t>
            </w:r>
          </w:p>
        </w:tc>
        <w:tc>
          <w:tcPr>
            <w:tcW w:w="88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a</w:t>
            </w:r>
          </w:p>
        </w:tc>
        <w:tc>
          <w:tcPr>
            <w:tcW w:w="104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p>
        </w:tc>
        <w:tc>
          <w:tcPr>
            <w:tcW w:w="95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p>
        </w:tc>
        <w:tc>
          <w:tcPr>
            <w:tcW w:w="86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18"/>
                <w:szCs w:val="18"/>
                <w:highlight w:val="none"/>
              </w:rPr>
            </w:pPr>
            <w:r>
              <w:rPr>
                <w:rFonts w:hint="default" w:ascii="Times New Roman" w:hAnsi="Times New Roman" w:eastAsia="宋体" w:cs="Times New Roman"/>
                <w:color w:val="auto"/>
                <w:kern w:val="0"/>
                <w:sz w:val="18"/>
                <w:szCs w:val="18"/>
                <w:highlight w:val="none"/>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lang w:val="en-US" w:eastAsia="zh-CN"/>
              </w:rPr>
              <w:t>井场及附属</w:t>
            </w:r>
            <w:r>
              <w:rPr>
                <w:rFonts w:hint="eastAsia" w:ascii="仿宋_GB2312" w:hAnsi="宋体" w:eastAsia="仿宋_GB2312" w:cs="宋体"/>
                <w:color w:val="auto"/>
                <w:kern w:val="0"/>
                <w:sz w:val="18"/>
                <w:szCs w:val="18"/>
                <w:highlight w:val="none"/>
              </w:rPr>
              <w:t>工程</w:t>
            </w:r>
          </w:p>
        </w:tc>
        <w:tc>
          <w:tcPr>
            <w:tcW w:w="1036"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100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2500</w:t>
            </w:r>
          </w:p>
        </w:tc>
        <w:tc>
          <w:tcPr>
            <w:tcW w:w="90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1.03</w:t>
            </w:r>
          </w:p>
        </w:tc>
        <w:tc>
          <w:tcPr>
            <w:tcW w:w="8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04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30.9</w:t>
            </w:r>
          </w:p>
        </w:tc>
        <w:tc>
          <w:tcPr>
            <w:tcW w:w="95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51.5</w:t>
            </w:r>
          </w:p>
        </w:tc>
        <w:tc>
          <w:tcPr>
            <w:tcW w:w="86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宋体" w:eastAsia="仿宋_GB2312" w:cs="宋体"/>
                <w:color w:val="auto"/>
                <w:kern w:val="0"/>
                <w:sz w:val="18"/>
                <w:szCs w:val="18"/>
                <w:highlight w:val="none"/>
                <w:lang w:val="en-US" w:eastAsia="zh-CN"/>
              </w:rPr>
            </w:pPr>
            <w:r>
              <w:rPr>
                <w:rFonts w:hint="eastAsia" w:ascii="仿宋_GB2312" w:hAnsi="宋体" w:eastAsia="仿宋_GB2312" w:cs="宋体"/>
                <w:color w:val="auto"/>
                <w:kern w:val="0"/>
                <w:sz w:val="18"/>
                <w:szCs w:val="18"/>
                <w:highlight w:val="none"/>
              </w:rPr>
              <w:t>施工临时生活</w:t>
            </w:r>
            <w:r>
              <w:rPr>
                <w:rFonts w:hint="eastAsia" w:ascii="仿宋_GB2312" w:hAnsi="宋体" w:eastAsia="仿宋_GB2312" w:cs="宋体"/>
                <w:color w:val="auto"/>
                <w:kern w:val="0"/>
                <w:sz w:val="18"/>
                <w:szCs w:val="18"/>
                <w:highlight w:val="none"/>
                <w:lang w:val="en-US" w:eastAsia="zh-CN"/>
              </w:rPr>
              <w:t>场地</w:t>
            </w:r>
          </w:p>
        </w:tc>
        <w:tc>
          <w:tcPr>
            <w:tcW w:w="1036"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1552</w:t>
            </w:r>
          </w:p>
        </w:tc>
        <w:tc>
          <w:tcPr>
            <w:tcW w:w="100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2000</w:t>
            </w:r>
          </w:p>
        </w:tc>
        <w:tc>
          <w:tcPr>
            <w:tcW w:w="90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0.23</w:t>
            </w:r>
          </w:p>
        </w:tc>
        <w:tc>
          <w:tcPr>
            <w:tcW w:w="8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04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7.14</w:t>
            </w:r>
          </w:p>
        </w:tc>
        <w:tc>
          <w:tcPr>
            <w:tcW w:w="95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9.2</w:t>
            </w:r>
          </w:p>
        </w:tc>
        <w:tc>
          <w:tcPr>
            <w:tcW w:w="86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表土堆放场</w:t>
            </w:r>
          </w:p>
        </w:tc>
        <w:tc>
          <w:tcPr>
            <w:tcW w:w="1036"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100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1800</w:t>
            </w:r>
          </w:p>
        </w:tc>
        <w:tc>
          <w:tcPr>
            <w:tcW w:w="90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c>
          <w:tcPr>
            <w:tcW w:w="8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04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w:t>
            </w:r>
          </w:p>
        </w:tc>
        <w:tc>
          <w:tcPr>
            <w:tcW w:w="95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3.6</w:t>
            </w:r>
          </w:p>
        </w:tc>
        <w:tc>
          <w:tcPr>
            <w:tcW w:w="86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道路工程</w:t>
            </w:r>
          </w:p>
        </w:tc>
        <w:tc>
          <w:tcPr>
            <w:tcW w:w="1036"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1500</w:t>
            </w:r>
          </w:p>
        </w:tc>
        <w:tc>
          <w:tcPr>
            <w:tcW w:w="1000"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1800</w:t>
            </w:r>
          </w:p>
        </w:tc>
        <w:tc>
          <w:tcPr>
            <w:tcW w:w="909"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0.25</w:t>
            </w:r>
          </w:p>
        </w:tc>
        <w:tc>
          <w:tcPr>
            <w:tcW w:w="8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04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7.5</w:t>
            </w:r>
          </w:p>
        </w:tc>
        <w:tc>
          <w:tcPr>
            <w:tcW w:w="95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9</w:t>
            </w:r>
          </w:p>
        </w:tc>
        <w:tc>
          <w:tcPr>
            <w:tcW w:w="864"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27" w:hRule="atLeast"/>
        </w:trPr>
        <w:tc>
          <w:tcPr>
            <w:tcW w:w="1755"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合计</w:t>
            </w:r>
          </w:p>
        </w:tc>
        <w:tc>
          <w:tcPr>
            <w:tcW w:w="1036" w:type="dxa"/>
            <w:noWrap/>
            <w:vAlign w:val="center"/>
          </w:tcPr>
          <w:p>
            <w:pPr>
              <w:adjustRightInd w:val="0"/>
              <w:snapToGrid w:val="0"/>
              <w:jc w:val="center"/>
              <w:rPr>
                <w:rFonts w:hint="default" w:ascii="仿宋_GB2312" w:hAnsi="宋体" w:eastAsia="仿宋_GB2312" w:cs="宋体"/>
                <w:color w:val="auto"/>
                <w:sz w:val="18"/>
                <w:szCs w:val="18"/>
                <w:highlight w:val="none"/>
              </w:rPr>
            </w:pPr>
          </w:p>
        </w:tc>
        <w:tc>
          <w:tcPr>
            <w:tcW w:w="1000" w:type="dxa"/>
            <w:noWrap/>
            <w:vAlign w:val="center"/>
          </w:tcPr>
          <w:p>
            <w:pPr>
              <w:adjustRightInd w:val="0"/>
              <w:snapToGrid w:val="0"/>
              <w:jc w:val="center"/>
              <w:rPr>
                <w:rFonts w:hint="default" w:ascii="仿宋_GB2312" w:hAnsi="宋体" w:eastAsia="仿宋_GB2312" w:cs="宋体"/>
                <w:color w:val="auto"/>
                <w:sz w:val="18"/>
                <w:szCs w:val="18"/>
                <w:highlight w:val="none"/>
              </w:rPr>
            </w:pPr>
          </w:p>
        </w:tc>
        <w:tc>
          <w:tcPr>
            <w:tcW w:w="909"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1.61</w:t>
            </w:r>
          </w:p>
        </w:tc>
        <w:tc>
          <w:tcPr>
            <w:tcW w:w="882" w:type="dxa"/>
            <w:noWrap/>
            <w:vAlign w:val="center"/>
          </w:tcPr>
          <w:p>
            <w:pPr>
              <w:adjustRightInd w:val="0"/>
              <w:snapToGrid w:val="0"/>
              <w:jc w:val="center"/>
              <w:rPr>
                <w:rFonts w:hint="default" w:ascii="仿宋_GB2312" w:hAnsi="宋体" w:eastAsia="仿宋_GB2312" w:cs="宋体"/>
                <w:color w:val="auto"/>
                <w:sz w:val="18"/>
                <w:szCs w:val="18"/>
                <w:highlight w:val="none"/>
              </w:rPr>
            </w:pPr>
          </w:p>
        </w:tc>
        <w:tc>
          <w:tcPr>
            <w:tcW w:w="104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48.54 </w:t>
            </w:r>
          </w:p>
        </w:tc>
        <w:tc>
          <w:tcPr>
            <w:tcW w:w="955"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73.3</w:t>
            </w:r>
          </w:p>
        </w:tc>
        <w:tc>
          <w:tcPr>
            <w:tcW w:w="86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24.76 </w:t>
            </w:r>
          </w:p>
        </w:tc>
      </w:tr>
    </w:tbl>
    <w:p>
      <w:pPr>
        <w:spacing w:before="120" w:beforeLines="50" w:line="360" w:lineRule="auto"/>
        <w:jc w:val="center"/>
        <w:rPr>
          <w:rFonts w:ascii="Times New Roman" w:hAnsi="Times New Roman" w:eastAsia="仿宋_GB2312" w:cs="Times New Roman"/>
          <w:b/>
          <w:color w:val="auto"/>
          <w:highlight w:val="none"/>
        </w:rPr>
      </w:pPr>
      <w:r>
        <w:rPr>
          <w:rFonts w:hint="eastAsia" w:ascii="Times New Roman" w:hAnsi="Times New Roman" w:eastAsia="仿宋_GB2312" w:cs="Times New Roman"/>
          <w:b/>
          <w:color w:val="auto"/>
          <w:highlight w:val="none"/>
        </w:rPr>
        <w:t>表4.3-</w:t>
      </w:r>
      <w:r>
        <w:rPr>
          <w:rFonts w:hint="eastAsia" w:ascii="Times New Roman" w:hAnsi="Times New Roman" w:eastAsia="仿宋_GB2312" w:cs="Times New Roman"/>
          <w:b/>
          <w:color w:val="auto"/>
          <w:highlight w:val="none"/>
          <w:lang w:val="en-US" w:eastAsia="zh-CN"/>
        </w:rPr>
        <w:t>6</w:t>
      </w:r>
      <w:r>
        <w:rPr>
          <w:rFonts w:ascii="Times New Roman" w:hAnsi="Times New Roman" w:eastAsia="仿宋_GB2312" w:cs="Times New Roman"/>
          <w:b/>
          <w:color w:val="auto"/>
          <w:highlight w:val="none"/>
        </w:rPr>
        <w:t>项目水土流失预测量</w:t>
      </w:r>
      <w:r>
        <w:rPr>
          <w:rFonts w:ascii="Times New Roman" w:hAnsi="Times New Roman" w:eastAsia="仿宋_GB2312" w:cs="Times New Roman"/>
          <w:b/>
          <w:color w:val="auto"/>
          <w:szCs w:val="20"/>
          <w:highlight w:val="none"/>
        </w:rPr>
        <w:t>统计表</w:t>
      </w:r>
      <w:r>
        <w:rPr>
          <w:rFonts w:ascii="Times New Roman" w:hAnsi="Times New Roman" w:eastAsia="仿宋_GB2312" w:cs="Times New Roman"/>
          <w:b/>
          <w:color w:val="auto"/>
          <w:highlight w:val="none"/>
        </w:rPr>
        <w:t>（单位：t）</w:t>
      </w:r>
    </w:p>
    <w:tbl>
      <w:tblPr>
        <w:tblStyle w:val="115"/>
        <w:tblW w:w="846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0"/>
        <w:gridCol w:w="1736"/>
        <w:gridCol w:w="1846"/>
        <w:gridCol w:w="1791"/>
        <w:gridCol w:w="1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预测单元</w:t>
            </w: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预测时段</w:t>
            </w:r>
          </w:p>
        </w:tc>
        <w:tc>
          <w:tcPr>
            <w:tcW w:w="184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背景流失量</w:t>
            </w:r>
          </w:p>
        </w:tc>
        <w:tc>
          <w:tcPr>
            <w:tcW w:w="1791" w:type="dxa"/>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预测流失量</w:t>
            </w:r>
          </w:p>
        </w:tc>
        <w:tc>
          <w:tcPr>
            <w:tcW w:w="1422"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bCs/>
                <w:color w:val="auto"/>
                <w:kern w:val="0"/>
                <w:sz w:val="18"/>
                <w:szCs w:val="18"/>
                <w:highlight w:val="none"/>
              </w:rPr>
            </w:pPr>
            <w:r>
              <w:rPr>
                <w:rFonts w:hint="eastAsia" w:ascii="仿宋_GB2312" w:hAnsi="宋体" w:eastAsia="仿宋_GB2312" w:cs="宋体"/>
                <w:bCs/>
                <w:color w:val="auto"/>
                <w:kern w:val="0"/>
                <w:sz w:val="18"/>
                <w:szCs w:val="18"/>
                <w:highlight w:val="none"/>
              </w:rPr>
              <w:t>新增流失量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lang w:val="en-US" w:eastAsia="zh-CN"/>
              </w:rPr>
              <w:t>井场及附属</w:t>
            </w:r>
            <w:r>
              <w:rPr>
                <w:rFonts w:hint="eastAsia" w:ascii="仿宋_GB2312" w:hAnsi="宋体" w:eastAsia="仿宋_GB2312" w:cs="宋体"/>
                <w:color w:val="auto"/>
                <w:kern w:val="0"/>
                <w:sz w:val="18"/>
                <w:szCs w:val="18"/>
                <w:highlight w:val="none"/>
              </w:rPr>
              <w:t>工程</w:t>
            </w: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施工期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16.95</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75.22</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58.27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自然恢复期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30.9</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51.5</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小计</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47.85</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126.72</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78.87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宋体" w:eastAsia="仿宋_GB2312" w:cs="宋体"/>
                <w:color w:val="auto"/>
                <w:kern w:val="0"/>
                <w:sz w:val="18"/>
                <w:szCs w:val="18"/>
                <w:highlight w:val="none"/>
                <w:lang w:val="en-US" w:eastAsia="zh-CN"/>
              </w:rPr>
            </w:pPr>
            <w:r>
              <w:rPr>
                <w:rFonts w:hint="eastAsia" w:ascii="仿宋_GB2312" w:hAnsi="宋体" w:eastAsia="仿宋_GB2312" w:cs="宋体"/>
                <w:color w:val="auto"/>
                <w:kern w:val="0"/>
                <w:sz w:val="18"/>
                <w:szCs w:val="18"/>
                <w:highlight w:val="none"/>
              </w:rPr>
              <w:t>施工临时生活</w:t>
            </w:r>
            <w:r>
              <w:rPr>
                <w:rFonts w:hint="eastAsia" w:ascii="仿宋_GB2312" w:hAnsi="宋体" w:eastAsia="仿宋_GB2312" w:cs="宋体"/>
                <w:color w:val="auto"/>
                <w:kern w:val="0"/>
                <w:sz w:val="18"/>
                <w:szCs w:val="18"/>
                <w:highlight w:val="none"/>
                <w:lang w:val="en-US" w:eastAsia="zh-CN"/>
              </w:rPr>
              <w:t>场地</w:t>
            </w: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施工期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3.57</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10.35</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6.78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自然恢复期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i w:val="0"/>
                <w:iCs w:val="0"/>
                <w:color w:val="000000"/>
                <w:kern w:val="0"/>
                <w:sz w:val="18"/>
                <w:szCs w:val="18"/>
                <w:highlight w:val="none"/>
                <w:u w:val="none"/>
                <w:lang w:val="en-US" w:eastAsia="zh-CN" w:bidi="ar"/>
              </w:rPr>
              <w:t>7.14</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9.2</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小计</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10.71</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19.55</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8.84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表土堆放场</w:t>
            </w: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施工期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6.5</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自然恢复期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3.6</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sz w:val="18"/>
                <w:szCs w:val="18"/>
                <w:highlight w:val="none"/>
              </w:rPr>
            </w:pPr>
            <w:r>
              <w:rPr>
                <w:rFonts w:hint="eastAsia" w:ascii="仿宋_GB2312" w:hAnsi="Times New Roman" w:eastAsia="仿宋_GB2312"/>
                <w:color w:val="auto"/>
                <w:sz w:val="18"/>
                <w:szCs w:val="18"/>
                <w:highlight w:val="none"/>
              </w:rPr>
              <w:t>小计</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4.5</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10.1</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r>
              <w:rPr>
                <w:rFonts w:hint="eastAsia" w:ascii="仿宋_GB2312" w:hAnsi="宋体" w:eastAsia="仿宋_GB2312" w:cs="宋体"/>
                <w:color w:val="auto"/>
                <w:kern w:val="0"/>
                <w:sz w:val="18"/>
                <w:szCs w:val="18"/>
                <w:highlight w:val="none"/>
              </w:rPr>
              <w:t>道路工程</w:t>
            </w: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Times New Roman" w:eastAsia="仿宋_GB2312"/>
                <w:color w:val="auto"/>
                <w:sz w:val="18"/>
                <w:szCs w:val="18"/>
                <w:highlight w:val="none"/>
              </w:rPr>
            </w:pPr>
            <w:r>
              <w:rPr>
                <w:rFonts w:hint="eastAsia" w:ascii="仿宋_GB2312" w:hAnsi="Times New Roman" w:eastAsia="仿宋_GB2312"/>
                <w:color w:val="auto"/>
                <w:sz w:val="18"/>
                <w:szCs w:val="18"/>
                <w:highlight w:val="none"/>
              </w:rPr>
              <w:t>施工期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4.5</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20.01</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Times New Roman" w:eastAsia="仿宋_GB2312"/>
                <w:color w:val="auto"/>
                <w:sz w:val="18"/>
                <w:szCs w:val="18"/>
                <w:highlight w:val="none"/>
              </w:rPr>
            </w:pPr>
            <w:r>
              <w:rPr>
                <w:rFonts w:hint="eastAsia" w:ascii="仿宋_GB2312" w:hAnsi="Times New Roman" w:eastAsia="仿宋_GB2312"/>
                <w:color w:val="auto"/>
                <w:sz w:val="18"/>
                <w:szCs w:val="18"/>
                <w:highlight w:val="none"/>
              </w:rPr>
              <w:t>自然恢复期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7.5</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9</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670"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宋体" w:eastAsia="仿宋_GB2312" w:cs="宋体"/>
                <w:color w:val="auto"/>
                <w:kern w:val="0"/>
                <w:sz w:val="18"/>
                <w:szCs w:val="18"/>
                <w:highlight w:val="none"/>
              </w:rPr>
            </w:pPr>
          </w:p>
        </w:tc>
        <w:tc>
          <w:tcPr>
            <w:tcW w:w="1736" w:type="dxa"/>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Times New Roman" w:eastAsia="仿宋_GB2312"/>
                <w:color w:val="auto"/>
                <w:sz w:val="18"/>
                <w:szCs w:val="18"/>
                <w:highlight w:val="none"/>
              </w:rPr>
            </w:pPr>
            <w:r>
              <w:rPr>
                <w:rFonts w:hint="eastAsia" w:ascii="仿宋_GB2312" w:hAnsi="Times New Roman" w:eastAsia="仿宋_GB2312"/>
                <w:color w:val="auto"/>
                <w:sz w:val="18"/>
                <w:szCs w:val="18"/>
                <w:highlight w:val="none"/>
              </w:rPr>
              <w:t>小计</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highlight w:val="none"/>
                <w:u w:val="none"/>
                <w:lang w:val="en-US" w:eastAsia="zh-CN" w:bidi="ar"/>
              </w:rPr>
              <w:t>12</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29.01</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000000"/>
                <w:kern w:val="0"/>
                <w:sz w:val="18"/>
                <w:szCs w:val="18"/>
                <w:highlight w:val="none"/>
                <w:u w:val="none"/>
                <w:lang w:val="en-US" w:eastAsia="zh-CN" w:bidi="ar"/>
              </w:rPr>
              <w:t>17.01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3406" w:type="dxa"/>
            <w:gridSpan w:val="2"/>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Times New Roman" w:eastAsia="仿宋_GB2312"/>
                <w:color w:val="auto"/>
                <w:sz w:val="18"/>
                <w:szCs w:val="18"/>
                <w:highlight w:val="none"/>
              </w:rPr>
            </w:pPr>
            <w:r>
              <w:rPr>
                <w:rFonts w:hint="default" w:ascii="仿宋_GB2312" w:hAnsi="Times New Roman" w:eastAsia="仿宋_GB2312"/>
                <w:color w:val="auto"/>
                <w:sz w:val="18"/>
                <w:szCs w:val="18"/>
                <w:highlight w:val="none"/>
                <w:lang w:val="en-US" w:eastAsia="zh-CN"/>
              </w:rPr>
              <w:t>施工期</w:t>
            </w:r>
          </w:p>
        </w:tc>
        <w:tc>
          <w:tcPr>
            <w:tcW w:w="1846"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26.52 </w:t>
            </w:r>
          </w:p>
        </w:tc>
        <w:tc>
          <w:tcPr>
            <w:tcW w:w="1791"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112.08</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85.56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406" w:type="dxa"/>
            <w:gridSpan w:val="2"/>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Times New Roman" w:eastAsia="仿宋_GB2312"/>
                <w:color w:val="auto"/>
                <w:sz w:val="18"/>
                <w:szCs w:val="18"/>
                <w:highlight w:val="none"/>
              </w:rPr>
            </w:pPr>
            <w:r>
              <w:rPr>
                <w:rFonts w:hint="default" w:ascii="仿宋_GB2312" w:hAnsi="Times New Roman" w:eastAsia="仿宋_GB2312"/>
                <w:color w:val="auto"/>
                <w:sz w:val="18"/>
                <w:szCs w:val="18"/>
                <w:highlight w:val="none"/>
                <w:lang w:val="en-US" w:eastAsia="zh-CN"/>
              </w:rPr>
              <w:t>自然恢复期</w:t>
            </w:r>
          </w:p>
        </w:tc>
        <w:tc>
          <w:tcPr>
            <w:tcW w:w="1846"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48.54 </w:t>
            </w:r>
          </w:p>
        </w:tc>
        <w:tc>
          <w:tcPr>
            <w:tcW w:w="1791"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73.3</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24.76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06" w:type="dxa"/>
            <w:gridSpan w:val="2"/>
            <w:noWrap/>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Times New Roman" w:eastAsia="仿宋_GB2312"/>
                <w:color w:val="auto"/>
                <w:sz w:val="18"/>
                <w:szCs w:val="18"/>
                <w:highlight w:val="none"/>
              </w:rPr>
            </w:pPr>
            <w:r>
              <w:rPr>
                <w:rFonts w:hint="eastAsia" w:ascii="仿宋_GB2312" w:hAnsi="Times New Roman" w:eastAsia="仿宋_GB2312"/>
                <w:color w:val="auto"/>
                <w:sz w:val="18"/>
                <w:szCs w:val="18"/>
                <w:highlight w:val="none"/>
                <w:lang w:val="en-US" w:eastAsia="zh-CN"/>
              </w:rPr>
              <w:t>合计</w:t>
            </w:r>
          </w:p>
        </w:tc>
        <w:tc>
          <w:tcPr>
            <w:tcW w:w="1846"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75.06</w:t>
            </w:r>
          </w:p>
        </w:tc>
        <w:tc>
          <w:tcPr>
            <w:tcW w:w="1791"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185.38</w:t>
            </w:r>
          </w:p>
        </w:tc>
        <w:tc>
          <w:tcPr>
            <w:tcW w:w="142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eastAsia" w:ascii="Times New Roman" w:hAnsi="Times New Roman" w:eastAsia="宋体" w:cs="Times New Roman"/>
                <w:i w:val="0"/>
                <w:iCs w:val="0"/>
                <w:color w:val="000000"/>
                <w:kern w:val="0"/>
                <w:sz w:val="18"/>
                <w:szCs w:val="18"/>
                <w:highlight w:val="none"/>
                <w:u w:val="none"/>
                <w:lang w:val="en-US" w:eastAsia="zh-CN" w:bidi="ar"/>
              </w:rPr>
              <w:t>110.32</w:t>
            </w:r>
          </w:p>
        </w:tc>
      </w:tr>
    </w:tbl>
    <w:p>
      <w:pPr>
        <w:adjustRightInd w:val="0"/>
        <w:snapToGrid w:val="0"/>
        <w:jc w:val="both"/>
        <w:rPr>
          <w:rFonts w:ascii="Times New Roman" w:hAnsi="Times New Roman" w:eastAsia="仿宋_GB2312" w:cs="Times New Roman"/>
          <w:color w:val="auto"/>
          <w:sz w:val="18"/>
          <w:szCs w:val="18"/>
          <w:highlight w:val="none"/>
        </w:rPr>
      </w:pPr>
    </w:p>
    <w:p>
      <w:pPr>
        <w:keepNext/>
        <w:keepLines/>
        <w:spacing w:before="120" w:beforeLines="50" w:after="120" w:afterLines="50" w:line="360" w:lineRule="auto"/>
        <w:outlineLvl w:val="1"/>
        <w:rPr>
          <w:rFonts w:ascii="Times New Roman" w:hAnsi="Times New Roman" w:eastAsia="仿宋_GB2312" w:cs="Times New Roman"/>
          <w:b/>
          <w:color w:val="auto"/>
          <w:sz w:val="30"/>
          <w:szCs w:val="30"/>
          <w:highlight w:val="none"/>
          <w:lang w:val="zh-CN"/>
        </w:rPr>
      </w:pPr>
      <w:bookmarkStart w:id="234" w:name="_Toc74588693"/>
      <w:bookmarkStart w:id="235" w:name="_Toc74588744"/>
      <w:r>
        <w:rPr>
          <w:rFonts w:ascii="Times New Roman" w:hAnsi="Times New Roman" w:eastAsia="仿宋_GB2312" w:cs="Times New Roman"/>
          <w:b/>
          <w:color w:val="auto"/>
          <w:sz w:val="30"/>
          <w:szCs w:val="30"/>
          <w:highlight w:val="none"/>
          <w:lang w:val="zh-CN"/>
        </w:rPr>
        <w:t>4.4水土流失危害分析</w:t>
      </w:r>
      <w:bookmarkEnd w:id="234"/>
      <w:bookmarkEnd w:id="235"/>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结合工程区地貌条件、新增水土流失来源，在不采取水土流失防护措施前提下，工程区域内水土流失危害主要体现如下：</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对土地资源产生破坏，一方面由于工程建设占用土地，破坏原有地貌，损坏地表植被，土地耕作层和植被生长层被挖损、剥离或压埋，从而使施工区内裸地面积增加，降低土壤的抗蚀性，增大水土流失量，损坏了土地资源，影响农业耕作。另一方面开挖损坏的农田土层结构，即使复耕，短期内难以恢复地力，影响当地农业生产。在浅丘区，坡面集流将会冲毁具有水土保持功能的地埂、田坎，增加单位面积细沟和切沟数量，有进一步发育演变为冲沟的可能。</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（2）工程建设过程中形成的边坡若不进行防护，将可能诱发崩塌，既妨碍主体工程的运行安全，又产生大量水土流失，影响环境生态安全。</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（3）工程区为丘陵区，沟河众多，因工程建设产生的水土流失，使大量泥沙进入江河，造成河流泥沙增加，改变河道的水沙条件，淤塞河床，降低河道行洪能力，威胁当地人民生命财产安全，加强洪涝灾害。</w:t>
      </w:r>
    </w:p>
    <w:p>
      <w:pPr>
        <w:keepNext/>
        <w:keepLines/>
        <w:spacing w:before="120" w:beforeLines="50" w:after="120" w:afterLines="50" w:line="360" w:lineRule="auto"/>
        <w:outlineLvl w:val="1"/>
        <w:rPr>
          <w:rFonts w:ascii="Times New Roman" w:hAnsi="Times New Roman" w:eastAsia="仿宋_GB2312" w:cs="Times New Roman"/>
          <w:b/>
          <w:color w:val="auto"/>
          <w:sz w:val="30"/>
          <w:szCs w:val="30"/>
          <w:highlight w:val="none"/>
          <w:lang w:val="zh-CN"/>
        </w:rPr>
      </w:pPr>
      <w:bookmarkStart w:id="236" w:name="_Toc74588694"/>
      <w:bookmarkStart w:id="237" w:name="_Toc74588745"/>
      <w:r>
        <w:rPr>
          <w:rFonts w:ascii="Times New Roman" w:hAnsi="Times New Roman" w:eastAsia="仿宋_GB2312" w:cs="Times New Roman"/>
          <w:b/>
          <w:color w:val="auto"/>
          <w:sz w:val="30"/>
          <w:szCs w:val="30"/>
          <w:highlight w:val="none"/>
          <w:lang w:val="zh-CN"/>
        </w:rPr>
        <w:t>4.5指导性意见</w:t>
      </w:r>
      <w:bookmarkEnd w:id="236"/>
      <w:bookmarkEnd w:id="237"/>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由项目区水土流失特点及工程建设可能造成的水土流失预测结果分析，可能造成的水土流失主要集中在施工期，重点流失区域为井场及附属工程区。因此，本方案对本工程水土流失防治措施提出以下几点意见。</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第一，预防为主、保护优先。合理调配土石方，尽量做到“即挖即填”，减少临时堆放，填方区域做到“先挡后填”，减少水土流失源，从源头上预防和控制水土流失。开挖土石方进行纵向调配，做到工程内部消化土方，不产生余方。</w:t>
      </w:r>
    </w:p>
    <w:p>
      <w:pPr>
        <w:spacing w:line="360" w:lineRule="auto"/>
        <w:ind w:firstLine="48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第二，施工过程中采取必要的临时防护措施。水土流失重点时段是施工期，在施工期间，由于施工工序的限制，部分水土保持工程措施和植物措施无法即时实施。因此，采取临时拦挡、临时覆盖等措施，对于防治施工期间的水土流失具有十分重要的作用。</w:t>
      </w:r>
    </w:p>
    <w:p>
      <w:pPr>
        <w:spacing w:line="360" w:lineRule="auto"/>
        <w:ind w:firstLine="482"/>
        <w:rPr>
          <w:rFonts w:ascii="Times New Roman" w:hAnsi="Times New Roman" w:eastAsia="仿宋_GB2312" w:cs="Times New Roman"/>
          <w:color w:val="auto"/>
          <w:sz w:val="24"/>
          <w:szCs w:val="24"/>
          <w:highlight w:val="none"/>
        </w:rPr>
      </w:pPr>
    </w:p>
    <w:p>
      <w:pPr>
        <w:spacing w:line="360" w:lineRule="auto"/>
        <w:ind w:firstLine="482"/>
        <w:rPr>
          <w:rFonts w:ascii="Times New Roman" w:hAnsi="Times New Roman" w:eastAsia="仿宋_GB2312" w:cs="Times New Roman"/>
          <w:color w:val="auto"/>
          <w:sz w:val="24"/>
          <w:szCs w:val="24"/>
          <w:highlight w:val="none"/>
        </w:rPr>
      </w:pPr>
    </w:p>
    <w:p>
      <w:pPr>
        <w:spacing w:line="360" w:lineRule="auto"/>
        <w:ind w:firstLine="482"/>
        <w:rPr>
          <w:rFonts w:ascii="Times New Roman" w:hAnsi="Times New Roman" w:eastAsia="仿宋_GB2312" w:cs="Times New Roman"/>
          <w:color w:val="auto"/>
          <w:sz w:val="24"/>
          <w:szCs w:val="24"/>
          <w:highlight w:val="none"/>
        </w:rPr>
        <w:sectPr>
          <w:headerReference r:id="rId10" w:type="default"/>
          <w:pgSz w:w="11906" w:h="16838"/>
          <w:pgMar w:top="1418" w:right="1588" w:bottom="1418" w:left="1701" w:header="851" w:footer="850" w:gutter="0"/>
          <w:pgBorders>
            <w:top w:val="none" w:sz="0" w:space="0"/>
            <w:left w:val="none" w:sz="0" w:space="0"/>
            <w:bottom w:val="none" w:sz="0" w:space="0"/>
            <w:right w:val="none" w:sz="0" w:space="0"/>
          </w:pgBorders>
          <w:pgNumType w:fmt="decimal"/>
          <w:cols w:space="425" w:num="1"/>
          <w:docGrid w:linePitch="312" w:charSpace="0"/>
        </w:sectPr>
      </w:pPr>
    </w:p>
    <w:bookmarkEnd w:id="222"/>
    <w:bookmarkEnd w:id="225"/>
    <w:bookmarkEnd w:id="226"/>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r>
        <w:rPr>
          <w:rFonts w:ascii="Times New Roman" w:hAnsi="Times New Roman" w:eastAsia="仿宋_GB2312" w:cs="Times New Roman"/>
          <w:b/>
          <w:bCs/>
          <w:color w:val="auto"/>
          <w:kern w:val="44"/>
          <w:sz w:val="44"/>
          <w:szCs w:val="44"/>
          <w:lang w:val="zh-CN"/>
        </w:rPr>
        <w:fldChar w:fldCharType="begin">
          <w:fldData xml:space="preserve">XwBjAHAAXwBvADQAZABYADYANgBPAEkAeABRAHEAbQBpAG8AUwBtAFMARQBTAHYAOABFAFoAQQBy
AFIAcQBmAGcAbwBnAFIAUQBSAEcAUABWAHIARAArAC8AYgBJAHoAeAAwAG0AYQBYAHAAVQBWAFUA
dwA9AD0A
</w:fldData>
        </w:fldChar>
      </w:r>
      <w:r>
        <w:rPr>
          <w:rFonts w:ascii="Times New Roman" w:hAnsi="Times New Roman" w:eastAsia="仿宋_GB2312" w:cs="Times New Roman"/>
          <w:b/>
          <w:bCs/>
          <w:color w:val="auto"/>
          <w:kern w:val="44"/>
          <w:sz w:val="44"/>
          <w:szCs w:val="44"/>
          <w:lang w:val="zh-CN"/>
        </w:rPr>
        <w:instrText xml:space="preserve">ADDIN _cp_ \* MERGEFORMAT</w:instrText>
      </w:r>
      <w:r>
        <w:rPr>
          <w:rFonts w:ascii="Times New Roman" w:hAnsi="Times New Roman" w:eastAsia="仿宋_GB2312" w:cs="Times New Roman"/>
          <w:b/>
          <w:bCs/>
          <w:color w:val="auto"/>
          <w:kern w:val="44"/>
          <w:sz w:val="44"/>
          <w:szCs w:val="44"/>
          <w:lang w:val="zh-CN"/>
        </w:rPr>
        <w:fldChar w:fldCharType="separate"/>
      </w:r>
      <w:bookmarkStart w:id="238" w:name="_Toc74588695"/>
      <w:bookmarkStart w:id="239" w:name="_Toc74588746"/>
      <w:r>
        <w:rPr>
          <w:rFonts w:ascii="Times New Roman" w:hAnsi="Times New Roman" w:eastAsia="仿宋_GB2312" w:cs="Times New Roman"/>
          <w:b/>
          <w:bCs/>
          <w:color w:val="auto"/>
          <w:kern w:val="44"/>
          <w:sz w:val="44"/>
          <w:szCs w:val="44"/>
          <w:lang w:val="zh-CN"/>
        </w:rPr>
        <w:t>5</w:t>
      </w:r>
      <w:r>
        <w:rPr>
          <w:rFonts w:ascii="Times New Roman" w:hAnsi="Times New Roman" w:eastAsia="仿宋_GB2312" w:cs="Times New Roman"/>
          <w:b/>
          <w:bCs/>
          <w:color w:val="auto"/>
          <w:kern w:val="44"/>
          <w:sz w:val="44"/>
          <w:szCs w:val="44"/>
          <w:lang w:val="zh-CN"/>
        </w:rPr>
        <w:fldChar w:fldCharType="end"/>
      </w:r>
      <w:r>
        <w:rPr>
          <w:rFonts w:ascii="Times New Roman" w:hAnsi="Times New Roman" w:eastAsia="仿宋_GB2312" w:cs="Times New Roman"/>
          <w:b/>
          <w:bCs/>
          <w:color w:val="auto"/>
          <w:kern w:val="44"/>
          <w:sz w:val="44"/>
          <w:szCs w:val="44"/>
          <w:lang w:val="zh-CN"/>
        </w:rPr>
        <w:t>水土保持措施</w:t>
      </w:r>
      <w:bookmarkEnd w:id="238"/>
      <w:bookmarkEnd w:id="239"/>
    </w:p>
    <w:p>
      <w:pPr>
        <w:widowControl w:val="0"/>
        <w:adjustRightInd w:val="0"/>
        <w:snapToGrid w:val="0"/>
        <w:spacing w:before="120" w:beforeLines="50" w:after="120" w:afterLines="50" w:line="360" w:lineRule="auto"/>
        <w:outlineLvl w:val="1"/>
        <w:rPr>
          <w:rFonts w:ascii="Times New Roman" w:hAnsi="Times New Roman" w:eastAsia="仿宋_GB2312" w:cs="Times New Roman"/>
          <w:b/>
          <w:color w:val="auto"/>
          <w:sz w:val="30"/>
          <w:szCs w:val="28"/>
        </w:rPr>
      </w:pPr>
      <w:r>
        <w:rPr>
          <w:rFonts w:ascii="Times New Roman" w:hAnsi="Times New Roman" w:eastAsia="仿宋_GB2312" w:cs="Times New Roman"/>
          <w:b/>
          <w:color w:val="auto"/>
          <w:sz w:val="30"/>
          <w:szCs w:val="28"/>
        </w:rPr>
        <w:fldChar w:fldCharType="begin">
          <w:fldData xml:space="preserve">XwBjAHAAXwByAEoAKwBTAHEAbgBnAGwAcQBEAFkAagBJADAATABQADMAMwAxAE8ASwBEAHIAbgBH
AGIANgBmAFIAWQBaAEEAZABUADQAaAB3ADYAYgBTAE4AYwBwADQAQQA4AHYAZwBuAG0AeABiAGMA
dwA9AD0A
</w:fldData>
        </w:fldChar>
      </w:r>
      <w:r>
        <w:rPr>
          <w:rFonts w:ascii="Times New Roman" w:hAnsi="Times New Roman" w:eastAsia="仿宋_GB2312" w:cs="Times New Roman"/>
          <w:b/>
          <w:color w:val="auto"/>
          <w:sz w:val="30"/>
          <w:szCs w:val="28"/>
        </w:rPr>
        <w:instrText xml:space="preserve">ADDIN _cp_ \* MERGEFORMAT</w:instrText>
      </w:r>
      <w:r>
        <w:rPr>
          <w:rFonts w:ascii="Times New Roman" w:hAnsi="Times New Roman" w:eastAsia="仿宋_GB2312" w:cs="Times New Roman"/>
          <w:b/>
          <w:color w:val="auto"/>
          <w:sz w:val="30"/>
          <w:szCs w:val="28"/>
        </w:rPr>
        <w:fldChar w:fldCharType="separate"/>
      </w:r>
      <w:bookmarkStart w:id="240" w:name="_Toc74588696"/>
      <w:bookmarkStart w:id="241" w:name="_Toc74588747"/>
      <w:r>
        <w:rPr>
          <w:rFonts w:ascii="Times New Roman" w:hAnsi="Times New Roman" w:eastAsia="仿宋_GB2312" w:cs="Times New Roman"/>
          <w:b/>
          <w:color w:val="auto"/>
          <w:sz w:val="30"/>
          <w:szCs w:val="28"/>
        </w:rPr>
        <w:t>5.1</w:t>
      </w:r>
      <w:r>
        <w:rPr>
          <w:rFonts w:ascii="Times New Roman" w:hAnsi="Times New Roman" w:eastAsia="仿宋_GB2312" w:cs="Times New Roman"/>
          <w:b/>
          <w:color w:val="auto"/>
          <w:sz w:val="30"/>
          <w:szCs w:val="28"/>
        </w:rPr>
        <w:fldChar w:fldCharType="end"/>
      </w:r>
      <w:r>
        <w:rPr>
          <w:rFonts w:ascii="Times New Roman" w:hAnsi="Times New Roman" w:eastAsia="仿宋_GB2312" w:cs="Times New Roman"/>
          <w:b/>
          <w:color w:val="auto"/>
          <w:sz w:val="30"/>
          <w:szCs w:val="28"/>
        </w:rPr>
        <w:t>防治区划分</w:t>
      </w:r>
      <w:bookmarkEnd w:id="240"/>
      <w:bookmarkEnd w:id="241"/>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rPr>
      </w:pPr>
      <w:r>
        <w:rPr>
          <w:rFonts w:ascii="Times New Roman" w:hAnsi="Times New Roman" w:eastAsia="仿宋_GB2312" w:cs="Times New Roman"/>
          <w:b/>
          <w:color w:val="auto"/>
          <w:sz w:val="28"/>
          <w:szCs w:val="24"/>
        </w:rPr>
        <w:fldChar w:fldCharType="begin">
          <w:fldData xml:space="preserve">XwBjAHAAXwA2AGIAWABKAGgARgBFAGwAWgB4AFcASwBwAEcAMwBEAGcAUgBrAHoAbABEAHoAeQBq
AHIAVQBUAEwASgBuAEQAWQB6AFIAQgByAE8AZAA3AHcAbABJAHoAYgBCAFQAVQAzADcAbgB0AFUA
QQA9AD0A
</w:fldData>
        </w:fldChar>
      </w:r>
      <w:r>
        <w:rPr>
          <w:rFonts w:ascii="Times New Roman" w:hAnsi="Times New Roman" w:eastAsia="仿宋_GB2312" w:cs="Times New Roman"/>
          <w:b/>
          <w:color w:val="auto"/>
          <w:sz w:val="28"/>
          <w:szCs w:val="24"/>
        </w:rPr>
        <w:instrText xml:space="preserve">ADDIN _cp_ \* MERGEFORMAT</w:instrText>
      </w:r>
      <w:r>
        <w:rPr>
          <w:rFonts w:ascii="Times New Roman" w:hAnsi="Times New Roman" w:eastAsia="仿宋_GB2312" w:cs="Times New Roman"/>
          <w:b/>
          <w:color w:val="auto"/>
          <w:sz w:val="28"/>
          <w:szCs w:val="24"/>
        </w:rPr>
        <w:fldChar w:fldCharType="separate"/>
      </w:r>
      <w:r>
        <w:rPr>
          <w:rFonts w:ascii="Times New Roman" w:hAnsi="Times New Roman" w:eastAsia="仿宋_GB2312" w:cs="Times New Roman"/>
          <w:b/>
          <w:color w:val="auto"/>
          <w:sz w:val="28"/>
          <w:szCs w:val="24"/>
        </w:rPr>
        <w:t>5.1.1</w:t>
      </w:r>
      <w:r>
        <w:rPr>
          <w:rFonts w:ascii="Times New Roman" w:hAnsi="Times New Roman" w:eastAsia="仿宋_GB2312" w:cs="Times New Roman"/>
          <w:b/>
          <w:color w:val="auto"/>
          <w:sz w:val="28"/>
          <w:szCs w:val="24"/>
        </w:rPr>
        <w:fldChar w:fldCharType="end"/>
      </w:r>
      <w:r>
        <w:rPr>
          <w:rFonts w:ascii="Times New Roman" w:hAnsi="Times New Roman" w:eastAsia="仿宋_GB2312" w:cs="Times New Roman"/>
          <w:b/>
          <w:color w:val="auto"/>
          <w:sz w:val="28"/>
          <w:szCs w:val="24"/>
        </w:rPr>
        <w:t>分区原则</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在确定的防治责任范围内，依据工程布局、施工扰动特点、建设时序、地貌特征、自然属性、水土流失影响等进行分区。遵循以下原则：</w:t>
      </w:r>
      <w:r>
        <w:rPr>
          <w:rFonts w:hint="eastAsia" w:ascii="Times New Roman" w:hAnsi="Times New Roman" w:eastAsia="宋体" w:cs="宋体"/>
          <w:color w:val="auto"/>
          <w:sz w:val="24"/>
          <w:highlight w:val="none"/>
        </w:rPr>
        <w:t>①</w:t>
      </w:r>
      <w:r>
        <w:rPr>
          <w:rFonts w:ascii="Times New Roman" w:hAnsi="Times New Roman" w:eastAsia="仿宋_GB2312" w:cs="Times New Roman"/>
          <w:color w:val="auto"/>
          <w:sz w:val="24"/>
          <w:highlight w:val="none"/>
        </w:rPr>
        <w:t>各分区之间应具有显著差异性；</w:t>
      </w:r>
      <w:r>
        <w:rPr>
          <w:rFonts w:hint="eastAsia" w:ascii="Times New Roman" w:hAnsi="Times New Roman" w:eastAsia="宋体" w:cs="宋体"/>
          <w:color w:val="auto"/>
          <w:sz w:val="24"/>
          <w:highlight w:val="none"/>
        </w:rPr>
        <w:t>②</w:t>
      </w:r>
      <w:r>
        <w:rPr>
          <w:rFonts w:ascii="Times New Roman" w:hAnsi="Times New Roman" w:eastAsia="仿宋_GB2312" w:cs="Times New Roman"/>
          <w:color w:val="auto"/>
          <w:sz w:val="24"/>
          <w:highlight w:val="none"/>
        </w:rPr>
        <w:t>同一区内造成水土流失的主导因子和防治措施应相近或相似；</w:t>
      </w:r>
      <w:r>
        <w:rPr>
          <w:rFonts w:hint="eastAsia" w:ascii="Times New Roman" w:hAnsi="Times New Roman" w:eastAsia="宋体" w:cs="宋体"/>
          <w:color w:val="auto"/>
          <w:sz w:val="24"/>
          <w:highlight w:val="none"/>
        </w:rPr>
        <w:t>③</w:t>
      </w:r>
      <w:r>
        <w:rPr>
          <w:rFonts w:ascii="Times New Roman" w:hAnsi="Times New Roman" w:eastAsia="仿宋_GB2312" w:cs="Times New Roman"/>
          <w:color w:val="auto"/>
          <w:sz w:val="24"/>
          <w:highlight w:val="none"/>
        </w:rPr>
        <w:t>根据项目的繁简程度和项目区的自然情况，防治区可划分为一级或多级；</w:t>
      </w:r>
      <w:r>
        <w:rPr>
          <w:rFonts w:hint="eastAsia" w:ascii="Times New Roman" w:hAnsi="Times New Roman" w:eastAsia="宋体" w:cs="宋体"/>
          <w:color w:val="auto"/>
          <w:sz w:val="24"/>
          <w:highlight w:val="none"/>
        </w:rPr>
        <w:t>④</w:t>
      </w:r>
      <w:r>
        <w:rPr>
          <w:rFonts w:ascii="Times New Roman" w:hAnsi="Times New Roman" w:eastAsia="仿宋_GB2312" w:cs="Times New Roman"/>
          <w:color w:val="auto"/>
          <w:sz w:val="24"/>
          <w:highlight w:val="none"/>
        </w:rPr>
        <w:t>一级区应具有控制性、整体性、全局性。</w:t>
      </w:r>
      <w:r>
        <w:rPr>
          <w:rFonts w:hint="eastAsia" w:ascii="Times New Roman" w:hAnsi="Times New Roman" w:eastAsia="宋体" w:cs="宋体"/>
          <w:color w:val="auto"/>
          <w:sz w:val="24"/>
          <w:highlight w:val="none"/>
        </w:rPr>
        <w:t>⑤</w:t>
      </w:r>
      <w:r>
        <w:rPr>
          <w:rFonts w:ascii="Times New Roman" w:hAnsi="Times New Roman" w:eastAsia="仿宋_GB2312" w:cs="Times New Roman"/>
          <w:color w:val="auto"/>
          <w:sz w:val="24"/>
          <w:highlight w:val="none"/>
        </w:rPr>
        <w:t>各级分区应层次分明，具有关联性和系统性。</w:t>
      </w:r>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XwBjAHAAXwBjAFUAMQBYAE0AcABvAEcAZgBVAFEASAArAEsAaQBOAEgARwBNAHoAdwBBAEgAbABP
AE0AZwBXAEgAawB0AGYAYwBQAGQAYwBWAEIALwB0ADkAagB5AEwAYQBlAHgAWQBmACsAMQBZADcA
QQA9AD0A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5.1.2</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分区结果</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在实地调查勘测、有关资料收集和数据分析基础上，对项目进行了水土流失防治分区。主要是根据工程项目组成的不同，将本项目划分为井场及附属工程区、施工</w:t>
      </w:r>
      <w:r>
        <w:rPr>
          <w:rFonts w:hint="eastAsia" w:ascii="Times New Roman" w:hAnsi="Times New Roman" w:eastAsia="仿宋_GB2312" w:cs="Times New Roman"/>
          <w:color w:val="auto"/>
          <w:sz w:val="24"/>
          <w:highlight w:val="none"/>
          <w:lang w:eastAsia="zh-CN"/>
        </w:rPr>
        <w:t>临时生活区</w:t>
      </w:r>
      <w:r>
        <w:rPr>
          <w:rFonts w:ascii="Times New Roman" w:hAnsi="Times New Roman" w:eastAsia="仿宋_GB2312" w:cs="Times New Roman"/>
          <w:color w:val="auto"/>
          <w:sz w:val="24"/>
          <w:highlight w:val="none"/>
        </w:rPr>
        <w:t>、表土堆放场区、道路工程区</w:t>
      </w:r>
      <w:r>
        <w:rPr>
          <w:rFonts w:ascii="Times New Roman" w:hAnsi="Times New Roman" w:eastAsia="仿宋_GB2312" w:cs="Times New Roman"/>
          <w:color w:val="auto"/>
          <w:sz w:val="24"/>
          <w:szCs w:val="21"/>
          <w:highlight w:val="none"/>
        </w:rPr>
        <w:t>等</w:t>
      </w:r>
      <w:r>
        <w:rPr>
          <w:rFonts w:ascii="Times New Roman" w:hAnsi="Times New Roman" w:eastAsia="仿宋_GB2312" w:cs="Times New Roman"/>
          <w:color w:val="auto"/>
          <w:sz w:val="24"/>
          <w:highlight w:val="none"/>
        </w:rPr>
        <w:t>4个防治分区。具体分区结果见下表。</w:t>
      </w:r>
    </w:p>
    <w:p>
      <w:pPr>
        <w:widowControl w:val="0"/>
        <w:adjustRightInd w:val="0"/>
        <w:snapToGrid w:val="0"/>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fldChar w:fldCharType="begin">
          <w:fldData xml:space="preserve">XwBjAHAAXwBjADUAUABIADAAMQB3AGsAaQB1AHUAVgBsAGEAMQBkAEcAeQBPAEoAWQBqAEIANgBJ
AGcAZABLAGsATQBpAEoAKwBiADEAbgBwAEIAKwBZAGMAZgBqADkAZgBtAGkANgBBAGEAZgBiAFoA
ZwA9AD0A
</w:fldData>
        </w:fldChar>
      </w:r>
      <w:r>
        <w:rPr>
          <w:rFonts w:ascii="Times New Roman" w:hAnsi="Times New Roman" w:eastAsia="仿宋_GB2312" w:cs="Times New Roman"/>
          <w:b/>
          <w:color w:val="auto"/>
          <w:highlight w:val="none"/>
        </w:rPr>
        <w:instrText xml:space="preserve">ADDIN _cp_ \* MERGEFORMAT</w:instrText>
      </w:r>
      <w:r>
        <w:rPr>
          <w:rFonts w:ascii="Times New Roman" w:hAnsi="Times New Roman" w:eastAsia="仿宋_GB2312" w:cs="Times New Roman"/>
          <w:b/>
          <w:color w:val="auto"/>
          <w:highlight w:val="none"/>
        </w:rPr>
        <w:fldChar w:fldCharType="separate"/>
      </w:r>
      <w:r>
        <w:rPr>
          <w:rFonts w:ascii="Times New Roman" w:hAnsi="Times New Roman" w:eastAsia="仿宋_GB2312" w:cs="Times New Roman"/>
          <w:b/>
          <w:color w:val="auto"/>
          <w:highlight w:val="none"/>
        </w:rPr>
        <w:t>表5-1</w:t>
      </w:r>
      <w:r>
        <w:rPr>
          <w:rFonts w:ascii="Times New Roman" w:hAnsi="Times New Roman" w:eastAsia="仿宋_GB2312" w:cs="Times New Roman"/>
          <w:b/>
          <w:color w:val="auto"/>
          <w:highlight w:val="none"/>
        </w:rPr>
        <w:fldChar w:fldCharType="end"/>
      </w:r>
      <w:r>
        <w:rPr>
          <w:rFonts w:ascii="Times New Roman" w:hAnsi="Times New Roman" w:eastAsia="仿宋_GB2312" w:cs="Times New Roman"/>
          <w:b/>
          <w:color w:val="auto"/>
          <w:highlight w:val="none"/>
        </w:rPr>
        <w:t>水土流失防治分区结果表</w:t>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11"/>
        <w:gridCol w:w="2662"/>
        <w:gridCol w:w="4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1" w:type="dxa"/>
            <w:vAlign w:val="center"/>
          </w:tcPr>
          <w:p>
            <w:pPr>
              <w:widowControl w:val="0"/>
              <w:adjustRightInd w:val="0"/>
              <w:snapToGrid w:val="0"/>
              <w:jc w:val="center"/>
              <w:rPr>
                <w:rFonts w:ascii="Times New Roman" w:hAnsi="Times New Roman" w:eastAsia="仿宋_GB2312" w:cs="Times New Roman"/>
                <w:b/>
                <w:bCs/>
                <w:color w:val="auto"/>
                <w:kern w:val="0"/>
                <w:sz w:val="18"/>
                <w:szCs w:val="18"/>
                <w:highlight w:val="none"/>
              </w:rPr>
            </w:pPr>
            <w:r>
              <w:rPr>
                <w:rFonts w:ascii="Times New Roman" w:hAnsi="Times New Roman" w:eastAsia="仿宋_GB2312" w:cs="Times New Roman"/>
                <w:b/>
                <w:bCs/>
                <w:color w:val="auto"/>
                <w:kern w:val="0"/>
                <w:sz w:val="18"/>
                <w:szCs w:val="18"/>
                <w:highlight w:val="none"/>
              </w:rPr>
              <w:t>防治分区</w:t>
            </w:r>
          </w:p>
        </w:tc>
        <w:tc>
          <w:tcPr>
            <w:tcW w:w="2662" w:type="dxa"/>
            <w:vAlign w:val="center"/>
          </w:tcPr>
          <w:p>
            <w:pPr>
              <w:widowControl w:val="0"/>
              <w:adjustRightInd w:val="0"/>
              <w:snapToGrid w:val="0"/>
              <w:jc w:val="center"/>
              <w:rPr>
                <w:rFonts w:ascii="Times New Roman" w:hAnsi="Times New Roman" w:eastAsia="仿宋_GB2312" w:cs="Times New Roman"/>
                <w:b/>
                <w:bCs/>
                <w:color w:val="auto"/>
                <w:kern w:val="0"/>
                <w:sz w:val="18"/>
                <w:szCs w:val="18"/>
                <w:highlight w:val="none"/>
              </w:rPr>
            </w:pPr>
            <w:r>
              <w:rPr>
                <w:rFonts w:ascii="Times New Roman" w:hAnsi="Times New Roman" w:eastAsia="仿宋_GB2312" w:cs="Times New Roman"/>
                <w:b/>
                <w:bCs/>
                <w:color w:val="auto"/>
                <w:kern w:val="0"/>
                <w:sz w:val="18"/>
                <w:szCs w:val="18"/>
                <w:highlight w:val="none"/>
              </w:rPr>
              <w:t>防治责任范围</w:t>
            </w:r>
            <w:r>
              <w:rPr>
                <w:rFonts w:ascii="Times New Roman" w:hAnsi="Times New Roman" w:eastAsia="仿宋_GB2312" w:cs="Times New Roman"/>
                <w:color w:val="auto"/>
                <w:sz w:val="18"/>
                <w:szCs w:val="18"/>
                <w:highlight w:val="none"/>
              </w:rPr>
              <w:t>（</w:t>
            </w:r>
            <w:r>
              <w:rPr>
                <w:rFonts w:hint="eastAsia" w:ascii="Times New Roman" w:hAnsi="Times New Roman" w:eastAsia="仿宋_GB2312" w:cs="Times New Roman"/>
                <w:color w:val="auto"/>
                <w:sz w:val="18"/>
                <w:szCs w:val="18"/>
                <w:highlight w:val="none"/>
                <w:lang w:eastAsia="zh-CN"/>
              </w:rPr>
              <w:t>hm</w:t>
            </w:r>
            <w:r>
              <w:rPr>
                <w:rFonts w:hint="eastAsia" w:ascii="Times New Roman" w:hAnsi="Times New Roman" w:eastAsia="仿宋_GB2312" w:cs="Times New Roman"/>
                <w:color w:val="auto"/>
                <w:sz w:val="18"/>
                <w:szCs w:val="18"/>
                <w:highlight w:val="none"/>
                <w:vertAlign w:val="superscript"/>
                <w:lang w:eastAsia="zh-CN"/>
              </w:rPr>
              <w:t>2</w:t>
            </w:r>
            <w:r>
              <w:rPr>
                <w:rFonts w:ascii="Times New Roman" w:hAnsi="Times New Roman" w:eastAsia="仿宋_GB2312" w:cs="Times New Roman"/>
                <w:color w:val="auto"/>
                <w:sz w:val="18"/>
                <w:szCs w:val="18"/>
                <w:highlight w:val="none"/>
              </w:rPr>
              <w:t>）</w:t>
            </w:r>
          </w:p>
        </w:tc>
        <w:tc>
          <w:tcPr>
            <w:tcW w:w="4060" w:type="dxa"/>
            <w:vAlign w:val="center"/>
          </w:tcPr>
          <w:p>
            <w:pPr>
              <w:widowControl w:val="0"/>
              <w:adjustRightInd w:val="0"/>
              <w:snapToGrid w:val="0"/>
              <w:jc w:val="center"/>
              <w:rPr>
                <w:rFonts w:ascii="Times New Roman" w:hAnsi="Times New Roman" w:eastAsia="仿宋_GB2312" w:cs="Times New Roman"/>
                <w:b/>
                <w:bCs/>
                <w:color w:val="auto"/>
                <w:kern w:val="0"/>
                <w:sz w:val="18"/>
                <w:szCs w:val="18"/>
                <w:highlight w:val="none"/>
              </w:rPr>
            </w:pPr>
            <w:r>
              <w:rPr>
                <w:rFonts w:ascii="Times New Roman" w:hAnsi="Times New Roman" w:eastAsia="仿宋_GB2312" w:cs="Times New Roman"/>
                <w:b/>
                <w:bCs/>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sz w:val="18"/>
                <w:szCs w:val="18"/>
                <w:highlight w:val="none"/>
              </w:rPr>
              <w:t>井场及附属工程区</w:t>
            </w:r>
          </w:p>
        </w:tc>
        <w:tc>
          <w:tcPr>
            <w:tcW w:w="2662" w:type="dxa"/>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1.13</w:t>
            </w:r>
          </w:p>
        </w:tc>
        <w:tc>
          <w:tcPr>
            <w:tcW w:w="4060"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井场及附属工程用地范围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1" w:type="dxa"/>
            <w:vAlign w:val="center"/>
          </w:tcPr>
          <w:p>
            <w:pPr>
              <w:widowControl w:val="0"/>
              <w:adjustRightInd w:val="0"/>
              <w:snapToGrid w:val="0"/>
              <w:jc w:val="center"/>
              <w:rPr>
                <w:rFonts w:hint="eastAsia" w:ascii="Times New Roman" w:hAnsi="Times New Roman" w:eastAsia="仿宋_GB2312" w:cs="Times New Roman"/>
                <w:color w:val="auto"/>
                <w:sz w:val="18"/>
                <w:szCs w:val="18"/>
                <w:highlight w:val="none"/>
                <w:lang w:eastAsia="zh-CN"/>
              </w:rPr>
            </w:pPr>
            <w:r>
              <w:rPr>
                <w:rFonts w:ascii="Times New Roman" w:hAnsi="Times New Roman" w:eastAsia="仿宋_GB2312" w:cs="Times New Roman"/>
                <w:color w:val="auto"/>
                <w:sz w:val="18"/>
                <w:szCs w:val="18"/>
                <w:highlight w:val="none"/>
              </w:rPr>
              <w:t>施工</w:t>
            </w:r>
            <w:r>
              <w:rPr>
                <w:rFonts w:hint="eastAsia" w:ascii="Times New Roman" w:hAnsi="Times New Roman" w:eastAsia="仿宋_GB2312" w:cs="Times New Roman"/>
                <w:color w:val="auto"/>
                <w:sz w:val="18"/>
                <w:szCs w:val="18"/>
                <w:highlight w:val="none"/>
                <w:lang w:eastAsia="zh-CN"/>
              </w:rPr>
              <w:t>临时生活区</w:t>
            </w:r>
          </w:p>
        </w:tc>
        <w:tc>
          <w:tcPr>
            <w:tcW w:w="2662" w:type="dxa"/>
            <w:vAlign w:val="center"/>
          </w:tcPr>
          <w:p>
            <w:pPr>
              <w:adjustRightInd w:val="0"/>
              <w:snapToGrid w:val="0"/>
              <w:jc w:val="center"/>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0.23</w:t>
            </w:r>
          </w:p>
        </w:tc>
        <w:tc>
          <w:tcPr>
            <w:tcW w:w="4060"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施工</w:t>
            </w:r>
            <w:r>
              <w:rPr>
                <w:rFonts w:hint="eastAsia" w:ascii="Times New Roman" w:hAnsi="Times New Roman" w:eastAsia="仿宋_GB2312" w:cs="Times New Roman"/>
                <w:color w:val="auto"/>
                <w:kern w:val="0"/>
                <w:sz w:val="18"/>
                <w:szCs w:val="18"/>
                <w:highlight w:val="none"/>
                <w:lang w:eastAsia="zh-CN"/>
              </w:rPr>
              <w:t>临时生活区</w:t>
            </w:r>
            <w:r>
              <w:rPr>
                <w:rFonts w:ascii="Times New Roman" w:hAnsi="Times New Roman" w:eastAsia="仿宋_GB2312" w:cs="Times New Roman"/>
                <w:color w:val="auto"/>
                <w:kern w:val="0"/>
                <w:sz w:val="18"/>
                <w:szCs w:val="18"/>
                <w:highlight w:val="none"/>
              </w:rPr>
              <w:t>用地范围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1" w:type="dxa"/>
            <w:vAlign w:val="center"/>
          </w:tcPr>
          <w:p>
            <w:pPr>
              <w:widowControl w:val="0"/>
              <w:adjustRightInd w:val="0"/>
              <w:snapToGrid w:val="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表土堆放场区</w:t>
            </w:r>
          </w:p>
        </w:tc>
        <w:tc>
          <w:tcPr>
            <w:tcW w:w="2662" w:type="dxa"/>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0.10</w:t>
            </w:r>
          </w:p>
        </w:tc>
        <w:tc>
          <w:tcPr>
            <w:tcW w:w="4060"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表土堆放场用地范围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1" w:type="dxa"/>
            <w:vAlign w:val="center"/>
          </w:tcPr>
          <w:p>
            <w:pPr>
              <w:widowControl w:val="0"/>
              <w:adjustRightInd w:val="0"/>
              <w:snapToGrid w:val="0"/>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道路工程区</w:t>
            </w:r>
          </w:p>
        </w:tc>
        <w:tc>
          <w:tcPr>
            <w:tcW w:w="2662" w:type="dxa"/>
            <w:vAlign w:val="center"/>
          </w:tcPr>
          <w:p>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0.30</w:t>
            </w:r>
          </w:p>
        </w:tc>
        <w:tc>
          <w:tcPr>
            <w:tcW w:w="4060"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新建</w:t>
            </w:r>
            <w:r>
              <w:rPr>
                <w:rFonts w:ascii="Times New Roman" w:hAnsi="Times New Roman" w:eastAsia="仿宋_GB2312" w:cs="Times New Roman"/>
                <w:color w:val="auto"/>
                <w:kern w:val="0"/>
                <w:sz w:val="18"/>
                <w:szCs w:val="18"/>
                <w:highlight w:val="none"/>
              </w:rPr>
              <w:t>道路工程用地范围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11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合计</w:t>
            </w:r>
          </w:p>
        </w:tc>
        <w:tc>
          <w:tcPr>
            <w:tcW w:w="2662" w:type="dxa"/>
            <w:vAlign w:val="center"/>
          </w:tcPr>
          <w:p>
            <w:pPr>
              <w:adjustRightInd w:val="0"/>
              <w:snapToGrid w:val="0"/>
              <w:jc w:val="center"/>
              <w:rPr>
                <w:rFonts w:hint="default" w:ascii="Times New Roman" w:hAnsi="Times New Roman" w:eastAsia="仿宋_GB2312" w:cs="Times New Roman"/>
                <w:bCs/>
                <w:color w:val="auto"/>
                <w:sz w:val="18"/>
                <w:szCs w:val="18"/>
                <w:highlight w:val="none"/>
                <w:lang w:val="en-US" w:eastAsia="zh-CN"/>
              </w:rPr>
            </w:pPr>
            <w:r>
              <w:rPr>
                <w:rFonts w:hint="eastAsia" w:ascii="Times New Roman" w:hAnsi="Times New Roman" w:eastAsia="仿宋_GB2312" w:cs="Times New Roman"/>
                <w:bCs/>
                <w:color w:val="auto"/>
                <w:sz w:val="18"/>
                <w:szCs w:val="18"/>
                <w:highlight w:val="none"/>
                <w:lang w:val="en-US" w:eastAsia="zh-CN"/>
              </w:rPr>
              <w:t>1.76</w:t>
            </w:r>
          </w:p>
        </w:tc>
        <w:tc>
          <w:tcPr>
            <w:tcW w:w="4060"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p>
        </w:tc>
      </w:tr>
    </w:tbl>
    <w:p>
      <w:pPr>
        <w:widowControl w:val="0"/>
        <w:adjustRightInd w:val="0"/>
        <w:snapToGrid w:val="0"/>
        <w:spacing w:before="120" w:beforeLines="50" w:after="120" w:afterLines="50" w:line="360" w:lineRule="auto"/>
        <w:outlineLvl w:val="1"/>
        <w:rPr>
          <w:rFonts w:ascii="Times New Roman" w:hAnsi="Times New Roman" w:eastAsia="仿宋_GB2312" w:cs="Times New Roman"/>
          <w:b/>
          <w:color w:val="auto"/>
          <w:sz w:val="30"/>
          <w:szCs w:val="28"/>
          <w:highlight w:val="none"/>
        </w:rPr>
      </w:pPr>
      <w:r>
        <w:rPr>
          <w:rFonts w:ascii="Times New Roman" w:hAnsi="Times New Roman" w:eastAsia="仿宋_GB2312" w:cs="Times New Roman"/>
          <w:b/>
          <w:color w:val="auto"/>
          <w:sz w:val="30"/>
          <w:szCs w:val="28"/>
          <w:highlight w:val="none"/>
        </w:rPr>
        <w:fldChar w:fldCharType="begin">
          <w:fldData xml:space="preserve">XwBjAHAAXwBQAEgAMgBhAGwASwBnAG0AdgBvADkAVQAzAEsAdgA0AHUAdgAvAEUAMQBBAG8AbABt
AEsAVABVAG4AUgArAFgAVwByAHAAegBGAC8AbQAwAHgAQwBvAHgAMABXADgASwAyAEYANwBaAHAA
QQA9AD0A
</w:fldData>
        </w:fldChar>
      </w:r>
      <w:r>
        <w:rPr>
          <w:rFonts w:ascii="Times New Roman" w:hAnsi="Times New Roman" w:eastAsia="仿宋_GB2312" w:cs="Times New Roman"/>
          <w:b/>
          <w:color w:val="auto"/>
          <w:sz w:val="30"/>
          <w:szCs w:val="28"/>
          <w:highlight w:val="none"/>
        </w:rPr>
        <w:instrText xml:space="preserve">ADDIN _cp_ \* MERGEFORMAT</w:instrText>
      </w:r>
      <w:r>
        <w:rPr>
          <w:rFonts w:ascii="Times New Roman" w:hAnsi="Times New Roman" w:eastAsia="仿宋_GB2312" w:cs="Times New Roman"/>
          <w:b/>
          <w:color w:val="auto"/>
          <w:sz w:val="30"/>
          <w:szCs w:val="28"/>
          <w:highlight w:val="none"/>
        </w:rPr>
        <w:fldChar w:fldCharType="separate"/>
      </w:r>
      <w:bookmarkStart w:id="242" w:name="_Toc74588748"/>
      <w:bookmarkStart w:id="243" w:name="_Toc74588697"/>
      <w:r>
        <w:rPr>
          <w:rFonts w:ascii="Times New Roman" w:hAnsi="Times New Roman" w:eastAsia="仿宋_GB2312" w:cs="Times New Roman"/>
          <w:b/>
          <w:color w:val="auto"/>
          <w:sz w:val="30"/>
          <w:szCs w:val="28"/>
          <w:highlight w:val="none"/>
        </w:rPr>
        <w:t>5.2</w:t>
      </w:r>
      <w:r>
        <w:rPr>
          <w:rFonts w:ascii="Times New Roman" w:hAnsi="Times New Roman" w:eastAsia="仿宋_GB2312" w:cs="Times New Roman"/>
          <w:b/>
          <w:color w:val="auto"/>
          <w:sz w:val="30"/>
          <w:szCs w:val="28"/>
          <w:highlight w:val="none"/>
        </w:rPr>
        <w:fldChar w:fldCharType="end"/>
      </w:r>
      <w:r>
        <w:rPr>
          <w:rFonts w:ascii="Times New Roman" w:hAnsi="Times New Roman" w:eastAsia="仿宋_GB2312" w:cs="Times New Roman"/>
          <w:b/>
          <w:color w:val="auto"/>
          <w:sz w:val="30"/>
          <w:szCs w:val="28"/>
          <w:highlight w:val="none"/>
        </w:rPr>
        <w:t>措施总体布局</w:t>
      </w:r>
      <w:bookmarkEnd w:id="242"/>
      <w:bookmarkEnd w:id="243"/>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XwBjAHAAXwBjAFUAMQBYAE0AcABvAEcAZgBVAFEASAArAEsAaQBOAEgARwBNAHoAdwBBAEgAbABP
AE0AZwBXAEgAawB0AGYAYwBQAGQAYwBWAEIALwB0ADkAagB5AEwAYQBlAHgAWQBmACsAMQBZADcA
QQA9AD0A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5.2.1</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水土流失防治措施总体布局</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根据本方案界定的水土流失防治责任范围及水土流失防治分区结果，结合项目区地形地貌、各分区水土流失特点、水土流失预测结果以及主体设计已有的具有水土保持功能措施的分析评价，本工程水土保持防治措施由工程措施、植物措施和临时措施构成。水土保持防治措施布局按照综合防治的原则进行规划，从而确定本工程水土流失防治体系和总体布局。</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各防治分区水土保持措施体系如下。</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p>
    <w:p>
      <w:pPr>
        <w:widowControl w:val="0"/>
        <w:adjustRightInd w:val="0"/>
        <w:snapToGrid w:val="0"/>
        <w:jc w:val="center"/>
        <w:rPr>
          <w:rFonts w:ascii="Times New Roman" w:hAnsi="Times New Roman" w:eastAsia="仿宋_GB2312" w:cs="Times New Roman"/>
          <w:b/>
          <w:color w:val="auto"/>
        </w:rPr>
      </w:pPr>
      <w:r>
        <w:rPr>
          <w:rFonts w:ascii="Times New Roman" w:hAnsi="Times New Roman" w:eastAsia="仿宋_GB2312" w:cs="Times New Roman"/>
          <w:b/>
          <w:color w:val="auto"/>
        </w:rPr>
        <w:fldChar w:fldCharType="begin">
          <w:fldData xml:space="preserve">XwBjAHAAXwBwAEcANwBsAGkANABTAFUAdwB3AHkAcwBMAGkAYwBOAE4AdwB3AHMANgBOAGUAZQB2
AHAAQgBTAEQAcABGAEsAVABoAFYAbAB6AEwANQBFAGEAVQBkAFoANgBCAFcAcABkAG4AMAA0AGQA
UQA9AD0A
</w:fldData>
        </w:fldChar>
      </w:r>
      <w:r>
        <w:rPr>
          <w:rFonts w:ascii="Times New Roman" w:hAnsi="Times New Roman" w:eastAsia="仿宋_GB2312" w:cs="Times New Roman"/>
          <w:b/>
          <w:color w:val="auto"/>
        </w:rPr>
        <w:instrText xml:space="preserve">ADDIN _cp_ \* MERGEFORMAT</w:instrText>
      </w:r>
      <w:r>
        <w:rPr>
          <w:rFonts w:ascii="Times New Roman" w:hAnsi="Times New Roman" w:eastAsia="仿宋_GB2312" w:cs="Times New Roman"/>
          <w:b/>
          <w:color w:val="auto"/>
        </w:rPr>
        <w:fldChar w:fldCharType="separate"/>
      </w:r>
      <w:r>
        <w:rPr>
          <w:rFonts w:ascii="Times New Roman" w:hAnsi="Times New Roman" w:eastAsia="仿宋_GB2312" w:cs="Times New Roman"/>
          <w:b/>
          <w:color w:val="auto"/>
        </w:rPr>
        <w:t>表5.-1</w:t>
      </w:r>
      <w:r>
        <w:rPr>
          <w:rFonts w:ascii="Times New Roman" w:hAnsi="Times New Roman" w:eastAsia="仿宋_GB2312" w:cs="Times New Roman"/>
          <w:b/>
          <w:color w:val="auto"/>
        </w:rPr>
        <w:fldChar w:fldCharType="end"/>
      </w:r>
      <w:r>
        <w:rPr>
          <w:rFonts w:ascii="Times New Roman" w:hAnsi="Times New Roman" w:eastAsia="仿宋_GB2312" w:cs="Times New Roman"/>
          <w:b/>
          <w:color w:val="auto"/>
        </w:rPr>
        <w:t>水土流失防治措施体系表</w:t>
      </w:r>
    </w:p>
    <w:tbl>
      <w:tblPr>
        <w:tblStyle w:val="39"/>
        <w:tblW w:w="883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1351"/>
        <w:gridCol w:w="5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shd w:val="clear" w:color="auto" w:fill="auto"/>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防治分区</w:t>
            </w:r>
          </w:p>
        </w:tc>
        <w:tc>
          <w:tcPr>
            <w:tcW w:w="1351" w:type="dxa"/>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措施类型</w:t>
            </w:r>
          </w:p>
        </w:tc>
        <w:tc>
          <w:tcPr>
            <w:tcW w:w="5814" w:type="dxa"/>
            <w:shd w:val="clear" w:color="auto" w:fill="auto"/>
            <w:noWrap/>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restart"/>
            <w:shd w:val="clear" w:color="auto" w:fill="auto"/>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井场及附属工程区</w:t>
            </w: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工程措施</w:t>
            </w:r>
          </w:p>
        </w:tc>
        <w:tc>
          <w:tcPr>
            <w:tcW w:w="5814" w:type="dxa"/>
            <w:shd w:val="clear" w:color="auto" w:fill="auto"/>
            <w:noWrap/>
            <w:vAlign w:val="center"/>
          </w:tcPr>
          <w:p>
            <w:pPr>
              <w:widowControl w:val="0"/>
              <w:adjustRightInd w:val="0"/>
              <w:snapToGrid w:val="0"/>
              <w:rPr>
                <w:rFonts w:ascii="Times New Roman" w:hAnsi="Times New Roman" w:eastAsia="仿宋_GB2312" w:cs="Times New Roman"/>
                <w:color w:val="auto"/>
                <w:sz w:val="18"/>
                <w:szCs w:val="18"/>
              </w:rPr>
            </w:pPr>
            <w:r>
              <w:rPr>
                <w:rFonts w:hint="eastAsia" w:ascii="Times New Roman" w:hAnsi="Times New Roman" w:eastAsia="仿宋_GB2312" w:cs="Times New Roman"/>
                <w:color w:val="auto"/>
                <w:sz w:val="18"/>
                <w:szCs w:val="18"/>
                <w:lang w:val="en-US" w:eastAsia="zh-CN"/>
              </w:rPr>
              <w:t>场外排</w:t>
            </w:r>
            <w:r>
              <w:rPr>
                <w:rFonts w:ascii="Times New Roman" w:hAnsi="Times New Roman" w:eastAsia="仿宋_GB2312" w:cs="Times New Roman"/>
                <w:color w:val="auto"/>
                <w:sz w:val="18"/>
                <w:szCs w:val="18"/>
              </w:rPr>
              <w:t>水沟*、</w:t>
            </w:r>
            <w:r>
              <w:rPr>
                <w:rFonts w:hint="eastAsia" w:ascii="Times New Roman" w:hAnsi="Times New Roman" w:eastAsia="仿宋_GB2312" w:cs="Times New Roman"/>
                <w:color w:val="auto"/>
                <w:sz w:val="18"/>
                <w:szCs w:val="18"/>
                <w:lang w:val="en-US" w:eastAsia="zh-CN"/>
              </w:rPr>
              <w:t>场内排水沟</w:t>
            </w:r>
            <w:r>
              <w:rPr>
                <w:rFonts w:ascii="Times New Roman" w:hAnsi="Times New Roman" w:eastAsia="仿宋_GB2312" w:cs="Times New Roman"/>
                <w:color w:val="auto"/>
                <w:sz w:val="18"/>
                <w:szCs w:val="18"/>
              </w:rPr>
              <w:t>*</w:t>
            </w:r>
            <w:r>
              <w:rPr>
                <w:rFonts w:hint="eastAsia" w:ascii="Times New Roman" w:hAnsi="Times New Roman" w:eastAsia="仿宋_GB2312" w:cs="Times New Roman"/>
                <w:color w:val="auto"/>
                <w:sz w:val="18"/>
                <w:szCs w:val="18"/>
                <w:lang w:val="en-US" w:eastAsia="zh-CN"/>
              </w:rPr>
              <w:t>、</w:t>
            </w:r>
            <w:r>
              <w:rPr>
                <w:rFonts w:ascii="Times New Roman" w:hAnsi="Times New Roman" w:eastAsia="仿宋_GB2312" w:cs="Times New Roman"/>
                <w:color w:val="auto"/>
                <w:sz w:val="18"/>
                <w:szCs w:val="18"/>
              </w:rPr>
              <w:t>表土剥离*、表土回覆、土地整治、复耕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植物措施</w:t>
            </w:r>
          </w:p>
        </w:tc>
        <w:tc>
          <w:tcPr>
            <w:tcW w:w="5814" w:type="dxa"/>
            <w:shd w:val="clear" w:color="auto" w:fill="auto"/>
            <w:noWrap/>
            <w:vAlign w:val="center"/>
          </w:tcPr>
          <w:p>
            <w:pPr>
              <w:widowControl w:val="0"/>
              <w:adjustRightInd w:val="0"/>
              <w:snapToGrid w:val="0"/>
              <w:rPr>
                <w:rFonts w:hint="eastAsia" w:ascii="Times New Roman" w:hAnsi="Times New Roman" w:eastAsia="仿宋_GB2312" w:cs="Times New Roman"/>
                <w:color w:val="auto"/>
                <w:sz w:val="18"/>
                <w:szCs w:val="18"/>
                <w:lang w:eastAsia="zh-CN"/>
              </w:rPr>
            </w:pPr>
            <w:r>
              <w:rPr>
                <w:rFonts w:hint="eastAsia" w:ascii="Times New Roman" w:hAnsi="Times New Roman" w:eastAsia="仿宋_GB2312" w:cs="Times New Roman"/>
                <w:color w:val="auto"/>
                <w:sz w:val="18"/>
                <w:szCs w:val="18"/>
                <w:lang w:val="en-US" w:eastAsia="zh-CN"/>
              </w:rPr>
              <w:t>边坡绿化</w:t>
            </w:r>
            <w:r>
              <w:rPr>
                <w:rFonts w:ascii="Times New Roman" w:hAnsi="Times New Roman" w:eastAsia="仿宋_GB2312" w:cs="Times New Roman"/>
                <w:color w:val="auto"/>
                <w:sz w:val="18"/>
                <w:szCs w:val="18"/>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临时措施</w:t>
            </w:r>
          </w:p>
        </w:tc>
        <w:tc>
          <w:tcPr>
            <w:tcW w:w="5814" w:type="dxa"/>
            <w:shd w:val="clear" w:color="auto" w:fill="auto"/>
            <w:noWrap/>
            <w:vAlign w:val="center"/>
          </w:tcPr>
          <w:p>
            <w:pPr>
              <w:widowControl w:val="0"/>
              <w:adjustRightInd w:val="0"/>
              <w:snapToGrid w:val="0"/>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临时土质排水沟、临时沉沙池、临时苫盖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restart"/>
            <w:shd w:val="clear" w:color="auto" w:fill="auto"/>
            <w:noWrap/>
            <w:vAlign w:val="center"/>
          </w:tcPr>
          <w:p>
            <w:pPr>
              <w:widowControl w:val="0"/>
              <w:adjustRightInd w:val="0"/>
              <w:snapToGrid w:val="0"/>
              <w:jc w:val="center"/>
              <w:rPr>
                <w:rFonts w:hint="eastAsia" w:ascii="Times New Roman" w:hAnsi="Times New Roman" w:eastAsia="仿宋_GB2312" w:cs="Times New Roman"/>
                <w:color w:val="auto"/>
                <w:sz w:val="18"/>
                <w:szCs w:val="18"/>
                <w:lang w:eastAsia="zh-CN"/>
              </w:rPr>
            </w:pPr>
            <w:r>
              <w:rPr>
                <w:rFonts w:ascii="Times New Roman" w:hAnsi="Times New Roman" w:eastAsia="仿宋_GB2312" w:cs="Times New Roman"/>
                <w:color w:val="auto"/>
                <w:sz w:val="18"/>
                <w:szCs w:val="18"/>
              </w:rPr>
              <w:t>施工</w:t>
            </w:r>
            <w:r>
              <w:rPr>
                <w:rFonts w:hint="eastAsia" w:ascii="Times New Roman" w:hAnsi="Times New Roman" w:eastAsia="仿宋_GB2312" w:cs="Times New Roman"/>
                <w:color w:val="auto"/>
                <w:sz w:val="18"/>
                <w:szCs w:val="18"/>
                <w:lang w:eastAsia="zh-CN"/>
              </w:rPr>
              <w:t>临时生活区</w:t>
            </w: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工程措施</w:t>
            </w:r>
          </w:p>
        </w:tc>
        <w:tc>
          <w:tcPr>
            <w:tcW w:w="5814" w:type="dxa"/>
            <w:shd w:val="clear" w:color="auto" w:fill="auto"/>
            <w:noWrap/>
            <w:vAlign w:val="center"/>
          </w:tcPr>
          <w:p>
            <w:pPr>
              <w:widowControl w:val="0"/>
              <w:adjustRightInd w:val="0"/>
              <w:snapToGrid w:val="0"/>
              <w:rPr>
                <w:rFonts w:ascii="Times New Roman" w:hAnsi="Times New Roman" w:eastAsia="仿宋_GB2312" w:cs="Times New Roman"/>
                <w:color w:val="auto"/>
                <w:sz w:val="18"/>
                <w:szCs w:val="18"/>
              </w:rPr>
            </w:pPr>
            <w:r>
              <w:rPr>
                <w:rFonts w:hint="eastAsia" w:ascii="Times New Roman" w:hAnsi="Times New Roman" w:eastAsia="仿宋_GB2312" w:cs="Times New Roman"/>
                <w:color w:val="auto"/>
                <w:sz w:val="18"/>
                <w:szCs w:val="18"/>
                <w:lang w:val="en-US" w:eastAsia="zh-CN"/>
              </w:rPr>
              <w:t>排水沟*、</w:t>
            </w:r>
            <w:r>
              <w:rPr>
                <w:rFonts w:ascii="Times New Roman" w:hAnsi="Times New Roman" w:eastAsia="仿宋_GB2312" w:cs="Times New Roman"/>
                <w:color w:val="auto"/>
                <w:sz w:val="18"/>
                <w:szCs w:val="18"/>
              </w:rPr>
              <w:t>土地整治、复耕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8" w:hRule="atLeast"/>
          <w:jc w:val="center"/>
        </w:trPr>
        <w:tc>
          <w:tcPr>
            <w:tcW w:w="1668" w:type="dxa"/>
            <w:vMerge w:val="continue"/>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临时措施</w:t>
            </w:r>
          </w:p>
        </w:tc>
        <w:tc>
          <w:tcPr>
            <w:tcW w:w="5814" w:type="dxa"/>
            <w:shd w:val="clear" w:color="auto" w:fill="auto"/>
            <w:noWrap/>
            <w:vAlign w:val="center"/>
          </w:tcPr>
          <w:p>
            <w:pPr>
              <w:widowControl w:val="0"/>
              <w:adjustRightInd w:val="0"/>
              <w:snapToGrid w:val="0"/>
              <w:rPr>
                <w:rFonts w:hint="eastAsia" w:ascii="Times New Roman" w:hAnsi="Times New Roman" w:eastAsia="仿宋_GB2312" w:cs="Times New Roman"/>
                <w:color w:val="auto"/>
                <w:sz w:val="18"/>
                <w:szCs w:val="18"/>
                <w:lang w:val="en-US" w:eastAsia="zh-CN"/>
              </w:rPr>
            </w:pPr>
            <w:r>
              <w:rPr>
                <w:rFonts w:ascii="Times New Roman" w:hAnsi="Times New Roman" w:eastAsia="仿宋_GB2312" w:cs="Times New Roman"/>
                <w:color w:val="auto"/>
                <w:sz w:val="18"/>
                <w:szCs w:val="18"/>
              </w:rPr>
              <w:t>铺垫土工布、临时沉砂池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restart"/>
            <w:shd w:val="clear" w:color="auto" w:fill="auto"/>
            <w:noWrap/>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表土堆放场区</w:t>
            </w: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工程措施</w:t>
            </w:r>
          </w:p>
        </w:tc>
        <w:tc>
          <w:tcPr>
            <w:tcW w:w="5814" w:type="dxa"/>
            <w:shd w:val="clear" w:color="auto" w:fill="auto"/>
            <w:noWrap/>
            <w:vAlign w:val="center"/>
          </w:tcPr>
          <w:p>
            <w:pPr>
              <w:widowControl w:val="0"/>
              <w:adjustRightInd w:val="0"/>
              <w:snapToGrid w:val="0"/>
              <w:rPr>
                <w:rFonts w:hint="default" w:ascii="Times New Roman" w:hAnsi="Times New Roman" w:eastAsia="仿宋_GB2312" w:cs="Times New Roman"/>
                <w:color w:val="auto"/>
                <w:sz w:val="18"/>
                <w:szCs w:val="18"/>
                <w:lang w:val="en-US" w:eastAsia="zh-CN"/>
              </w:rPr>
            </w:pPr>
            <w:r>
              <w:rPr>
                <w:rFonts w:ascii="Times New Roman" w:hAnsi="Times New Roman" w:eastAsia="仿宋_GB2312" w:cs="Times New Roman"/>
                <w:color w:val="auto"/>
                <w:sz w:val="18"/>
                <w:szCs w:val="18"/>
              </w:rPr>
              <w:t>土地整治、复耕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临时措施</w:t>
            </w:r>
          </w:p>
        </w:tc>
        <w:tc>
          <w:tcPr>
            <w:tcW w:w="5814" w:type="dxa"/>
            <w:shd w:val="clear" w:color="auto" w:fill="auto"/>
            <w:noWrap/>
            <w:vAlign w:val="center"/>
          </w:tcPr>
          <w:p>
            <w:pPr>
              <w:widowControl w:val="0"/>
              <w:adjustRightInd w:val="0"/>
              <w:snapToGrid w:val="0"/>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en-US" w:eastAsia="zh-CN"/>
              </w:rPr>
              <w:t>播撒草籽</w:t>
            </w:r>
            <w:r>
              <w:rPr>
                <w:rFonts w:ascii="Times New Roman" w:hAnsi="Times New Roman" w:eastAsia="仿宋_GB2312" w:cs="Times New Roman"/>
                <w:color w:val="auto"/>
                <w:sz w:val="18"/>
                <w:szCs w:val="18"/>
              </w:rPr>
              <w:t>*，</w:t>
            </w:r>
            <w:r>
              <w:rPr>
                <w:rFonts w:hint="eastAsia" w:ascii="Times New Roman" w:hAnsi="Times New Roman" w:eastAsia="仿宋_GB2312" w:cs="Times New Roman"/>
                <w:color w:val="auto"/>
                <w:sz w:val="18"/>
                <w:szCs w:val="18"/>
                <w:lang w:val="en-US" w:eastAsia="zh-CN"/>
              </w:rPr>
              <w:t>填土编制袋拦挡</w:t>
            </w:r>
            <w:r>
              <w:rPr>
                <w:rFonts w:ascii="Times New Roman" w:hAnsi="Times New Roman" w:eastAsia="仿宋_GB2312" w:cs="Times New Roman"/>
                <w:color w:val="auto"/>
                <w:sz w:val="18"/>
                <w:szCs w:val="18"/>
              </w:rPr>
              <w:t>*</w:t>
            </w:r>
            <w:r>
              <w:rPr>
                <w:rFonts w:hint="eastAsia" w:ascii="Times New Roman" w:hAnsi="Times New Roman" w:eastAsia="仿宋_GB2312" w:cs="Times New Roman"/>
                <w:color w:val="auto"/>
                <w:sz w:val="18"/>
                <w:szCs w:val="18"/>
                <w:lang w:val="en-US" w:eastAsia="zh-CN"/>
              </w:rPr>
              <w:t>、填土编制袋拆除、</w:t>
            </w:r>
            <w:r>
              <w:rPr>
                <w:rFonts w:ascii="Times New Roman" w:hAnsi="Times New Roman" w:eastAsia="仿宋_GB2312" w:cs="Times New Roman"/>
                <w:color w:val="auto"/>
                <w:sz w:val="18"/>
                <w:szCs w:val="18"/>
              </w:rPr>
              <w:t>临时苫盖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restart"/>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道路工程区</w:t>
            </w: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工程措施</w:t>
            </w:r>
          </w:p>
        </w:tc>
        <w:tc>
          <w:tcPr>
            <w:tcW w:w="5814" w:type="dxa"/>
            <w:shd w:val="clear" w:color="auto" w:fill="auto"/>
            <w:noWrap/>
            <w:vAlign w:val="center"/>
          </w:tcPr>
          <w:p>
            <w:pPr>
              <w:widowControl w:val="0"/>
              <w:adjustRightInd w:val="0"/>
              <w:snapToGrid w:val="0"/>
              <w:rPr>
                <w:rFonts w:ascii="Times New Roman" w:hAnsi="Times New Roman" w:eastAsia="仿宋_GB2312" w:cs="Times New Roman"/>
                <w:color w:val="auto"/>
                <w:sz w:val="18"/>
                <w:szCs w:val="18"/>
              </w:rPr>
            </w:pPr>
            <w:r>
              <w:rPr>
                <w:rFonts w:hint="eastAsia" w:ascii="Times New Roman" w:hAnsi="Times New Roman" w:eastAsia="仿宋_GB2312" w:cs="Times New Roman"/>
                <w:color w:val="auto"/>
                <w:sz w:val="18"/>
                <w:szCs w:val="18"/>
                <w:lang w:val="en-US" w:eastAsia="zh-CN"/>
              </w:rPr>
              <w:t>排水沟*、</w:t>
            </w:r>
            <w:r>
              <w:rPr>
                <w:rFonts w:ascii="Times New Roman" w:hAnsi="Times New Roman" w:eastAsia="仿宋_GB2312" w:cs="Times New Roman"/>
                <w:color w:val="auto"/>
                <w:sz w:val="18"/>
                <w:szCs w:val="18"/>
              </w:rPr>
              <w:t>表土剥离</w:t>
            </w:r>
            <w:r>
              <w:rPr>
                <w:rFonts w:hint="eastAsia" w:ascii="Times New Roman" w:hAnsi="Times New Roman" w:eastAsia="仿宋_GB2312" w:cs="Times New Roman"/>
                <w:color w:val="auto"/>
                <w:sz w:val="18"/>
                <w:szCs w:val="18"/>
                <w:lang w:eastAsia="zh-CN"/>
              </w:rPr>
              <w:t>、</w:t>
            </w:r>
            <w:r>
              <w:rPr>
                <w:rFonts w:ascii="Times New Roman" w:hAnsi="Times New Roman" w:eastAsia="仿宋_GB2312" w:cs="Times New Roman"/>
                <w:color w:val="auto"/>
                <w:sz w:val="18"/>
                <w:szCs w:val="18"/>
              </w:rPr>
              <w:t>表土回覆</w:t>
            </w:r>
            <w:r>
              <w:rPr>
                <w:rFonts w:hint="eastAsia" w:ascii="Times New Roman" w:hAnsi="Times New Roman" w:eastAsia="仿宋_GB2312" w:cs="Times New Roman"/>
                <w:color w:val="auto"/>
                <w:sz w:val="18"/>
                <w:szCs w:val="18"/>
                <w:lang w:eastAsia="zh-CN"/>
              </w:rPr>
              <w:t>、</w:t>
            </w:r>
            <w:r>
              <w:rPr>
                <w:rFonts w:ascii="Times New Roman" w:hAnsi="Times New Roman" w:eastAsia="仿宋_GB2312" w:cs="Times New Roman"/>
                <w:color w:val="auto"/>
                <w:sz w:val="18"/>
                <w:szCs w:val="18"/>
              </w:rPr>
              <w:t>土地整治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8" w:type="dxa"/>
            <w:vMerge w:val="continue"/>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351" w:type="dxa"/>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临时措施</w:t>
            </w:r>
          </w:p>
        </w:tc>
        <w:tc>
          <w:tcPr>
            <w:tcW w:w="5814" w:type="dxa"/>
            <w:shd w:val="clear" w:color="auto" w:fill="auto"/>
            <w:noWrap/>
            <w:vAlign w:val="center"/>
          </w:tcPr>
          <w:p>
            <w:pPr>
              <w:widowControl w:val="0"/>
              <w:adjustRightInd w:val="0"/>
              <w:snapToGrid w:val="0"/>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临时沉沙池、临时苫盖</w:t>
            </w:r>
          </w:p>
        </w:tc>
      </w:tr>
    </w:tbl>
    <w:p>
      <w:pPr>
        <w:widowControl w:val="0"/>
        <w:rPr>
          <w:rFonts w:ascii="Times New Roman" w:hAnsi="Times New Roman" w:eastAsia="仿宋_GB2312" w:cs="Times New Roman"/>
          <w:color w:val="auto"/>
        </w:rPr>
      </w:pPr>
      <w:r>
        <w:rPr>
          <w:rFonts w:ascii="Times New Roman" w:hAnsi="Times New Roman" w:eastAsia="仿宋_GB2312" w:cs="Times New Roman"/>
          <w:color w:val="auto"/>
        </w:rPr>
        <w:t>注：*表示主体已有措施。</w:t>
      </w:r>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rPr>
      </w:pPr>
      <w:r>
        <w:rPr>
          <w:rFonts w:ascii="Times New Roman" w:hAnsi="Times New Roman" w:eastAsia="仿宋_GB2312" w:cs="Times New Roman"/>
          <w:b/>
          <w:color w:val="auto"/>
          <w:sz w:val="28"/>
          <w:szCs w:val="24"/>
        </w:rPr>
        <w:fldChar w:fldCharType="begin">
          <w:fldData xml:space="preserve">XwBjAHAAXwBjAFUAMQBYAE0AcABvAEcAZgBVAFEASAArAEsAaQBOAEgARwBNAHoAdwBBAEgAbABP
AE0AZwBXAEgAawB0AGYAYwBQAGQAYwBWAEIALwB0ADkAagB5AEwAYQBlAHgAWQBmACsAMQBZADcA
QQA9AD0A
</w:fldData>
        </w:fldChar>
      </w:r>
      <w:r>
        <w:rPr>
          <w:rFonts w:ascii="Times New Roman" w:hAnsi="Times New Roman" w:eastAsia="仿宋_GB2312" w:cs="Times New Roman"/>
          <w:b/>
          <w:color w:val="auto"/>
          <w:sz w:val="28"/>
          <w:szCs w:val="24"/>
        </w:rPr>
        <w:instrText xml:space="preserve">ADDIN _cp_ \* MERGEFORMAT</w:instrText>
      </w:r>
      <w:r>
        <w:rPr>
          <w:rFonts w:ascii="Times New Roman" w:hAnsi="Times New Roman" w:eastAsia="仿宋_GB2312" w:cs="Times New Roman"/>
          <w:b/>
          <w:color w:val="auto"/>
          <w:sz w:val="28"/>
          <w:szCs w:val="24"/>
        </w:rPr>
        <w:fldChar w:fldCharType="separate"/>
      </w:r>
      <w:r>
        <w:rPr>
          <w:rFonts w:ascii="Times New Roman" w:hAnsi="Times New Roman" w:eastAsia="仿宋_GB2312" w:cs="Times New Roman"/>
          <w:b/>
          <w:color w:val="auto"/>
          <w:sz w:val="28"/>
          <w:szCs w:val="24"/>
        </w:rPr>
        <w:t>5.2.2</w:t>
      </w:r>
      <w:r>
        <w:rPr>
          <w:rFonts w:ascii="Times New Roman" w:hAnsi="Times New Roman" w:eastAsia="仿宋_GB2312" w:cs="Times New Roman"/>
          <w:b/>
          <w:color w:val="auto"/>
          <w:sz w:val="28"/>
          <w:szCs w:val="24"/>
        </w:rPr>
        <w:fldChar w:fldCharType="end"/>
      </w:r>
      <w:r>
        <w:rPr>
          <w:rFonts w:ascii="Times New Roman" w:hAnsi="Times New Roman" w:eastAsia="仿宋_GB2312" w:cs="Times New Roman"/>
          <w:b/>
          <w:color w:val="auto"/>
          <w:sz w:val="28"/>
          <w:szCs w:val="24"/>
        </w:rPr>
        <w:t>措施布设原则</w:t>
      </w:r>
    </w:p>
    <w:p>
      <w:pPr>
        <w:widowControl w:val="0"/>
        <w:adjustRightInd w:val="0"/>
        <w:snapToGrid w:val="0"/>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5.2.2.1工程措施布设原则</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1、设计原则</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所采取的水土保持工程措施与工程建设协调一致，相关工程要兼顾主体建设和水土保持两方面的需要。使新增措施与主体设计已有工程有机结合，合理防治工程建设中的水土流失，并节约投资。</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2、相关工程采用标准</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根据《生产建设项目水土保持技术标准（GB50433-2018）》，并参照《防洪标准》（GB50201-2014）、《水利水电工程等级划分及洪水标准》（SL252-2017）、《水土保持工程设计规范》（GB51018-2014）等相关规范确定水土保持工程等级及设计标准。</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坡面截排水沟排水设计标准采用5年一遇10min短历时设计暴雨。</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表土堆放场挡土墙按5级建筑物标准进行设计。</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土地整治覆土厚度根据《水土保持工程设计规范》（GB51018-2014）标准：耕地0.3~0.5m。</w:t>
      </w:r>
    </w:p>
    <w:p>
      <w:pPr>
        <w:widowControl w:val="0"/>
        <w:adjustRightInd w:val="0"/>
        <w:snapToGrid w:val="0"/>
        <w:spacing w:before="120" w:beforeLines="50" w:after="120" w:afterLines="50" w:line="360" w:lineRule="auto"/>
        <w:outlineLvl w:val="3"/>
        <w:rPr>
          <w:rFonts w:ascii="Times New Roman" w:hAnsi="Times New Roman" w:eastAsia="仿宋_GB2312" w:cs="Times New Roman"/>
          <w:b/>
          <w:bCs/>
          <w:color w:val="auto"/>
          <w:sz w:val="24"/>
          <w:szCs w:val="28"/>
        </w:rPr>
      </w:pPr>
      <w:r>
        <w:rPr>
          <w:rFonts w:ascii="Times New Roman" w:hAnsi="Times New Roman" w:eastAsia="仿宋_GB2312" w:cs="Times New Roman"/>
          <w:b/>
          <w:bCs/>
          <w:color w:val="auto"/>
          <w:sz w:val="24"/>
          <w:szCs w:val="28"/>
        </w:rPr>
        <w:t>5.2.2.2植被恢复与建设工程设计原则</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1、设计原则</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因地制宜、因害设防；适地适树适草、采用乡土树草种；防护功能多样性与景观协调。设计过程中需考虑防治区的治理与生态环境治理和周边景观协调一致，坡面、坡度等满足植被恢复基本条件。</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2、工程等级</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根据《水土保持工程设计规范》（GB51018-2014）规定，植被恢复级别采用3级。</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3、立地条件类型与树草种选择</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根据对当地适生物种的调查，为满足防治水土流失、恢复项目区绿化和美化环境要求，本着“安全、舒适、美观、生态”原则，根据项目区立地条件和沿线气候特点，选择适生能力强、生长速度快、栽培和养护容易的优良树草种，对沿线采用由圬工防护以及乔、灌、草、藤本植物为一体的防护措施，对边坡进行综合处置。</w:t>
      </w:r>
    </w:p>
    <w:p>
      <w:pPr>
        <w:widowControl w:val="0"/>
        <w:adjustRightInd w:val="0"/>
        <w:snapToGrid w:val="0"/>
        <w:spacing w:before="120" w:beforeLines="50" w:after="120" w:afterLines="50" w:line="360" w:lineRule="auto"/>
        <w:outlineLvl w:val="3"/>
        <w:rPr>
          <w:rFonts w:ascii="Times New Roman" w:hAnsi="Times New Roman" w:eastAsia="仿宋_GB2312" w:cs="Times New Roman"/>
          <w:b/>
          <w:bCs/>
          <w:color w:val="auto"/>
          <w:sz w:val="24"/>
          <w:szCs w:val="28"/>
          <w:highlight w:val="none"/>
        </w:rPr>
      </w:pPr>
      <w:r>
        <w:rPr>
          <w:rFonts w:ascii="Times New Roman" w:hAnsi="Times New Roman" w:eastAsia="仿宋_GB2312" w:cs="Times New Roman"/>
          <w:b/>
          <w:bCs/>
          <w:color w:val="auto"/>
          <w:sz w:val="24"/>
          <w:szCs w:val="28"/>
          <w:highlight w:val="none"/>
        </w:rPr>
        <w:t>5.2.2.2临时防护工程设计原则</w:t>
      </w:r>
    </w:p>
    <w:p>
      <w:pPr>
        <w:pStyle w:val="2"/>
        <w:rPr>
          <w:rFonts w:hint="eastAsia" w:eastAsia="仿宋_GB2312"/>
          <w:color w:val="auto"/>
          <w:highlight w:val="none"/>
          <w:lang w:eastAsia="zh-CN"/>
        </w:rPr>
      </w:pPr>
      <w:r>
        <w:rPr>
          <w:rFonts w:ascii="Times New Roman" w:hAnsi="Times New Roman" w:eastAsia="仿宋_GB2312" w:cs="Times New Roman"/>
          <w:color w:val="auto"/>
          <w:sz w:val="24"/>
          <w:highlight w:val="none"/>
        </w:rPr>
        <w:t>本方案根据项目建设特点及施工工艺和组织特性，进行施工期间临时防护措施布设，主要有临时拦挡、临时苫盖、临时排水、临时沉沙等，在暴雨期间需进行临时应急措施安排。同时在施工过程中加强砂、土、石等建筑材料和清场、清基废料的挡护、覆盖，减少施工过程中造成人为水土流失，以确保临时性防治措施与主体防治措施的衔接，达到控制新增水土流失的目的。根据《水土保持工程设计规范》（GB51018-2014）规定，</w:t>
      </w:r>
      <w:r>
        <w:rPr>
          <w:rFonts w:hint="eastAsia" w:ascii="Times New Roman" w:hAnsi="Times New Roman" w:eastAsia="仿宋_GB2312" w:cs="Times New Roman"/>
          <w:color w:val="auto"/>
          <w:sz w:val="24"/>
          <w:highlight w:val="none"/>
        </w:rPr>
        <w:t>临时排水工程防洪设计重现期为3~5</w:t>
      </w:r>
      <w:r>
        <w:rPr>
          <w:rFonts w:ascii="Times New Roman" w:hAnsi="Times New Roman" w:eastAsia="仿宋_GB2312" w:cs="Times New Roman"/>
          <w:color w:val="auto"/>
          <w:sz w:val="24"/>
          <w:highlight w:val="none"/>
        </w:rPr>
        <w:t>年</w:t>
      </w:r>
      <w:r>
        <w:rPr>
          <w:rFonts w:hint="eastAsia" w:ascii="Times New Roman" w:hAnsi="Times New Roman" w:eastAsia="仿宋_GB2312" w:cs="Times New Roman"/>
          <w:color w:val="auto"/>
          <w:sz w:val="24"/>
          <w:highlight w:val="none"/>
        </w:rPr>
        <w:t>一遇，因本项目无法避让省级重点治理区，根据《生产建设项目水土保持技术标准》（</w:t>
      </w:r>
      <w:r>
        <w:rPr>
          <w:rFonts w:ascii="Times New Roman" w:hAnsi="Times New Roman" w:eastAsia="仿宋_GB2312" w:cs="Times New Roman"/>
          <w:color w:val="auto"/>
          <w:sz w:val="24"/>
          <w:highlight w:val="none"/>
        </w:rPr>
        <w:t>GB50433-2018）的要求</w:t>
      </w:r>
      <w:r>
        <w:rPr>
          <w:rFonts w:hint="eastAsia" w:ascii="Times New Roman" w:hAnsi="Times New Roman" w:eastAsia="仿宋_GB2312" w:cs="Times New Roman"/>
          <w:color w:val="auto"/>
          <w:sz w:val="24"/>
          <w:highlight w:val="none"/>
        </w:rPr>
        <w:t>本方案临时截排水工程防洪设计重现期为5年一遇</w:t>
      </w:r>
      <w:r>
        <w:rPr>
          <w:rFonts w:hint="eastAsia" w:ascii="Times New Roman" w:hAnsi="Times New Roman" w:cs="Times New Roman"/>
          <w:color w:val="auto"/>
          <w:sz w:val="24"/>
          <w:highlight w:val="none"/>
          <w:lang w:eastAsia="zh-CN"/>
        </w:rPr>
        <w:t>。</w:t>
      </w:r>
    </w:p>
    <w:p>
      <w:pPr>
        <w:widowControl w:val="0"/>
        <w:adjustRightInd w:val="0"/>
        <w:snapToGrid w:val="0"/>
        <w:spacing w:before="120" w:beforeLines="50" w:after="120" w:afterLines="50" w:line="360" w:lineRule="auto"/>
        <w:outlineLvl w:val="1"/>
        <w:rPr>
          <w:rFonts w:ascii="Times New Roman" w:hAnsi="Times New Roman" w:eastAsia="仿宋_GB2312" w:cs="Times New Roman"/>
          <w:b/>
          <w:color w:val="auto"/>
          <w:sz w:val="30"/>
          <w:szCs w:val="28"/>
          <w:highlight w:val="none"/>
        </w:rPr>
      </w:pPr>
      <w:r>
        <w:rPr>
          <w:rFonts w:ascii="Times New Roman" w:hAnsi="Times New Roman" w:eastAsia="仿宋_GB2312" w:cs="Times New Roman"/>
          <w:b/>
          <w:color w:val="auto"/>
          <w:sz w:val="30"/>
          <w:szCs w:val="28"/>
          <w:highlight w:val="none"/>
        </w:rPr>
        <w:fldChar w:fldCharType="begin">
          <w:fldData xml:space="preserve">XwBjAHAAXwBKADAAMgAyADYAbQA4AFkAawB2AGcAeQBsAGkAYQBGAGkAdgA5AGgAMQBsAHoAdgBN
AHcAWgBtAGEAZgBQAFEAZABoAHAAVgBkADEATwBsAE4AWgBpAFkAQQBSAHoAdgBvAGEAOABFAG8A
dwA9AD0A
</w:fldData>
        </w:fldChar>
      </w:r>
      <w:r>
        <w:rPr>
          <w:rFonts w:ascii="Times New Roman" w:hAnsi="Times New Roman" w:eastAsia="仿宋_GB2312" w:cs="Times New Roman"/>
          <w:b/>
          <w:color w:val="auto"/>
          <w:sz w:val="30"/>
          <w:szCs w:val="28"/>
          <w:highlight w:val="none"/>
        </w:rPr>
        <w:instrText xml:space="preserve">ADDIN _cp_ \* MERGEFORMAT</w:instrText>
      </w:r>
      <w:r>
        <w:rPr>
          <w:rFonts w:ascii="Times New Roman" w:hAnsi="Times New Roman" w:eastAsia="仿宋_GB2312" w:cs="Times New Roman"/>
          <w:b/>
          <w:color w:val="auto"/>
          <w:sz w:val="30"/>
          <w:szCs w:val="28"/>
          <w:highlight w:val="none"/>
        </w:rPr>
        <w:fldChar w:fldCharType="separate"/>
      </w:r>
      <w:bookmarkStart w:id="244" w:name="_Toc74588749"/>
      <w:bookmarkStart w:id="245" w:name="_Toc74588698"/>
      <w:r>
        <w:rPr>
          <w:rFonts w:ascii="Times New Roman" w:hAnsi="Times New Roman" w:eastAsia="仿宋_GB2312" w:cs="Times New Roman"/>
          <w:b/>
          <w:color w:val="auto"/>
          <w:sz w:val="30"/>
          <w:szCs w:val="28"/>
          <w:highlight w:val="none"/>
        </w:rPr>
        <w:t>5.3</w:t>
      </w:r>
      <w:r>
        <w:rPr>
          <w:rFonts w:ascii="Times New Roman" w:hAnsi="Times New Roman" w:eastAsia="仿宋_GB2312" w:cs="Times New Roman"/>
          <w:b/>
          <w:color w:val="auto"/>
          <w:sz w:val="30"/>
          <w:szCs w:val="28"/>
          <w:highlight w:val="none"/>
        </w:rPr>
        <w:fldChar w:fldCharType="end"/>
      </w:r>
      <w:r>
        <w:rPr>
          <w:rFonts w:ascii="Times New Roman" w:hAnsi="Times New Roman" w:eastAsia="仿宋_GB2312" w:cs="Times New Roman"/>
          <w:b/>
          <w:color w:val="auto"/>
          <w:sz w:val="30"/>
          <w:szCs w:val="28"/>
          <w:highlight w:val="none"/>
        </w:rPr>
        <w:t>分区措施布设</w:t>
      </w:r>
      <w:bookmarkEnd w:id="244"/>
      <w:bookmarkEnd w:id="245"/>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XwBjAHAAXwBqAFUARgBHAEIAQgBIAHEAbABOAEkAcAB3AFEAMABNAEkAWABPADYAbQBlAFIAaABu
ACsAUwB0AE8AOQArAGoARgA2ADEAYgBxAC8ATwBQADkASQA4AGEAZAAxAEUAeAAwAGkAaQA2ADUA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5.3.1</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井场及附属工程区</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施工前期，对新建站场工程临时占用耕地</w:t>
      </w:r>
      <w:r>
        <w:rPr>
          <w:rFonts w:hint="eastAsia" w:ascii="Times New Roman" w:hAnsi="Times New Roman" w:eastAsia="仿宋_GB2312" w:cs="Times New Roman"/>
          <w:color w:val="auto"/>
          <w:sz w:val="24"/>
          <w:szCs w:val="24"/>
          <w:highlight w:val="none"/>
          <w:lang w:val="en-US" w:eastAsia="zh-CN"/>
        </w:rPr>
        <w:t>和林地</w:t>
      </w:r>
      <w:r>
        <w:rPr>
          <w:rFonts w:ascii="Times New Roman" w:hAnsi="Times New Roman" w:eastAsia="仿宋_GB2312" w:cs="Times New Roman"/>
          <w:color w:val="auto"/>
          <w:sz w:val="24"/>
          <w:szCs w:val="24"/>
          <w:highlight w:val="none"/>
        </w:rPr>
        <w:t>区域的表土进行剥离并保存，施工临时用地结束后用于复耕覆土；土建工程施工前按照永临结合的方式在站场四周布设临时排水沟，临时排水沟末端</w:t>
      </w:r>
      <w:r>
        <w:rPr>
          <w:rFonts w:hint="eastAsia" w:ascii="Times New Roman" w:hAnsi="Times New Roman" w:eastAsia="仿宋_GB2312" w:cs="Times New Roman"/>
          <w:color w:val="auto"/>
          <w:sz w:val="24"/>
          <w:szCs w:val="24"/>
          <w:highlight w:val="none"/>
          <w:lang w:val="en-US" w:eastAsia="zh-CN"/>
        </w:rPr>
        <w:t>设置集水坑</w:t>
      </w:r>
      <w:r>
        <w:rPr>
          <w:rFonts w:ascii="Times New Roman" w:hAnsi="Times New Roman" w:eastAsia="仿宋_GB2312" w:cs="Times New Roman"/>
          <w:color w:val="auto"/>
          <w:sz w:val="24"/>
          <w:szCs w:val="24"/>
          <w:highlight w:val="none"/>
        </w:rPr>
        <w:t>；施工过程中对场内临时堆土、堆料区域或裸露地表采取临时苫盖措施；施工后期将前期临时排水沟建为永久性排水沟；主体工程施工结束后对临时用地区域进行清理和平整、回铺表土后恢复耕地。</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szCs w:val="24"/>
          <w:highlight w:val="none"/>
        </w:rPr>
        <w:t>本防治区主体工程中设计了表土剥离、排水沟等措施，方案补充完善了覆土、土地整治、复耕及施工期临时防护等措施。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1、工程措施</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（1）表土剥离及回覆</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kern w:val="0"/>
          <w:sz w:val="24"/>
          <w:szCs w:val="24"/>
          <w:highlight w:val="none"/>
        </w:rPr>
        <w:t>主体设计在土建工程施工期对</w:t>
      </w:r>
      <w:r>
        <w:rPr>
          <w:rFonts w:ascii="Times New Roman" w:hAnsi="Times New Roman" w:eastAsia="仿宋_GB2312" w:cs="Times New Roman"/>
          <w:color w:val="auto"/>
          <w:sz w:val="24"/>
          <w:szCs w:val="24"/>
          <w:highlight w:val="none"/>
        </w:rPr>
        <w:t>井场及附属工程区内占用耕地</w:t>
      </w:r>
      <w:r>
        <w:rPr>
          <w:rFonts w:hint="eastAsia" w:ascii="Times New Roman" w:hAnsi="Times New Roman" w:eastAsia="仿宋_GB2312" w:cs="Times New Roman"/>
          <w:color w:val="auto"/>
          <w:sz w:val="24"/>
          <w:szCs w:val="24"/>
          <w:highlight w:val="none"/>
          <w:lang w:eastAsia="zh-CN"/>
        </w:rPr>
        <w:t>、</w:t>
      </w:r>
      <w:r>
        <w:rPr>
          <w:rFonts w:hint="eastAsia" w:ascii="Times New Roman" w:hAnsi="Times New Roman" w:eastAsia="仿宋_GB2312" w:cs="Times New Roman"/>
          <w:color w:val="auto"/>
          <w:sz w:val="24"/>
          <w:szCs w:val="24"/>
          <w:highlight w:val="none"/>
          <w:lang w:val="en-US" w:eastAsia="zh-CN"/>
        </w:rPr>
        <w:t>林地</w:t>
      </w:r>
      <w:r>
        <w:rPr>
          <w:rFonts w:ascii="Times New Roman" w:hAnsi="Times New Roman" w:eastAsia="仿宋_GB2312" w:cs="Times New Roman"/>
          <w:color w:val="auto"/>
          <w:sz w:val="24"/>
          <w:szCs w:val="24"/>
          <w:highlight w:val="none"/>
        </w:rPr>
        <w:t>区域进行表土剥离，剥离厚度约</w:t>
      </w:r>
      <w:r>
        <w:rPr>
          <w:rFonts w:hint="eastAsia" w:ascii="Times New Roman" w:hAnsi="Times New Roman" w:eastAsia="仿宋_GB2312" w:cs="Times New Roman"/>
          <w:color w:val="auto"/>
          <w:sz w:val="24"/>
          <w:szCs w:val="24"/>
          <w:highlight w:val="none"/>
          <w:lang w:val="en-US" w:eastAsia="zh-CN"/>
        </w:rPr>
        <w:t>0.3m~0.5m</w:t>
      </w:r>
      <w:r>
        <w:rPr>
          <w:rFonts w:ascii="Times New Roman" w:hAnsi="Times New Roman" w:eastAsia="仿宋_GB2312" w:cs="Times New Roman"/>
          <w:color w:val="auto"/>
          <w:sz w:val="24"/>
          <w:szCs w:val="24"/>
          <w:highlight w:val="none"/>
        </w:rPr>
        <w:t>，表土剥离总量约0.</w:t>
      </w:r>
      <w:r>
        <w:rPr>
          <w:rFonts w:hint="eastAsia" w:ascii="Times New Roman" w:hAnsi="Times New Roman" w:eastAsia="仿宋_GB2312" w:cs="Times New Roman"/>
          <w:color w:val="auto"/>
          <w:sz w:val="24"/>
          <w:szCs w:val="24"/>
          <w:highlight w:val="none"/>
          <w:lang w:val="en-US" w:eastAsia="zh-CN"/>
        </w:rPr>
        <w:t>45</w:t>
      </w:r>
      <w:r>
        <w:rPr>
          <w:rFonts w:ascii="Times New Roman" w:hAnsi="Times New Roman" w:eastAsia="仿宋_GB2312" w:cs="Times New Roman"/>
          <w:color w:val="auto"/>
          <w:sz w:val="24"/>
          <w:szCs w:val="24"/>
          <w:highlight w:val="none"/>
        </w:rPr>
        <w:t>万m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，剥离的表土全部堆存于表土堆放场，后期用于复垦覆土</w:t>
      </w:r>
      <w:r>
        <w:rPr>
          <w:rFonts w:ascii="Times New Roman" w:hAnsi="Times New Roman" w:eastAsia="仿宋_GB2312" w:cs="Times New Roman"/>
          <w:color w:val="auto"/>
          <w:kern w:val="0"/>
          <w:sz w:val="24"/>
          <w:szCs w:val="24"/>
          <w:highlight w:val="none"/>
        </w:rPr>
        <w:t>。工程施工结束后，本防治区内的临时用地范围需进行恢复，恢复前需进行表土回覆，覆土面积共计</w:t>
      </w:r>
      <w:r>
        <w:rPr>
          <w:rFonts w:hint="eastAsia" w:ascii="Times New Roman" w:hAnsi="Times New Roman" w:eastAsia="仿宋_GB2312" w:cs="Times New Roman"/>
          <w:color w:val="auto"/>
          <w:kern w:val="0"/>
          <w:sz w:val="24"/>
          <w:szCs w:val="24"/>
          <w:highlight w:val="none"/>
          <w:lang w:val="en-US" w:eastAsia="zh-CN"/>
        </w:rPr>
        <w:t>1.13</w:t>
      </w:r>
      <w:r>
        <w:rPr>
          <w:rFonts w:hint="eastAsia" w:ascii="Times New Roman" w:hAnsi="Times New Roman" w:eastAsia="仿宋_GB2312" w:cs="Times New Roman"/>
          <w:color w:val="auto"/>
          <w:kern w:val="0"/>
          <w:sz w:val="24"/>
          <w:szCs w:val="24"/>
          <w:highlight w:val="none"/>
          <w:lang w:eastAsia="zh-CN"/>
        </w:rPr>
        <w:t>hm</w:t>
      </w:r>
      <w:r>
        <w:rPr>
          <w:rFonts w:hint="eastAsia" w:ascii="Times New Roman" w:hAnsi="Times New Roman" w:eastAsia="仿宋_GB2312" w:cs="Times New Roman"/>
          <w:color w:val="auto"/>
          <w:kern w:val="0"/>
          <w:sz w:val="24"/>
          <w:szCs w:val="24"/>
          <w:highlight w:val="none"/>
          <w:vertAlign w:val="superscript"/>
          <w:lang w:eastAsia="zh-CN"/>
        </w:rPr>
        <w:t>2</w:t>
      </w:r>
      <w:r>
        <w:rPr>
          <w:rFonts w:ascii="Times New Roman" w:hAnsi="Times New Roman" w:eastAsia="仿宋_GB2312" w:cs="Times New Roman"/>
          <w:color w:val="auto"/>
          <w:kern w:val="0"/>
          <w:sz w:val="24"/>
          <w:szCs w:val="24"/>
          <w:highlight w:val="none"/>
        </w:rPr>
        <w:t>，覆土厚度</w:t>
      </w:r>
      <w:r>
        <w:rPr>
          <w:rFonts w:ascii="Times New Roman" w:hAnsi="Times New Roman" w:eastAsia="仿宋_GB2312" w:cs="Times New Roman"/>
          <w:color w:val="auto"/>
          <w:sz w:val="24"/>
          <w:szCs w:val="24"/>
          <w:highlight w:val="none"/>
        </w:rPr>
        <w:t>30</w:t>
      </w:r>
      <w:r>
        <w:rPr>
          <w:rFonts w:hint="eastAsia" w:ascii="Times New Roman" w:hAnsi="Times New Roman" w:eastAsia="仿宋_GB2312" w:cs="Times New Roman"/>
          <w:color w:val="auto"/>
          <w:sz w:val="24"/>
          <w:szCs w:val="24"/>
          <w:highlight w:val="none"/>
          <w:lang w:val="en-US" w:eastAsia="zh-CN"/>
        </w:rPr>
        <w:t>~50</w:t>
      </w:r>
      <w:r>
        <w:rPr>
          <w:rFonts w:ascii="Times New Roman" w:hAnsi="Times New Roman" w:eastAsia="仿宋_GB2312" w:cs="Times New Roman"/>
          <w:color w:val="auto"/>
          <w:sz w:val="24"/>
          <w:szCs w:val="24"/>
          <w:highlight w:val="none"/>
        </w:rPr>
        <w:t>cm</w:t>
      </w:r>
      <w:r>
        <w:rPr>
          <w:rFonts w:ascii="Times New Roman" w:hAnsi="Times New Roman" w:eastAsia="仿宋_GB2312" w:cs="Times New Roman"/>
          <w:color w:val="auto"/>
          <w:kern w:val="0"/>
          <w:sz w:val="24"/>
          <w:szCs w:val="24"/>
          <w:highlight w:val="none"/>
        </w:rPr>
        <w:t>，共覆土约</w:t>
      </w:r>
      <w:r>
        <w:rPr>
          <w:rFonts w:hint="eastAsia" w:ascii="Times New Roman" w:hAnsi="Times New Roman" w:eastAsia="仿宋_GB2312" w:cs="Times New Roman"/>
          <w:color w:val="auto"/>
          <w:kern w:val="0"/>
          <w:sz w:val="24"/>
          <w:szCs w:val="24"/>
          <w:highlight w:val="none"/>
          <w:lang w:val="en-US" w:eastAsia="zh-CN"/>
        </w:rPr>
        <w:t>0.44</w:t>
      </w:r>
      <w:r>
        <w:rPr>
          <w:rFonts w:ascii="Times New Roman" w:hAnsi="Times New Roman" w:eastAsia="仿宋_GB2312" w:cs="Times New Roman"/>
          <w:color w:val="auto"/>
          <w:kern w:val="0"/>
          <w:sz w:val="24"/>
          <w:szCs w:val="24"/>
          <w:highlight w:val="none"/>
        </w:rPr>
        <w:t>万</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3</w:t>
      </w:r>
      <w:r>
        <w:rPr>
          <w:rFonts w:ascii="Times New Roman" w:hAnsi="Times New Roman" w:eastAsia="仿宋_GB2312" w:cs="Times New Roman"/>
          <w:color w:val="auto"/>
          <w:sz w:val="24"/>
          <w:szCs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（2）土地整治及复耕</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施工结束后，对</w:t>
      </w:r>
      <w:r>
        <w:rPr>
          <w:rFonts w:ascii="Times New Roman" w:hAnsi="Times New Roman" w:eastAsia="仿宋_GB2312" w:cs="Times New Roman"/>
          <w:color w:val="auto"/>
          <w:kern w:val="0"/>
          <w:sz w:val="24"/>
          <w:szCs w:val="24"/>
          <w:highlight w:val="none"/>
        </w:rPr>
        <w:t>本防治区</w:t>
      </w:r>
      <w:r>
        <w:rPr>
          <w:rFonts w:ascii="Times New Roman" w:hAnsi="Times New Roman" w:eastAsia="仿宋_GB2312" w:cs="Times New Roman"/>
          <w:color w:val="auto"/>
          <w:sz w:val="24"/>
          <w:szCs w:val="24"/>
          <w:highlight w:val="none"/>
        </w:rPr>
        <w:t>裸露地表或扰动区域进行土地整治，整治面积共计</w:t>
      </w:r>
      <w:r>
        <w:rPr>
          <w:rFonts w:hint="eastAsia" w:ascii="Times New Roman" w:hAnsi="Times New Roman" w:eastAsia="仿宋_GB2312" w:cs="Times New Roman"/>
          <w:color w:val="auto"/>
          <w:sz w:val="24"/>
          <w:szCs w:val="24"/>
          <w:highlight w:val="none"/>
          <w:lang w:val="en-US" w:eastAsia="zh-CN"/>
        </w:rPr>
        <w:t>1.13</w:t>
      </w:r>
      <w:r>
        <w:rPr>
          <w:rFonts w:hint="eastAsia" w:ascii="Times New Roman" w:hAnsi="Times New Roman" w:eastAsia="仿宋_GB2312" w:cs="Times New Roman"/>
          <w:color w:val="auto"/>
          <w:kern w:val="0"/>
          <w:sz w:val="24"/>
          <w:szCs w:val="24"/>
          <w:highlight w:val="none"/>
          <w:lang w:eastAsia="zh-CN"/>
        </w:rPr>
        <w:t>hm</w:t>
      </w:r>
      <w:r>
        <w:rPr>
          <w:rFonts w:hint="eastAsia" w:ascii="Times New Roman" w:hAnsi="Times New Roman" w:eastAsia="仿宋_GB2312" w:cs="Times New Roman"/>
          <w:color w:val="auto"/>
          <w:kern w:val="0"/>
          <w:sz w:val="24"/>
          <w:szCs w:val="24"/>
          <w:highlight w:val="none"/>
          <w:vertAlign w:val="superscript"/>
          <w:lang w:eastAsia="zh-CN"/>
        </w:rPr>
        <w:t>2</w:t>
      </w:r>
      <w:r>
        <w:rPr>
          <w:rFonts w:ascii="Times New Roman" w:hAnsi="Times New Roman" w:eastAsia="仿宋_GB2312" w:cs="Times New Roman"/>
          <w:color w:val="auto"/>
          <w:kern w:val="0"/>
          <w:sz w:val="24"/>
          <w:szCs w:val="24"/>
          <w:highlight w:val="none"/>
        </w:rPr>
        <w:t>，土地整治后，对原占地为耕地的区域进行复耕，复耕面积</w:t>
      </w:r>
      <w:r>
        <w:rPr>
          <w:rFonts w:hint="eastAsia" w:ascii="Times New Roman" w:hAnsi="Times New Roman" w:eastAsia="仿宋_GB2312" w:cs="Times New Roman"/>
          <w:color w:val="auto"/>
          <w:kern w:val="0"/>
          <w:sz w:val="24"/>
          <w:szCs w:val="24"/>
          <w:highlight w:val="none"/>
          <w:lang w:val="en-US" w:eastAsia="zh-CN"/>
        </w:rPr>
        <w:t>1.13</w:t>
      </w:r>
      <w:r>
        <w:rPr>
          <w:rFonts w:hint="eastAsia" w:ascii="Times New Roman" w:hAnsi="Times New Roman" w:eastAsia="仿宋_GB2312" w:cs="Times New Roman"/>
          <w:color w:val="auto"/>
          <w:kern w:val="0"/>
          <w:sz w:val="24"/>
          <w:szCs w:val="24"/>
          <w:highlight w:val="none"/>
          <w:lang w:eastAsia="zh-CN"/>
        </w:rPr>
        <w:t>hm</w:t>
      </w:r>
      <w:r>
        <w:rPr>
          <w:rFonts w:hint="eastAsia" w:ascii="Times New Roman" w:hAnsi="Times New Roman" w:eastAsia="仿宋_GB2312" w:cs="Times New Roman"/>
          <w:color w:val="auto"/>
          <w:kern w:val="0"/>
          <w:sz w:val="24"/>
          <w:szCs w:val="24"/>
          <w:highlight w:val="none"/>
          <w:vertAlign w:val="superscript"/>
          <w:lang w:eastAsia="zh-CN"/>
        </w:rPr>
        <w:t>2</w:t>
      </w:r>
      <w:r>
        <w:rPr>
          <w:rFonts w:ascii="Times New Roman" w:hAnsi="Times New Roman" w:eastAsia="仿宋_GB2312" w:cs="Times New Roman"/>
          <w:color w:val="auto"/>
          <w:kern w:val="0"/>
          <w:sz w:val="24"/>
          <w:szCs w:val="24"/>
          <w:highlight w:val="none"/>
        </w:rPr>
        <w:t>。土地整治包括场地清理和整地。</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 xml:space="preserve">场地清理：清理并收集该区域的垃圾，集中堆放，对开挖动土区域进行坑凹回填，场地平整改造，恢复利用。 </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pPr>
        <w:widowControl w:val="0"/>
        <w:spacing w:line="360" w:lineRule="auto"/>
        <w:ind w:firstLine="460" w:firstLineChars="192"/>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（3）排水沟</w:t>
      </w:r>
    </w:p>
    <w:p>
      <w:pPr>
        <w:widowControl w:val="0"/>
        <w:spacing w:line="360" w:lineRule="auto"/>
        <w:ind w:firstLine="480" w:firstLineChars="200"/>
        <w:rPr>
          <w:rFonts w:ascii="Times New Roman" w:hAnsi="Times New Roman" w:eastAsia="仿宋_GB2312" w:cs="Times New Roman"/>
          <w:color w:val="auto"/>
          <w:sz w:val="24"/>
          <w:szCs w:val="24"/>
          <w:highlight w:val="none"/>
        </w:rPr>
      </w:pPr>
      <w:r>
        <w:rPr>
          <w:rFonts w:hint="eastAsia" w:ascii="Times New Roman" w:hAnsi="Times New Roman" w:eastAsia="仿宋_GB2312" w:cs="Times New Roman"/>
          <w:color w:val="auto"/>
          <w:sz w:val="24"/>
          <w:szCs w:val="24"/>
          <w:highlight w:val="none"/>
          <w:lang w:val="en-US" w:eastAsia="zh-CN"/>
        </w:rPr>
        <w:t>主体设计</w:t>
      </w:r>
      <w:r>
        <w:rPr>
          <w:rFonts w:ascii="Times New Roman" w:hAnsi="Times New Roman" w:eastAsia="仿宋_GB2312" w:cs="Times New Roman"/>
          <w:color w:val="auto"/>
          <w:sz w:val="24"/>
          <w:szCs w:val="24"/>
          <w:highlight w:val="none"/>
        </w:rPr>
        <w:t>井场</w:t>
      </w:r>
      <w:r>
        <w:rPr>
          <w:rFonts w:hint="eastAsia" w:ascii="Times New Roman" w:hAnsi="Times New Roman" w:eastAsia="仿宋_GB2312" w:cs="Times New Roman"/>
          <w:color w:val="auto"/>
          <w:sz w:val="24"/>
          <w:szCs w:val="24"/>
          <w:highlight w:val="none"/>
          <w:lang w:val="en-US" w:eastAsia="zh-CN"/>
        </w:rPr>
        <w:t>场外</w:t>
      </w:r>
      <w:r>
        <w:rPr>
          <w:rFonts w:ascii="Times New Roman" w:hAnsi="Times New Roman" w:eastAsia="仿宋_GB2312" w:cs="Times New Roman"/>
          <w:color w:val="auto"/>
          <w:sz w:val="24"/>
          <w:szCs w:val="24"/>
          <w:highlight w:val="none"/>
        </w:rPr>
        <w:t>设置砖砌排水沟，排水与自然水系连通，排出场内雨水。排水沟采用M7.5浆砌</w:t>
      </w:r>
      <w:r>
        <w:rPr>
          <w:rFonts w:hint="eastAsia" w:ascii="Times New Roman" w:hAnsi="Times New Roman" w:eastAsia="仿宋_GB2312" w:cs="Times New Roman"/>
          <w:color w:val="auto"/>
          <w:sz w:val="24"/>
          <w:szCs w:val="24"/>
          <w:highlight w:val="none"/>
          <w:lang w:val="en-US" w:eastAsia="zh-CN"/>
        </w:rPr>
        <w:t>砖</w:t>
      </w:r>
      <w:r>
        <w:rPr>
          <w:rFonts w:ascii="Times New Roman" w:hAnsi="Times New Roman" w:eastAsia="仿宋_GB2312" w:cs="Times New Roman"/>
          <w:color w:val="auto"/>
          <w:sz w:val="24"/>
          <w:szCs w:val="24"/>
          <w:highlight w:val="none"/>
        </w:rPr>
        <w:t>砌筑矩形断面，设计尺寸为宽×高=</w:t>
      </w:r>
      <w:r>
        <w:rPr>
          <w:rFonts w:hint="eastAsia" w:ascii="Times New Roman" w:hAnsi="Times New Roman" w:eastAsia="仿宋_GB2312" w:cs="Times New Roman"/>
          <w:color w:val="auto"/>
          <w:sz w:val="24"/>
          <w:szCs w:val="24"/>
          <w:highlight w:val="none"/>
          <w:lang w:val="en-US" w:eastAsia="zh-CN"/>
        </w:rPr>
        <w:t>0.6</w:t>
      </w:r>
      <w:r>
        <w:rPr>
          <w:rFonts w:ascii="Times New Roman" w:hAnsi="Times New Roman" w:eastAsia="仿宋_GB2312" w:cs="Times New Roman"/>
          <w:color w:val="auto"/>
          <w:sz w:val="24"/>
          <w:szCs w:val="24"/>
          <w:highlight w:val="none"/>
        </w:rPr>
        <w:t>m×0.</w:t>
      </w:r>
      <w:r>
        <w:rPr>
          <w:rFonts w:hint="eastAsia" w:ascii="Times New Roman" w:hAnsi="Times New Roman" w:eastAsia="仿宋_GB2312" w:cs="Times New Roman"/>
          <w:color w:val="auto"/>
          <w:sz w:val="24"/>
          <w:szCs w:val="24"/>
          <w:highlight w:val="none"/>
          <w:lang w:val="en-US" w:eastAsia="zh-CN"/>
        </w:rPr>
        <w:t>6</w:t>
      </w:r>
      <w:r>
        <w:rPr>
          <w:rFonts w:ascii="Times New Roman" w:hAnsi="Times New Roman" w:eastAsia="仿宋_GB2312" w:cs="Times New Roman"/>
          <w:color w:val="auto"/>
          <w:sz w:val="24"/>
          <w:szCs w:val="24"/>
          <w:highlight w:val="none"/>
        </w:rPr>
        <w:t>m，沟壁厚</w:t>
      </w:r>
      <w:r>
        <w:rPr>
          <w:rFonts w:hint="eastAsia" w:ascii="Times New Roman" w:hAnsi="Times New Roman" w:eastAsia="仿宋_GB2312" w:cs="Times New Roman"/>
          <w:color w:val="auto"/>
          <w:sz w:val="24"/>
          <w:szCs w:val="24"/>
          <w:highlight w:val="none"/>
          <w:lang w:val="en-US" w:eastAsia="zh-CN"/>
        </w:rPr>
        <w:t>30</w:t>
      </w:r>
      <w:r>
        <w:rPr>
          <w:rFonts w:ascii="Times New Roman" w:hAnsi="Times New Roman" w:eastAsia="仿宋_GB2312" w:cs="Times New Roman"/>
          <w:color w:val="auto"/>
          <w:sz w:val="24"/>
          <w:szCs w:val="24"/>
          <w:highlight w:val="none"/>
        </w:rPr>
        <w:t>cm，底板厚度</w:t>
      </w:r>
      <w:r>
        <w:rPr>
          <w:rFonts w:hint="eastAsia" w:ascii="Times New Roman" w:hAnsi="Times New Roman" w:eastAsia="仿宋_GB2312" w:cs="Times New Roman"/>
          <w:color w:val="auto"/>
          <w:sz w:val="24"/>
          <w:szCs w:val="24"/>
          <w:highlight w:val="none"/>
          <w:lang w:val="en-US" w:eastAsia="zh-CN"/>
        </w:rPr>
        <w:t>15</w:t>
      </w:r>
      <w:r>
        <w:rPr>
          <w:rFonts w:ascii="Times New Roman" w:hAnsi="Times New Roman" w:eastAsia="仿宋_GB2312" w:cs="Times New Roman"/>
          <w:color w:val="auto"/>
          <w:sz w:val="24"/>
          <w:szCs w:val="24"/>
          <w:highlight w:val="none"/>
        </w:rPr>
        <w:t>cm。场外汇水经截排水沟汇入自然水系，经统计，共设置场外排水沟</w:t>
      </w:r>
      <w:r>
        <w:rPr>
          <w:rFonts w:hint="eastAsia" w:ascii="Times New Roman" w:hAnsi="Times New Roman" w:eastAsia="仿宋_GB2312" w:cs="Times New Roman"/>
          <w:color w:val="auto"/>
          <w:sz w:val="24"/>
          <w:szCs w:val="24"/>
          <w:highlight w:val="none"/>
          <w:lang w:val="en-US" w:eastAsia="zh-CN"/>
        </w:rPr>
        <w:t>433</w:t>
      </w:r>
      <w:r>
        <w:rPr>
          <w:rFonts w:ascii="Times New Roman" w:hAnsi="Times New Roman" w:eastAsia="仿宋_GB2312" w:cs="Times New Roman"/>
          <w:color w:val="auto"/>
          <w:sz w:val="24"/>
          <w:szCs w:val="24"/>
          <w:highlight w:val="none"/>
        </w:rPr>
        <w:t>m。</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井场通过场面设置的横坡排水。井场四周设有场内排水沟，并于转角处设置隔油池。排水沟为矩形断面，设计尺寸为宽×高=0.4m×0.3m，沟壁厚24cm，采用标砖砌筑，砌筑砂浆采用M7.5，沟身砌体各外露面均应分层抹20mm厚1:3水泥砂浆，沟底采用10cm厚C25混凝土现浇，经统计共布设场内排水沟</w:t>
      </w:r>
      <w:r>
        <w:rPr>
          <w:rFonts w:hint="eastAsia" w:ascii="Times New Roman" w:hAnsi="Times New Roman" w:eastAsia="仿宋_GB2312" w:cs="Times New Roman"/>
          <w:color w:val="auto"/>
          <w:sz w:val="24"/>
          <w:szCs w:val="24"/>
          <w:highlight w:val="none"/>
          <w:lang w:val="en-US" w:eastAsia="zh-CN"/>
        </w:rPr>
        <w:t>285m</w:t>
      </w:r>
      <w:r>
        <w:rPr>
          <w:rFonts w:ascii="Times New Roman" w:hAnsi="Times New Roman" w:eastAsia="仿宋_GB2312" w:cs="Times New Roman"/>
          <w:color w:val="auto"/>
          <w:sz w:val="24"/>
          <w:szCs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2、植物措施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highlight w:val="none"/>
        </w:rPr>
      </w:pPr>
      <w:r>
        <w:rPr>
          <w:rFonts w:ascii="Times New Roman" w:hAnsi="Times New Roman" w:eastAsia="仿宋_GB2312" w:cs="Times New Roman"/>
          <w:color w:val="auto"/>
          <w:sz w:val="24"/>
          <w:szCs w:val="24"/>
          <w:highlight w:val="none"/>
        </w:rPr>
        <w:t>场内绿化</w:t>
      </w:r>
      <w:r>
        <w:rPr>
          <w:rFonts w:hint="eastAsia" w:ascii="Times New Roman" w:hAnsi="Times New Roman" w:eastAsia="仿宋_GB2312" w:cs="Times New Roman"/>
          <w:color w:val="auto"/>
          <w:sz w:val="24"/>
          <w:szCs w:val="24"/>
          <w:highlight w:val="none"/>
          <w:lang w:eastAsia="zh-CN"/>
        </w:rPr>
        <w:t>：</w:t>
      </w:r>
      <w:r>
        <w:rPr>
          <w:rFonts w:ascii="Times New Roman" w:hAnsi="Times New Roman" w:eastAsia="仿宋_GB2312" w:cs="Times New Roman"/>
          <w:color w:val="auto"/>
          <w:sz w:val="24"/>
          <w:szCs w:val="24"/>
          <w:highlight w:val="none"/>
        </w:rPr>
        <w:t>在</w:t>
      </w:r>
      <w:r>
        <w:rPr>
          <w:rFonts w:hint="eastAsia" w:ascii="Times New Roman" w:hAnsi="Times New Roman" w:eastAsia="仿宋_GB2312" w:cs="Times New Roman"/>
          <w:color w:val="auto"/>
          <w:sz w:val="24"/>
          <w:szCs w:val="24"/>
          <w:highlight w:val="none"/>
          <w:lang w:val="en-US" w:eastAsia="zh-CN"/>
        </w:rPr>
        <w:t>井场挖填方边坡上撒播草籽</w:t>
      </w:r>
      <w:r>
        <w:rPr>
          <w:rFonts w:ascii="Times New Roman" w:hAnsi="Times New Roman" w:eastAsia="仿宋_GB2312" w:cs="Times New Roman"/>
          <w:color w:val="auto"/>
          <w:sz w:val="24"/>
          <w:szCs w:val="24"/>
          <w:highlight w:val="none"/>
        </w:rPr>
        <w:t>，考虑种植狗牙根草或细叶结缕草，面积为</w:t>
      </w:r>
      <w:r>
        <w:rPr>
          <w:rFonts w:hint="eastAsia" w:ascii="Times New Roman" w:hAnsi="Times New Roman" w:eastAsia="仿宋_GB2312" w:cs="Times New Roman"/>
          <w:color w:val="auto"/>
          <w:sz w:val="24"/>
          <w:szCs w:val="24"/>
          <w:highlight w:val="none"/>
          <w:lang w:val="en-US" w:eastAsia="zh-CN"/>
        </w:rPr>
        <w:t>900</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2</w:t>
      </w:r>
      <w:r>
        <w:rPr>
          <w:rFonts w:ascii="Times New Roman" w:hAnsi="Times New Roman" w:eastAsia="仿宋_GB2312" w:cs="Times New Roman"/>
          <w:color w:val="auto"/>
          <w:sz w:val="24"/>
          <w:szCs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3、临时措施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（1）临时排水沟</w:t>
      </w:r>
    </w:p>
    <w:p>
      <w:pPr>
        <w:widowControl w:val="0"/>
        <w:adjustRightInd w:val="0"/>
        <w:snapToGrid w:val="0"/>
        <w:spacing w:line="360" w:lineRule="auto"/>
        <w:ind w:firstLine="480" w:firstLineChars="200"/>
        <w:rPr>
          <w:rFonts w:hint="default" w:ascii="Times New Roman" w:hAnsi="Times New Roman" w:eastAsia="仿宋_GB2312" w:cs="Times New Roman"/>
          <w:color w:val="auto"/>
          <w:kern w:val="2"/>
          <w:sz w:val="24"/>
          <w:szCs w:val="22"/>
          <w:highlight w:val="none"/>
          <w:lang w:val="en-US" w:eastAsia="zh-CN" w:bidi="ar-SA"/>
        </w:rPr>
      </w:pPr>
      <w:r>
        <w:rPr>
          <w:rFonts w:ascii="Times New Roman" w:hAnsi="Times New Roman" w:eastAsia="仿宋_GB2312" w:cs="Times New Roman"/>
          <w:color w:val="auto"/>
          <w:sz w:val="24"/>
          <w:highlight w:val="none"/>
        </w:rPr>
        <w:t>施工期间为了尽快排除雨水，按照永临结合的原则在井场周边修建临时土质排水沟，收集雨水并顺接至附近农田排水设施。本防治区共修建临时土质排水沟</w:t>
      </w:r>
      <w:r>
        <w:rPr>
          <w:rFonts w:hint="eastAsia" w:ascii="Times New Roman" w:hAnsi="Times New Roman" w:eastAsia="仿宋_GB2312" w:cs="Times New Roman"/>
          <w:color w:val="auto"/>
          <w:sz w:val="24"/>
          <w:highlight w:val="none"/>
          <w:lang w:val="en-US" w:eastAsia="zh-CN"/>
        </w:rPr>
        <w:t>435</w:t>
      </w:r>
      <w:r>
        <w:rPr>
          <w:rFonts w:ascii="Times New Roman" w:hAnsi="Times New Roman" w:eastAsia="仿宋_GB2312" w:cs="Times New Roman"/>
          <w:color w:val="auto"/>
          <w:sz w:val="24"/>
          <w:highlight w:val="none"/>
        </w:rPr>
        <w:t>m。临时排水沟采用土质梯形断面，沟内用素土拍实，排水沟断面尺寸为底×高=0.3m×0.3m，内坡比为1:0.5。</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（2）临时沉砂池</w:t>
      </w:r>
    </w:p>
    <w:p>
      <w:pPr>
        <w:widowControl w:val="0"/>
        <w:adjustRightInd w:val="0"/>
        <w:snapToGrid w:val="0"/>
        <w:spacing w:line="360" w:lineRule="auto"/>
        <w:ind w:firstLine="480" w:firstLineChars="200"/>
        <w:rPr>
          <w:rFonts w:hint="eastAsia" w:ascii="Times New Roman" w:hAnsi="Times New Roman" w:eastAsia="仿宋_GB2312" w:cs="Times New Roman"/>
          <w:color w:val="auto"/>
          <w:sz w:val="24"/>
          <w:highlight w:val="none"/>
          <w:lang w:eastAsia="zh-CN"/>
        </w:rPr>
      </w:pPr>
      <w:r>
        <w:rPr>
          <w:rFonts w:ascii="Times New Roman" w:hAnsi="Times New Roman" w:eastAsia="仿宋_GB2312" w:cs="Times New Roman"/>
          <w:color w:val="auto"/>
          <w:sz w:val="24"/>
          <w:highlight w:val="none"/>
        </w:rPr>
        <w:t>为防止泥沙进入周边排水系统，在临时排水沟末端设置临时沉砂池，沉砂池的尺寸为：底长×底宽×深=1.5m×1.0m×1.0m，沉砂池坡比1:0.5，并在沉砂池内部铺盖土工布。本防治区共计新增临时沉砂池</w:t>
      </w:r>
      <w:r>
        <w:rPr>
          <w:rFonts w:hint="eastAsia" w:ascii="Times New Roman" w:hAnsi="Times New Roman" w:eastAsia="仿宋_GB2312" w:cs="Times New Roman"/>
          <w:color w:val="auto"/>
          <w:sz w:val="24"/>
          <w:highlight w:val="none"/>
          <w:lang w:val="en-US" w:eastAsia="zh-CN"/>
        </w:rPr>
        <w:t>4</w:t>
      </w:r>
      <w:r>
        <w:rPr>
          <w:rFonts w:ascii="Times New Roman" w:hAnsi="Times New Roman" w:eastAsia="仿宋_GB2312" w:cs="Times New Roman"/>
          <w:color w:val="auto"/>
          <w:sz w:val="24"/>
          <w:highlight w:val="none"/>
        </w:rPr>
        <w:t>个</w:t>
      </w:r>
      <w:r>
        <w:rPr>
          <w:rFonts w:hint="eastAsia" w:ascii="Times New Roman" w:hAnsi="Times New Roman" w:eastAsia="仿宋_GB2312" w:cs="Times New Roman"/>
          <w:color w:val="auto"/>
          <w:sz w:val="24"/>
          <w:highlight w:val="none"/>
          <w:lang w:eastAsia="zh-CN"/>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（3）临时苫盖</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施工中对井场裸露</w:t>
      </w:r>
      <w:r>
        <w:rPr>
          <w:rFonts w:hint="eastAsia" w:ascii="Times New Roman" w:hAnsi="Times New Roman" w:eastAsia="仿宋_GB2312" w:cs="Times New Roman"/>
          <w:color w:val="auto"/>
          <w:sz w:val="24"/>
          <w:highlight w:val="none"/>
          <w:lang w:val="en-US" w:eastAsia="zh-CN"/>
        </w:rPr>
        <w:t>地表或裸露材料</w:t>
      </w:r>
      <w:r>
        <w:rPr>
          <w:rFonts w:ascii="Times New Roman" w:hAnsi="Times New Roman" w:eastAsia="仿宋_GB2312" w:cs="Times New Roman"/>
          <w:color w:val="auto"/>
          <w:sz w:val="24"/>
          <w:highlight w:val="none"/>
        </w:rPr>
        <w:t>进行临时彩条布遮盖，需彩条布面积为</w:t>
      </w:r>
      <w:r>
        <w:rPr>
          <w:rFonts w:hint="eastAsia" w:ascii="Times New Roman" w:hAnsi="Times New Roman" w:eastAsia="仿宋_GB2312" w:cs="Times New Roman"/>
          <w:color w:val="auto"/>
          <w:sz w:val="24"/>
          <w:highlight w:val="none"/>
          <w:lang w:val="en-US" w:eastAsia="zh-CN"/>
        </w:rPr>
        <w:t>900</w:t>
      </w:r>
      <w:r>
        <w:rPr>
          <w:rFonts w:ascii="Times New Roman" w:hAnsi="Times New Roman" w:eastAsia="仿宋_GB2312" w:cs="Times New Roman"/>
          <w:color w:val="auto"/>
          <w:sz w:val="24"/>
          <w:highlight w:val="none"/>
        </w:rPr>
        <w:t>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w:t>
      </w:r>
    </w:p>
    <w:p>
      <w:pPr>
        <w:widowControl w:val="0"/>
        <w:adjustRightInd w:val="0"/>
        <w:snapToGrid w:val="0"/>
        <w:spacing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fldChar w:fldCharType="begin">
          <w:fldData xml:space="preserve">XwBjAHAAXwBQAGkASABxAEQAegBLAFgAMwBEAEUAYgBwAE8AcwBlAHIAQQBUAFQASwBkAEoANgBq
AGUAYQBBAHAAQgB5AFMAaABuAGkAVgB1ADYAMgBTAHIAKwBGAFAAMwBkAHcAbwBqAGwAQgBiAC8A
ZwA9AD0A
</w:fldData>
        </w:fldChar>
      </w:r>
      <w:r>
        <w:rPr>
          <w:rFonts w:ascii="Times New Roman" w:hAnsi="Times New Roman" w:eastAsia="仿宋_GB2312" w:cs="Times New Roman"/>
          <w:b/>
          <w:color w:val="auto"/>
          <w:highlight w:val="none"/>
        </w:rPr>
        <w:instrText xml:space="preserve">ADDIN _cp_ \* MERGEFORMAT</w:instrText>
      </w:r>
      <w:r>
        <w:rPr>
          <w:rFonts w:ascii="Times New Roman" w:hAnsi="Times New Roman" w:eastAsia="仿宋_GB2312" w:cs="Times New Roman"/>
          <w:b/>
          <w:color w:val="auto"/>
          <w:highlight w:val="none"/>
        </w:rPr>
        <w:fldChar w:fldCharType="separate"/>
      </w:r>
      <w:r>
        <w:rPr>
          <w:rFonts w:ascii="Times New Roman" w:hAnsi="Times New Roman" w:eastAsia="仿宋_GB2312" w:cs="Times New Roman"/>
          <w:b/>
          <w:color w:val="auto"/>
          <w:highlight w:val="none"/>
        </w:rPr>
        <w:t>表5.3</w:t>
      </w:r>
      <w:r>
        <w:rPr>
          <w:rFonts w:ascii="Times New Roman" w:hAnsi="Times New Roman" w:eastAsia="仿宋_GB2312" w:cs="Times New Roman"/>
          <w:b/>
          <w:color w:val="auto"/>
          <w:highlight w:val="none"/>
        </w:rPr>
        <w:fldChar w:fldCharType="end"/>
      </w:r>
      <w:r>
        <w:rPr>
          <w:rFonts w:ascii="Times New Roman" w:hAnsi="Times New Roman" w:eastAsia="仿宋_GB2312" w:cs="Times New Roman"/>
          <w:b/>
          <w:color w:val="auto"/>
          <w:highlight w:val="none"/>
        </w:rPr>
        <w:t>-1井场及附属工程区工程量汇总表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8"/>
        <w:gridCol w:w="1644"/>
        <w:gridCol w:w="1198"/>
        <w:gridCol w:w="1198"/>
        <w:gridCol w:w="1198"/>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防治分区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措施类型</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措施名称</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工程量指标</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单位</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表土剥离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剥离数量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w:t>
            </w: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0.45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表土回覆</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覆土数量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w:t>
            </w: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0.44</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场内</w:t>
            </w:r>
            <w:r>
              <w:rPr>
                <w:rFonts w:ascii="Times New Roman" w:hAnsi="Times New Roman" w:eastAsia="仿宋_GB2312" w:cs="Times New Roman"/>
                <w:color w:val="auto"/>
                <w:kern w:val="0"/>
                <w:sz w:val="18"/>
                <w:szCs w:val="18"/>
                <w:highlight w:val="none"/>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285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场外</w:t>
            </w:r>
            <w:r>
              <w:rPr>
                <w:rFonts w:ascii="Times New Roman" w:hAnsi="Times New Roman" w:eastAsia="仿宋_GB2312" w:cs="Times New Roman"/>
                <w:color w:val="auto"/>
                <w:kern w:val="0"/>
                <w:sz w:val="18"/>
                <w:szCs w:val="18"/>
                <w:highlight w:val="none"/>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433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复耕</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植物措施</w:t>
            </w:r>
          </w:p>
        </w:tc>
        <w:tc>
          <w:tcPr>
            <w:tcW w:w="930"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边坡绿化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900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临时土质排水沟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435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临时沉砂池</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个</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4</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彩条布苫盖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900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bl>
    <w:p>
      <w:pPr>
        <w:widowControl w:val="0"/>
        <w:adjustRightInd w:val="0"/>
        <w:snapToGrid w:val="0"/>
        <w:spacing w:before="120" w:beforeLines="50" w:after="120" w:afterLines="50" w:line="360" w:lineRule="auto"/>
        <w:outlineLvl w:val="2"/>
        <w:rPr>
          <w:rFonts w:hint="eastAsia" w:ascii="Times New Roman" w:hAnsi="Times New Roman" w:eastAsia="仿宋_GB2312" w:cs="Times New Roman"/>
          <w:b/>
          <w:color w:val="auto"/>
          <w:sz w:val="28"/>
          <w:szCs w:val="24"/>
          <w:highlight w:val="none"/>
          <w:lang w:eastAsia="zh-CN"/>
        </w:rPr>
      </w:pPr>
      <w:r>
        <w:rPr>
          <w:rFonts w:ascii="Times New Roman" w:hAnsi="Times New Roman" w:eastAsia="仿宋_GB2312" w:cs="Times New Roman"/>
          <w:b/>
          <w:color w:val="auto"/>
          <w:sz w:val="28"/>
          <w:szCs w:val="24"/>
          <w:highlight w:val="none"/>
        </w:rPr>
        <w:fldChar w:fldCharType="begin">
          <w:fldData xml:space="preserve">XwBjAHAAXwBqAFUARgBHAEIAQgBIAHEAbABOAEkAcAB3AFEAMABNAEkAWABPADYAbQBlAFIAaABu
ACsAUwB0AE8AOQArAGoARgA2ADEAYgBxAC8ATwBQADkASQA4AGEAZAAxAEUAeAAwAGkAaQA2ADUA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5.3.2</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施工</w:t>
      </w:r>
      <w:r>
        <w:rPr>
          <w:rFonts w:hint="eastAsia" w:ascii="Times New Roman" w:hAnsi="Times New Roman" w:eastAsia="仿宋_GB2312" w:cs="Times New Roman"/>
          <w:b/>
          <w:color w:val="auto"/>
          <w:sz w:val="28"/>
          <w:szCs w:val="24"/>
          <w:highlight w:val="none"/>
          <w:lang w:eastAsia="zh-CN"/>
        </w:rPr>
        <w:t>临时生活区</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w:t>
      </w:r>
      <w:r>
        <w:rPr>
          <w:rFonts w:hint="eastAsia" w:ascii="Times New Roman" w:hAnsi="Times New Roman" w:eastAsia="仿宋_GB2312" w:cs="Times New Roman"/>
          <w:color w:val="auto"/>
          <w:sz w:val="24"/>
          <w:highlight w:val="none"/>
          <w:lang w:eastAsia="zh-CN"/>
        </w:rPr>
        <w:t>临时生活区</w:t>
      </w:r>
      <w:r>
        <w:rPr>
          <w:rFonts w:hint="eastAsia" w:ascii="Times New Roman" w:hAnsi="Times New Roman" w:eastAsia="仿宋_GB2312" w:cs="Times New Roman"/>
          <w:color w:val="auto"/>
          <w:sz w:val="24"/>
          <w:highlight w:val="none"/>
          <w:lang w:val="en-US" w:eastAsia="zh-CN"/>
        </w:rPr>
        <w:t>基本未</w:t>
      </w:r>
      <w:r>
        <w:rPr>
          <w:rFonts w:ascii="Times New Roman" w:hAnsi="Times New Roman" w:eastAsia="仿宋_GB2312" w:cs="Times New Roman"/>
          <w:color w:val="auto"/>
          <w:sz w:val="24"/>
          <w:highlight w:val="none"/>
        </w:rPr>
        <w:t>涉及土石方开挖工程，</w:t>
      </w:r>
      <w:r>
        <w:rPr>
          <w:rFonts w:hint="eastAsia" w:ascii="Times New Roman" w:hAnsi="Times New Roman" w:eastAsia="仿宋_GB2312" w:cs="Times New Roman"/>
          <w:color w:val="auto"/>
          <w:sz w:val="24"/>
          <w:highlight w:val="none"/>
          <w:lang w:val="en-US" w:eastAsia="zh-CN"/>
        </w:rPr>
        <w:t>仅场平时对部分位置进行平整及回填、</w:t>
      </w:r>
      <w:r>
        <w:rPr>
          <w:rFonts w:ascii="Times New Roman" w:hAnsi="Times New Roman" w:eastAsia="仿宋_GB2312" w:cs="Times New Roman"/>
          <w:color w:val="auto"/>
          <w:sz w:val="24"/>
          <w:highlight w:val="none"/>
        </w:rPr>
        <w:t>造成水土流失影响因素主要是踩踏、占压等，水土流失强度相对较小，</w:t>
      </w:r>
      <w:r>
        <w:rPr>
          <w:rFonts w:hint="eastAsia" w:ascii="Times New Roman" w:hAnsi="Times New Roman" w:eastAsia="仿宋_GB2312" w:cs="Times New Roman"/>
          <w:color w:val="auto"/>
          <w:sz w:val="24"/>
          <w:highlight w:val="none"/>
          <w:lang w:val="en-US" w:eastAsia="zh-CN"/>
        </w:rPr>
        <w:t>主体设计在生活区设置排水沟，</w:t>
      </w:r>
      <w:r>
        <w:rPr>
          <w:rFonts w:ascii="Times New Roman" w:hAnsi="Times New Roman" w:eastAsia="仿宋_GB2312" w:cs="Times New Roman"/>
          <w:color w:val="auto"/>
          <w:sz w:val="24"/>
          <w:szCs w:val="24"/>
          <w:highlight w:val="none"/>
        </w:rPr>
        <w:t>施工前期</w:t>
      </w:r>
      <w:r>
        <w:rPr>
          <w:rFonts w:ascii="Times New Roman" w:hAnsi="Times New Roman" w:eastAsia="仿宋_GB2312" w:cs="Times New Roman"/>
          <w:color w:val="auto"/>
          <w:sz w:val="24"/>
          <w:highlight w:val="none"/>
        </w:rPr>
        <w:t>采取铺垫保护措施</w:t>
      </w:r>
      <w:r>
        <w:rPr>
          <w:rFonts w:ascii="Times New Roman" w:hAnsi="Times New Roman" w:eastAsia="仿宋_GB2312" w:cs="Times New Roman"/>
          <w:color w:val="auto"/>
          <w:sz w:val="24"/>
          <w:szCs w:val="24"/>
          <w:highlight w:val="none"/>
        </w:rPr>
        <w:t>；工程施工结束后对临时用地区域进行清理和平整、回铺表土后恢复耕地。</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方案新增了土地整治、复耕、铺垫土工布、塑料布临时苫盖等防护措施。</w:t>
      </w:r>
    </w:p>
    <w:p>
      <w:pPr>
        <w:widowControl w:val="0"/>
        <w:numPr>
          <w:ilvl w:val="0"/>
          <w:numId w:val="5"/>
        </w:num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工程措施</w:t>
      </w:r>
    </w:p>
    <w:p>
      <w:pPr>
        <w:widowControl w:val="0"/>
        <w:adjustRightInd w:val="0"/>
        <w:snapToGrid w:val="0"/>
        <w:spacing w:line="360" w:lineRule="auto"/>
        <w:ind w:firstLine="480" w:firstLineChars="200"/>
        <w:rPr>
          <w:rFonts w:hint="eastAsia" w:ascii="Times New Roman" w:hAnsi="Times New Roman" w:eastAsia="仿宋_GB2312" w:cs="Times New Roman"/>
          <w:color w:val="auto"/>
          <w:sz w:val="24"/>
          <w:highlight w:val="none"/>
          <w:lang w:val="en-US" w:eastAsia="zh-CN"/>
        </w:rPr>
      </w:pPr>
      <w:r>
        <w:rPr>
          <w:rFonts w:hint="eastAsia" w:ascii="Times New Roman" w:hAnsi="Times New Roman" w:eastAsia="仿宋_GB2312" w:cs="Times New Roman"/>
          <w:color w:val="auto"/>
          <w:sz w:val="24"/>
          <w:highlight w:val="none"/>
          <w:lang w:val="en-US" w:eastAsia="zh-CN"/>
        </w:rPr>
        <w:t>（1）土地整治及复耕</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施工结束后对</w:t>
      </w:r>
      <w:r>
        <w:rPr>
          <w:rFonts w:hint="eastAsia" w:ascii="Times New Roman" w:hAnsi="Times New Roman" w:eastAsia="仿宋_GB2312" w:cs="Times New Roman"/>
          <w:color w:val="auto"/>
          <w:sz w:val="24"/>
          <w:highlight w:val="none"/>
          <w:lang w:val="en-US" w:eastAsia="zh-CN"/>
        </w:rPr>
        <w:t>施工生活区</w:t>
      </w:r>
      <w:r>
        <w:rPr>
          <w:rFonts w:ascii="Times New Roman" w:hAnsi="Times New Roman" w:eastAsia="仿宋_GB2312" w:cs="Times New Roman"/>
          <w:color w:val="auto"/>
          <w:sz w:val="24"/>
          <w:highlight w:val="none"/>
        </w:rPr>
        <w:t>施工迹地按原占地类型进行恢复，先对扰动区域进行土地整治，面积为0.</w:t>
      </w:r>
      <w:r>
        <w:rPr>
          <w:rFonts w:hint="eastAsia" w:ascii="Times New Roman" w:hAnsi="Times New Roman" w:eastAsia="仿宋_GB2312" w:cs="Times New Roman"/>
          <w:color w:val="auto"/>
          <w:sz w:val="24"/>
          <w:highlight w:val="none"/>
          <w:lang w:val="en-US" w:eastAsia="zh-CN"/>
        </w:rPr>
        <w:t>23</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，土地整治方法同前；土地整治后，对原占用耕地区域进行复耕，本防治区复耕面积</w:t>
      </w:r>
      <w:r>
        <w:rPr>
          <w:rFonts w:hint="eastAsia" w:ascii="Times New Roman" w:hAnsi="Times New Roman" w:eastAsia="仿宋_GB2312" w:cs="Times New Roman"/>
          <w:color w:val="auto"/>
          <w:sz w:val="24"/>
          <w:highlight w:val="none"/>
          <w:lang w:val="en-US" w:eastAsia="zh-CN"/>
        </w:rPr>
        <w:t>0.16</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w:t>
      </w:r>
    </w:p>
    <w:p>
      <w:pPr>
        <w:pStyle w:val="2"/>
        <w:numPr>
          <w:ilvl w:val="0"/>
          <w:numId w:val="0"/>
        </w:numPr>
        <w:ind w:leftChars="200"/>
        <w:rPr>
          <w:rFonts w:hint="eastAsia" w:cs="Times New Roman"/>
          <w:color w:val="auto"/>
          <w:sz w:val="24"/>
          <w:highlight w:val="none"/>
          <w:lang w:val="en-US" w:eastAsia="zh-CN"/>
        </w:rPr>
      </w:pPr>
      <w:r>
        <w:rPr>
          <w:rFonts w:hint="eastAsia" w:cs="Times New Roman"/>
          <w:color w:val="auto"/>
          <w:sz w:val="24"/>
          <w:highlight w:val="none"/>
          <w:lang w:val="en-US" w:eastAsia="zh-CN"/>
        </w:rPr>
        <w:t>（2）排水沟</w:t>
      </w:r>
    </w:p>
    <w:p>
      <w:pPr>
        <w:widowControl w:val="0"/>
        <w:adjustRightInd w:val="0"/>
        <w:snapToGrid w:val="0"/>
        <w:spacing w:line="360" w:lineRule="auto"/>
        <w:ind w:firstLine="480" w:firstLineChars="200"/>
        <w:rPr>
          <w:rFonts w:hint="default" w:ascii="Times New Roman" w:hAnsi="Times New Roman" w:eastAsia="仿宋_GB2312" w:cs="Times New Roman"/>
          <w:color w:val="auto"/>
          <w:sz w:val="24"/>
          <w:highlight w:val="none"/>
          <w:lang w:val="en-US" w:eastAsia="zh-CN"/>
        </w:rPr>
      </w:pPr>
      <w:r>
        <w:rPr>
          <w:rFonts w:hint="default" w:ascii="Times New Roman" w:hAnsi="Times New Roman" w:eastAsia="仿宋_GB2312" w:cs="Times New Roman"/>
          <w:color w:val="auto"/>
          <w:sz w:val="24"/>
          <w:highlight w:val="none"/>
          <w:lang w:val="en-US" w:eastAsia="zh-CN"/>
        </w:rPr>
        <w:t>主体设计</w:t>
      </w:r>
      <w:r>
        <w:rPr>
          <w:rFonts w:ascii="Times New Roman" w:hAnsi="Times New Roman" w:eastAsia="仿宋_GB2312" w:cs="Times New Roman"/>
          <w:color w:val="auto"/>
          <w:sz w:val="24"/>
          <w:highlight w:val="none"/>
        </w:rPr>
        <w:t>在施工</w:t>
      </w:r>
      <w:r>
        <w:rPr>
          <w:rFonts w:hint="eastAsia" w:ascii="Times New Roman" w:hAnsi="Times New Roman" w:eastAsia="仿宋_GB2312" w:cs="Times New Roman"/>
          <w:color w:val="auto"/>
          <w:sz w:val="24"/>
          <w:highlight w:val="none"/>
          <w:lang w:eastAsia="zh-CN"/>
        </w:rPr>
        <w:t>临时生活区</w:t>
      </w:r>
      <w:r>
        <w:rPr>
          <w:rFonts w:ascii="Times New Roman" w:hAnsi="Times New Roman" w:eastAsia="仿宋_GB2312" w:cs="Times New Roman"/>
          <w:color w:val="auto"/>
          <w:sz w:val="24"/>
          <w:highlight w:val="none"/>
        </w:rPr>
        <w:t>有汇水的区域</w:t>
      </w:r>
      <w:r>
        <w:rPr>
          <w:rFonts w:hint="default" w:ascii="Times New Roman" w:hAnsi="Times New Roman" w:eastAsia="仿宋_GB2312" w:cs="Times New Roman"/>
          <w:color w:val="auto"/>
          <w:sz w:val="24"/>
          <w:highlight w:val="none"/>
          <w:lang w:val="en-US" w:eastAsia="zh-CN"/>
        </w:rPr>
        <w:t>设置砖砌排水沟</w:t>
      </w:r>
      <w:r>
        <w:rPr>
          <w:rFonts w:ascii="Times New Roman" w:hAnsi="Times New Roman" w:eastAsia="仿宋_GB2312" w:cs="Times New Roman"/>
          <w:color w:val="auto"/>
          <w:sz w:val="24"/>
          <w:highlight w:val="none"/>
        </w:rPr>
        <w:t>，并顺接至附近道路或农田排水设施。</w:t>
      </w:r>
      <w:r>
        <w:rPr>
          <w:rFonts w:hint="default" w:ascii="Times New Roman" w:hAnsi="Times New Roman" w:eastAsia="仿宋_GB2312" w:cs="Times New Roman"/>
          <w:color w:val="auto"/>
          <w:sz w:val="24"/>
          <w:highlight w:val="none"/>
          <w:lang w:val="en-US" w:eastAsia="zh-CN"/>
        </w:rPr>
        <w:t>排水沟采用M7.5浆砌砖砌筑矩形断面，设计尺寸为宽×高=0.6m×0.6m，沟壁厚30cm，底板厚度15cm。经统计，共设置排水沟</w:t>
      </w:r>
      <w:r>
        <w:rPr>
          <w:rFonts w:hint="eastAsia" w:ascii="Times New Roman" w:hAnsi="Times New Roman" w:eastAsia="仿宋_GB2312" w:cs="Times New Roman"/>
          <w:color w:val="auto"/>
          <w:sz w:val="24"/>
          <w:highlight w:val="none"/>
          <w:lang w:val="en-US" w:eastAsia="zh-CN"/>
        </w:rPr>
        <w:t>135</w:t>
      </w:r>
      <w:r>
        <w:rPr>
          <w:rFonts w:hint="default" w:ascii="Times New Roman" w:hAnsi="Times New Roman" w:eastAsia="仿宋_GB2312" w:cs="Times New Roman"/>
          <w:color w:val="auto"/>
          <w:sz w:val="24"/>
          <w:highlight w:val="none"/>
          <w:lang w:val="en-US" w:eastAsia="zh-CN"/>
        </w:rPr>
        <w:t>m。</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val="en-US" w:eastAsia="zh-CN"/>
        </w:rPr>
        <w:t>2</w:t>
      </w:r>
      <w:r>
        <w:rPr>
          <w:rFonts w:ascii="Times New Roman" w:hAnsi="Times New Roman" w:eastAsia="仿宋_GB2312" w:cs="Times New Roman"/>
          <w:color w:val="auto"/>
          <w:sz w:val="24"/>
          <w:highlight w:val="none"/>
        </w:rPr>
        <w:t>、临时措施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（1）土工布铺垫</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szCs w:val="24"/>
          <w:highlight w:val="none"/>
        </w:rPr>
        <w:t>考虑到施工</w:t>
      </w:r>
      <w:r>
        <w:rPr>
          <w:rFonts w:hint="eastAsia" w:ascii="Times New Roman" w:hAnsi="Times New Roman" w:eastAsia="仿宋_GB2312" w:cs="Times New Roman"/>
          <w:color w:val="auto"/>
          <w:sz w:val="24"/>
          <w:szCs w:val="24"/>
          <w:highlight w:val="none"/>
          <w:lang w:eastAsia="zh-CN"/>
        </w:rPr>
        <w:t>临时生活区</w:t>
      </w:r>
      <w:r>
        <w:rPr>
          <w:rFonts w:ascii="Times New Roman" w:hAnsi="Times New Roman" w:eastAsia="仿宋_GB2312" w:cs="Times New Roman"/>
          <w:color w:val="auto"/>
          <w:sz w:val="24"/>
          <w:szCs w:val="24"/>
          <w:highlight w:val="none"/>
        </w:rPr>
        <w:t>主要为搭建活动房，不会对占地范围内地表产生大的扰动，按照《生产建设项目水土保持技术标准》（GB50433-2018）中对于表土保护措施相关要求，对于临时占地范围内扰动深度小于20cm的表土可不剥离，本方案采取土工布铺垫保护措施，铺垫保护面积</w:t>
      </w:r>
      <w:r>
        <w:rPr>
          <w:rFonts w:hint="eastAsia" w:ascii="Times New Roman" w:hAnsi="Times New Roman" w:eastAsia="仿宋_GB2312" w:cs="Times New Roman"/>
          <w:color w:val="auto"/>
          <w:sz w:val="24"/>
          <w:szCs w:val="24"/>
          <w:highlight w:val="none"/>
          <w:lang w:val="en-US" w:eastAsia="zh-CN"/>
        </w:rPr>
        <w:t>约1130</w:t>
      </w:r>
      <w:r>
        <w:rPr>
          <w:rFonts w:ascii="Times New Roman" w:hAnsi="Times New Roman" w:eastAsia="仿宋_GB2312" w:cs="Times New Roman"/>
          <w:color w:val="auto"/>
          <w:sz w:val="24"/>
          <w:highlight w:val="none"/>
        </w:rPr>
        <w:t>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2</w:t>
      </w:r>
      <w:r>
        <w:rPr>
          <w:rFonts w:ascii="Times New Roman" w:hAnsi="Times New Roman" w:eastAsia="仿宋_GB2312" w:cs="Times New Roman"/>
          <w:color w:val="auto"/>
          <w:sz w:val="24"/>
          <w:highlight w:val="none"/>
        </w:rPr>
        <w:t>）临时沉砂池</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在排水沟末端设置临时沉砂池，单个沉砂池的尺寸为：底长×底宽×深=1.5m×1.0m×1.0m，沉砂池坡比1:0.5，并在沉砂池内部铺盖土工布。共计新增临时沉砂池</w:t>
      </w:r>
      <w:r>
        <w:rPr>
          <w:rFonts w:hint="eastAsia" w:ascii="Times New Roman" w:hAnsi="Times New Roman" w:eastAsia="仿宋_GB2312" w:cs="Times New Roman"/>
          <w:color w:val="auto"/>
          <w:sz w:val="24"/>
          <w:highlight w:val="none"/>
          <w:lang w:val="en-US" w:eastAsia="zh-CN"/>
        </w:rPr>
        <w:t>1</w:t>
      </w:r>
      <w:r>
        <w:rPr>
          <w:rFonts w:ascii="Times New Roman" w:hAnsi="Times New Roman" w:eastAsia="仿宋_GB2312" w:cs="Times New Roman"/>
          <w:color w:val="auto"/>
          <w:sz w:val="24"/>
          <w:highlight w:val="none"/>
        </w:rPr>
        <w:t>个。临时沉砂池使用时要求定期清理，并及时清淤。</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w:t>
      </w:r>
      <w:r>
        <w:rPr>
          <w:rFonts w:hint="eastAsia" w:ascii="Times New Roman" w:hAnsi="Times New Roman" w:eastAsia="仿宋_GB2312" w:cs="Times New Roman"/>
          <w:color w:val="auto"/>
          <w:sz w:val="24"/>
          <w:highlight w:val="none"/>
          <w:lang w:eastAsia="zh-CN"/>
        </w:rPr>
        <w:t>临时生活区</w:t>
      </w:r>
      <w:r>
        <w:rPr>
          <w:rFonts w:ascii="Times New Roman" w:hAnsi="Times New Roman" w:eastAsia="仿宋_GB2312" w:cs="Times New Roman"/>
          <w:color w:val="auto"/>
          <w:sz w:val="24"/>
          <w:highlight w:val="none"/>
        </w:rPr>
        <w:t>水土保持措施及工程量统计情况详见下表。</w:t>
      </w:r>
    </w:p>
    <w:p>
      <w:pPr>
        <w:widowControl w:val="0"/>
        <w:adjustRightInd w:val="0"/>
        <w:snapToGrid w:val="0"/>
        <w:spacing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fldChar w:fldCharType="begin">
          <w:fldData xml:space="preserve">XwBjAHAAXwBQAGkASABxAEQAegBLAFgAMwBEAEUAYgBwAE8AcwBlAHIAQQBUAFQASwBkAEoANgBq
AGUAYQBBAHAAQgB5AFMAaABuAGkAVgB1ADYAMgBTAHIAKwBGAFAAMwBkAHcAbwBqAGwAQgBiAC8A
ZwA9AD0A
</w:fldData>
        </w:fldChar>
      </w:r>
      <w:r>
        <w:rPr>
          <w:rFonts w:ascii="Times New Roman" w:hAnsi="Times New Roman" w:eastAsia="仿宋_GB2312" w:cs="Times New Roman"/>
          <w:b/>
          <w:color w:val="auto"/>
          <w:highlight w:val="none"/>
        </w:rPr>
        <w:instrText xml:space="preserve">ADDIN _cp_ \* MERGEFORMAT</w:instrText>
      </w:r>
      <w:r>
        <w:rPr>
          <w:rFonts w:ascii="Times New Roman" w:hAnsi="Times New Roman" w:eastAsia="仿宋_GB2312" w:cs="Times New Roman"/>
          <w:b/>
          <w:color w:val="auto"/>
          <w:highlight w:val="none"/>
        </w:rPr>
        <w:fldChar w:fldCharType="separate"/>
      </w:r>
      <w:r>
        <w:rPr>
          <w:rFonts w:ascii="Times New Roman" w:hAnsi="Times New Roman" w:eastAsia="仿宋_GB2312" w:cs="Times New Roman"/>
          <w:b/>
          <w:color w:val="auto"/>
          <w:highlight w:val="none"/>
        </w:rPr>
        <w:t>表5.3</w:t>
      </w:r>
      <w:r>
        <w:rPr>
          <w:rFonts w:ascii="Times New Roman" w:hAnsi="Times New Roman" w:eastAsia="仿宋_GB2312" w:cs="Times New Roman"/>
          <w:b/>
          <w:color w:val="auto"/>
          <w:highlight w:val="none"/>
        </w:rPr>
        <w:fldChar w:fldCharType="end"/>
      </w:r>
      <w:r>
        <w:rPr>
          <w:rFonts w:ascii="Times New Roman" w:hAnsi="Times New Roman" w:eastAsia="仿宋_GB2312" w:cs="Times New Roman"/>
          <w:b/>
          <w:color w:val="auto"/>
          <w:highlight w:val="none"/>
        </w:rPr>
        <w:t>-2施工</w:t>
      </w:r>
      <w:r>
        <w:rPr>
          <w:rFonts w:hint="eastAsia" w:ascii="Times New Roman" w:hAnsi="Times New Roman" w:eastAsia="仿宋_GB2312" w:cs="Times New Roman"/>
          <w:b/>
          <w:color w:val="auto"/>
          <w:highlight w:val="none"/>
          <w:lang w:eastAsia="zh-CN"/>
        </w:rPr>
        <w:t>临时生活区</w:t>
      </w:r>
      <w:r>
        <w:rPr>
          <w:rFonts w:ascii="Times New Roman" w:hAnsi="Times New Roman" w:eastAsia="仿宋_GB2312" w:cs="Times New Roman"/>
          <w:b/>
          <w:color w:val="auto"/>
          <w:highlight w:val="none"/>
        </w:rPr>
        <w:t>工程量汇总表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8"/>
        <w:gridCol w:w="1644"/>
        <w:gridCol w:w="1198"/>
        <w:gridCol w:w="1198"/>
        <w:gridCol w:w="1198"/>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防治分区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措施类型</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措施名称</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工程量指标</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单位</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lang w:eastAsia="zh-CN"/>
              </w:rPr>
              <w:t>施工临时生活区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0.23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复耕</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0.16</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长度</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m</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135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土工布铺垫</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1130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ascii="Times New Roman" w:hAnsi="Times New Roman" w:eastAsia="仿宋_GB2312" w:cs="Times New Roman"/>
                <w:color w:val="auto"/>
                <w:kern w:val="0"/>
                <w:sz w:val="18"/>
                <w:szCs w:val="18"/>
                <w:highlight w:val="none"/>
              </w:rPr>
              <w:t>临时沉砂池</w:t>
            </w:r>
          </w:p>
        </w:tc>
        <w:tc>
          <w:tcPr>
            <w:tcW w:w="678"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hint="default" w:ascii="Times New Roman" w:hAnsi="Times New Roman" w:eastAsia="宋体" w:cs="Times New Roman"/>
                <w:color w:val="auto"/>
                <w:kern w:val="0"/>
                <w:sz w:val="18"/>
                <w:szCs w:val="18"/>
                <w:highlight w:val="none"/>
                <w:lang w:val="en-US" w:eastAsia="zh-CN"/>
              </w:rPr>
            </w:pPr>
            <w:r>
              <w:rPr>
                <w:rFonts w:ascii="Times New Roman" w:hAnsi="Times New Roman" w:eastAsia="宋体" w:cs="Times New Roman"/>
                <w:color w:val="auto"/>
                <w:kern w:val="0"/>
                <w:sz w:val="18"/>
                <w:szCs w:val="18"/>
                <w:highlight w:val="none"/>
              </w:rPr>
              <w:t>个</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ascii="Times New Roman" w:hAnsi="Times New Roman" w:eastAsia="仿宋_GB2312" w:cs="Times New Roman"/>
                <w:color w:val="auto"/>
                <w:kern w:val="0"/>
                <w:sz w:val="18"/>
                <w:szCs w:val="18"/>
                <w:highlight w:val="none"/>
              </w:rPr>
              <w:t>方案新增</w:t>
            </w:r>
          </w:p>
        </w:tc>
      </w:tr>
    </w:tbl>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XwBjAHAAXwBqAFUARgBHAEIAQgBIAHEAbABOAEkAcAB3AFEAMABNAEkAWABPADYAbQBlAFIAaABu
ACsAUwB0AE8AOQArAGoARgA2ADEAYgBxAC8ATwBQADkASQA4AGEAZAAxAEUAeAAwAGkAaQA2ADUA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5.3.3</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表土堆放场区</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表土堆放场主体工程设计了坡面和顶面临时植草绿化</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坡脚设置挡土墙</w:t>
      </w:r>
      <w:r>
        <w:rPr>
          <w:rFonts w:ascii="Times New Roman" w:hAnsi="Times New Roman" w:eastAsia="仿宋_GB2312" w:cs="Times New Roman"/>
          <w:color w:val="auto"/>
          <w:sz w:val="24"/>
          <w:highlight w:val="none"/>
        </w:rPr>
        <w:t>等防护措施，方案新增土地整治、临时遮盖等防护措施。</w:t>
      </w:r>
      <w:r>
        <w:rPr>
          <w:rFonts w:hint="eastAsia" w:ascii="Times New Roman" w:hAnsi="Times New Roman" w:eastAsia="仿宋_GB2312" w:cs="Times New Roman"/>
          <w:color w:val="auto"/>
          <w:sz w:val="24"/>
          <w:highlight w:val="none"/>
          <w:lang w:val="en-US" w:eastAsia="zh-CN"/>
        </w:rPr>
        <w:t>施工时对堆放的表土实施绿化及临时防护措施；</w:t>
      </w:r>
      <w:r>
        <w:rPr>
          <w:rFonts w:ascii="Times New Roman" w:hAnsi="Times New Roman" w:eastAsia="仿宋_GB2312" w:cs="Times New Roman"/>
          <w:color w:val="auto"/>
          <w:sz w:val="24"/>
          <w:highlight w:val="none"/>
        </w:rPr>
        <w:t>工程施工结束后，对堆放场采取土地整治即可交还给土地权属人进行耕种。</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1、工程措施</w:t>
      </w:r>
    </w:p>
    <w:p>
      <w:pPr>
        <w:widowControl w:val="0"/>
        <w:adjustRightInd w:val="0"/>
        <w:snapToGrid w:val="0"/>
        <w:spacing w:line="360" w:lineRule="auto"/>
        <w:ind w:left="420" w:left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土地整治及复耕：</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施工结束后对表土堆放场施工迹地按原占地类型进行恢复，先对扰动区域进行土地整治，面积为0.</w:t>
      </w:r>
      <w:r>
        <w:rPr>
          <w:rFonts w:hint="eastAsia" w:ascii="Times New Roman" w:hAnsi="Times New Roman" w:eastAsia="仿宋_GB2312" w:cs="Times New Roman"/>
          <w:color w:val="auto"/>
          <w:sz w:val="24"/>
          <w:highlight w:val="none"/>
          <w:lang w:val="en-US" w:eastAsia="zh-CN"/>
        </w:rPr>
        <w:t>10</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，土地整治方法同前；土地整治后，对原占用耕地区域进行复耕，本防治区复耕面积0.</w:t>
      </w:r>
      <w:r>
        <w:rPr>
          <w:rFonts w:hint="eastAsia" w:ascii="Times New Roman" w:hAnsi="Times New Roman" w:eastAsia="仿宋_GB2312" w:cs="Times New Roman"/>
          <w:color w:val="auto"/>
          <w:sz w:val="24"/>
          <w:highlight w:val="none"/>
          <w:lang w:val="en-US" w:eastAsia="zh-CN"/>
        </w:rPr>
        <w:t>10</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2、临时措施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（1）临时绿化</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szCs w:val="24"/>
          <w:highlight w:val="none"/>
        </w:rPr>
        <w:t>主体工程设计在表土堆放期间对堆体坡面和顶面进行临时植草绿化，设计撒播植草面积</w:t>
      </w:r>
      <w:r>
        <w:rPr>
          <w:rFonts w:hint="eastAsia" w:ascii="Times New Roman" w:hAnsi="Times New Roman" w:eastAsia="仿宋_GB2312" w:cs="Times New Roman"/>
          <w:color w:val="auto"/>
          <w:sz w:val="24"/>
          <w:szCs w:val="24"/>
          <w:highlight w:val="none"/>
          <w:lang w:val="en-US" w:eastAsia="zh-CN"/>
        </w:rPr>
        <w:t>1490</w:t>
      </w:r>
      <w:r>
        <w:rPr>
          <w:rFonts w:ascii="Times New Roman" w:hAnsi="Times New Roman" w:eastAsia="仿宋_GB2312" w:cs="Times New Roman"/>
          <w:color w:val="auto"/>
          <w:sz w:val="24"/>
          <w:szCs w:val="24"/>
          <w:highlight w:val="none"/>
        </w:rPr>
        <w:t>m</w:t>
      </w:r>
      <w:r>
        <w:rPr>
          <w:rFonts w:ascii="Times New Roman" w:hAnsi="Times New Roman" w:eastAsia="仿宋_GB2312" w:cs="Times New Roman"/>
          <w:color w:val="auto"/>
          <w:sz w:val="24"/>
          <w:szCs w:val="24"/>
          <w:highlight w:val="none"/>
          <w:vertAlign w:val="superscript"/>
        </w:rPr>
        <w:t>2</w:t>
      </w:r>
      <w:r>
        <w:rPr>
          <w:rFonts w:ascii="Times New Roman" w:hAnsi="Times New Roman" w:eastAsia="仿宋_GB2312" w:cs="Times New Roman"/>
          <w:color w:val="auto"/>
          <w:sz w:val="24"/>
          <w:szCs w:val="24"/>
          <w:highlight w:val="none"/>
        </w:rPr>
        <w:t>，初步考虑种植细叶结缕草。种子级别为一级，发芽率不低于80%。</w:t>
      </w:r>
      <w:r>
        <w:rPr>
          <w:rFonts w:hint="eastAsia" w:ascii="Times New Roman" w:hAnsi="Times New Roman" w:eastAsia="仿宋_GB2312" w:cs="Times New Roman"/>
          <w:color w:val="auto"/>
          <w:sz w:val="24"/>
          <w:highlight w:val="none"/>
          <w:lang w:val="en-US" w:eastAsia="zh-CN"/>
        </w:rPr>
        <w:t xml:space="preserve">             </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2</w:t>
      </w:r>
      <w:r>
        <w:rPr>
          <w:rFonts w:ascii="Times New Roman" w:hAnsi="Times New Roman" w:eastAsia="仿宋_GB2312" w:cs="Times New Roman"/>
          <w:color w:val="auto"/>
          <w:sz w:val="24"/>
          <w:highlight w:val="none"/>
        </w:rPr>
        <w:t>）彩条布遮盖</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施工期</w:t>
      </w:r>
      <w:r>
        <w:rPr>
          <w:rFonts w:hint="eastAsia" w:ascii="Times New Roman" w:hAnsi="Times New Roman" w:eastAsia="仿宋_GB2312" w:cs="Times New Roman"/>
          <w:color w:val="auto"/>
          <w:sz w:val="24"/>
          <w:highlight w:val="none"/>
          <w:lang w:val="en-US" w:eastAsia="zh-CN"/>
        </w:rPr>
        <w:t>对</w:t>
      </w:r>
      <w:r>
        <w:rPr>
          <w:rFonts w:ascii="Times New Roman" w:hAnsi="Times New Roman" w:eastAsia="仿宋_GB2312" w:cs="Times New Roman"/>
          <w:color w:val="auto"/>
          <w:sz w:val="24"/>
          <w:highlight w:val="none"/>
        </w:rPr>
        <w:t>裸露</w:t>
      </w:r>
      <w:r>
        <w:rPr>
          <w:rFonts w:hint="eastAsia" w:ascii="Times New Roman" w:hAnsi="Times New Roman" w:eastAsia="仿宋_GB2312" w:cs="Times New Roman"/>
          <w:color w:val="auto"/>
          <w:sz w:val="24"/>
          <w:highlight w:val="none"/>
          <w:lang w:val="en-US" w:eastAsia="zh-CN"/>
        </w:rPr>
        <w:t>的表土</w:t>
      </w:r>
      <w:r>
        <w:rPr>
          <w:rFonts w:ascii="Times New Roman" w:hAnsi="Times New Roman" w:eastAsia="仿宋_GB2312" w:cs="Times New Roman"/>
          <w:color w:val="auto"/>
          <w:sz w:val="24"/>
          <w:highlight w:val="none"/>
        </w:rPr>
        <w:t>采用彩条布遮盖，共需彩条布</w:t>
      </w:r>
      <w:r>
        <w:rPr>
          <w:rFonts w:hint="eastAsia" w:ascii="Times New Roman" w:hAnsi="Times New Roman" w:eastAsia="仿宋_GB2312" w:cs="Times New Roman"/>
          <w:color w:val="auto"/>
          <w:sz w:val="24"/>
          <w:highlight w:val="none"/>
          <w:lang w:val="en-US" w:eastAsia="zh-CN"/>
        </w:rPr>
        <w:t>1490</w:t>
      </w:r>
      <w:r>
        <w:rPr>
          <w:rFonts w:ascii="Times New Roman" w:hAnsi="Times New Roman" w:eastAsia="仿宋_GB2312" w:cs="Times New Roman"/>
          <w:color w:val="auto"/>
          <w:sz w:val="24"/>
          <w:highlight w:val="none"/>
        </w:rPr>
        <w:t>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3</w:t>
      </w:r>
      <w:r>
        <w:rPr>
          <w:rFonts w:ascii="Times New Roman" w:hAnsi="Times New Roman" w:eastAsia="仿宋_GB2312" w:cs="Times New Roman"/>
          <w:color w:val="auto"/>
          <w:sz w:val="24"/>
          <w:highlight w:val="none"/>
        </w:rPr>
        <w:t>）填土编织袋拦挡及拆除</w:t>
      </w:r>
    </w:p>
    <w:p>
      <w:pPr>
        <w:pStyle w:val="2"/>
        <w:rPr>
          <w:color w:val="auto"/>
          <w:highlight w:val="none"/>
        </w:rPr>
      </w:pPr>
      <w:r>
        <w:rPr>
          <w:rFonts w:hint="eastAsia" w:cs="Times New Roman"/>
          <w:color w:val="auto"/>
          <w:sz w:val="24"/>
          <w:highlight w:val="none"/>
          <w:lang w:val="en-US" w:eastAsia="zh-CN"/>
        </w:rPr>
        <w:t>主体设计</w:t>
      </w:r>
      <w:r>
        <w:rPr>
          <w:rFonts w:ascii="Times New Roman" w:hAnsi="Times New Roman" w:eastAsia="仿宋_GB2312" w:cs="Times New Roman"/>
          <w:color w:val="auto"/>
          <w:sz w:val="24"/>
          <w:highlight w:val="none"/>
        </w:rPr>
        <w:t>在表土堆放场区坡脚设置填土编织袋临时拦挡，将装填好的编织袋以“品”字形规则码放与临时堆土坡脚处。</w:t>
      </w:r>
      <w:r>
        <w:rPr>
          <w:rFonts w:hint="eastAsia" w:ascii="Times New Roman" w:hAnsi="Times New Roman" w:eastAsia="仿宋_GB2312" w:cs="Times New Roman"/>
          <w:color w:val="auto"/>
          <w:sz w:val="24"/>
          <w:szCs w:val="24"/>
          <w:highlight w:val="none"/>
          <w:lang w:val="en-US" w:eastAsia="zh-CN"/>
        </w:rPr>
        <w:t>水田剥离的表土堆放至表土堆放场外侧（地势较低）并采取土袋临时拦挡的方式，</w:t>
      </w:r>
      <w:r>
        <w:rPr>
          <w:rFonts w:ascii="Times New Roman" w:hAnsi="Times New Roman" w:eastAsia="仿宋_GB2312" w:cs="Times New Roman"/>
          <w:color w:val="auto"/>
          <w:sz w:val="24"/>
          <w:szCs w:val="24"/>
          <w:highlight w:val="none"/>
        </w:rPr>
        <w:t>临时土袋挡墙可设置成梯形断面，底宽</w:t>
      </w:r>
      <w:r>
        <w:rPr>
          <w:rFonts w:hint="eastAsia" w:ascii="Times New Roman" w:hAnsi="Times New Roman" w:eastAsia="仿宋_GB2312" w:cs="Times New Roman"/>
          <w:color w:val="auto"/>
          <w:sz w:val="24"/>
          <w:szCs w:val="24"/>
          <w:highlight w:val="none"/>
          <w:lang w:val="en-US" w:eastAsia="zh-CN"/>
        </w:rPr>
        <w:t>3.0</w:t>
      </w:r>
      <w:r>
        <w:rPr>
          <w:rFonts w:ascii="Times New Roman" w:hAnsi="Times New Roman" w:eastAsia="仿宋_GB2312" w:cs="Times New Roman"/>
          <w:color w:val="auto"/>
          <w:sz w:val="24"/>
          <w:szCs w:val="24"/>
          <w:highlight w:val="none"/>
        </w:rPr>
        <w:t>m，高</w:t>
      </w:r>
      <w:r>
        <w:rPr>
          <w:rFonts w:hint="eastAsia" w:ascii="Times New Roman" w:hAnsi="Times New Roman" w:eastAsia="仿宋_GB2312" w:cs="Times New Roman"/>
          <w:color w:val="auto"/>
          <w:sz w:val="24"/>
          <w:szCs w:val="24"/>
          <w:highlight w:val="none"/>
          <w:lang w:val="en-US" w:eastAsia="zh-CN"/>
        </w:rPr>
        <w:t>2.5</w:t>
      </w:r>
      <w:r>
        <w:rPr>
          <w:rFonts w:ascii="Times New Roman" w:hAnsi="Times New Roman" w:eastAsia="仿宋_GB2312" w:cs="Times New Roman"/>
          <w:color w:val="auto"/>
          <w:sz w:val="24"/>
          <w:szCs w:val="24"/>
          <w:highlight w:val="none"/>
        </w:rPr>
        <w:t>m，顶宽</w:t>
      </w:r>
      <w:r>
        <w:rPr>
          <w:rFonts w:hint="eastAsia" w:ascii="Times New Roman" w:hAnsi="Times New Roman" w:eastAsia="仿宋_GB2312" w:cs="Times New Roman"/>
          <w:color w:val="auto"/>
          <w:sz w:val="24"/>
          <w:szCs w:val="24"/>
          <w:highlight w:val="none"/>
          <w:lang w:val="en-US" w:eastAsia="zh-CN"/>
        </w:rPr>
        <w:t>2.0</w:t>
      </w:r>
      <w:r>
        <w:rPr>
          <w:rFonts w:ascii="Times New Roman" w:hAnsi="Times New Roman" w:eastAsia="仿宋_GB2312" w:cs="Times New Roman"/>
          <w:color w:val="auto"/>
          <w:sz w:val="24"/>
          <w:szCs w:val="24"/>
          <w:highlight w:val="none"/>
        </w:rPr>
        <w:t>m，土袋挡墙填土为开挖的</w:t>
      </w:r>
      <w:r>
        <w:rPr>
          <w:rFonts w:hint="eastAsia" w:ascii="Times New Roman" w:hAnsi="Times New Roman" w:eastAsia="仿宋_GB2312" w:cs="Times New Roman"/>
          <w:color w:val="auto"/>
          <w:sz w:val="24"/>
          <w:szCs w:val="24"/>
          <w:highlight w:val="none"/>
          <w:lang w:val="en-US" w:eastAsia="zh-CN"/>
        </w:rPr>
        <w:t>耕植</w:t>
      </w:r>
      <w:r>
        <w:rPr>
          <w:rFonts w:ascii="Times New Roman" w:hAnsi="Times New Roman" w:eastAsia="仿宋_GB2312" w:cs="Times New Roman"/>
          <w:color w:val="auto"/>
          <w:sz w:val="24"/>
          <w:szCs w:val="24"/>
          <w:highlight w:val="none"/>
        </w:rPr>
        <w:t>土。经统计，</w:t>
      </w:r>
      <w:r>
        <w:rPr>
          <w:rFonts w:ascii="Times New Roman" w:hAnsi="Times New Roman" w:eastAsia="仿宋_GB2312" w:cs="Times New Roman"/>
          <w:color w:val="auto"/>
          <w:sz w:val="24"/>
          <w:highlight w:val="none"/>
        </w:rPr>
        <w:t>共布设土袋挡墙</w:t>
      </w:r>
      <w:r>
        <w:rPr>
          <w:rFonts w:hint="eastAsia" w:cs="Times New Roman"/>
          <w:color w:val="auto"/>
          <w:sz w:val="24"/>
          <w:highlight w:val="none"/>
          <w:lang w:val="en-US" w:eastAsia="zh-CN"/>
        </w:rPr>
        <w:t>90</w:t>
      </w:r>
      <w:r>
        <w:rPr>
          <w:rFonts w:ascii="Times New Roman" w:hAnsi="Times New Roman" w:eastAsia="仿宋_GB2312" w:cs="Times New Roman"/>
          <w:color w:val="auto"/>
          <w:sz w:val="24"/>
          <w:highlight w:val="none"/>
        </w:rPr>
        <w:t>m，主要工程量为土袋填筑及拆除</w:t>
      </w:r>
      <w:r>
        <w:rPr>
          <w:rFonts w:hint="eastAsia" w:cs="Times New Roman"/>
          <w:color w:val="auto"/>
          <w:sz w:val="24"/>
          <w:highlight w:val="none"/>
          <w:lang w:val="en-US" w:eastAsia="zh-CN"/>
        </w:rPr>
        <w:t>562.5</w:t>
      </w:r>
      <w:r>
        <w:rPr>
          <w:rFonts w:ascii="Times New Roman" w:hAnsi="Times New Roman" w:eastAsia="仿宋_GB2312" w:cs="Times New Roman"/>
          <w:color w:val="auto"/>
          <w:sz w:val="24"/>
          <w:highlight w:val="none"/>
        </w:rPr>
        <w:t>m</w:t>
      </w:r>
      <w:r>
        <w:rPr>
          <w:rFonts w:ascii="Times New Roman" w:hAnsi="Times New Roman" w:eastAsia="仿宋_GB2312" w:cs="Times New Roman"/>
          <w:color w:val="auto"/>
          <w:sz w:val="24"/>
          <w:highlight w:val="none"/>
          <w:vertAlign w:val="superscript"/>
        </w:rPr>
        <w:t>3</w:t>
      </w:r>
      <w:r>
        <w:rPr>
          <w:rFonts w:ascii="Times New Roman" w:hAnsi="Times New Roman" w:eastAsia="仿宋_GB2312" w:cs="Times New Roman"/>
          <w:color w:val="auto"/>
          <w:sz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b/>
          <w:color w:val="auto"/>
          <w:highlight w:val="none"/>
        </w:rPr>
      </w:pPr>
      <w:r>
        <w:rPr>
          <w:rFonts w:ascii="Times New Roman" w:hAnsi="Times New Roman" w:eastAsia="仿宋_GB2312" w:cs="Times New Roman"/>
          <w:color w:val="auto"/>
          <w:sz w:val="24"/>
          <w:highlight w:val="none"/>
        </w:rPr>
        <w:t>表土堆放场区水土保持措施及工程量统计情况详见下表。</w:t>
      </w:r>
    </w:p>
    <w:p>
      <w:pPr>
        <w:widowControl w:val="0"/>
        <w:adjustRightInd w:val="0"/>
        <w:snapToGrid w:val="0"/>
        <w:spacing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fldChar w:fldCharType="begin">
          <w:fldData xml:space="preserve">XwBjAHAAXwBQAGkASABxAEQAegBLAFgAMwBEAEUAYgBwAE8AcwBlAHIAQQBUAFQASwBkAEoANgBq
AGUAYQBBAHAAQgB5AFMAaABuAGkAVgB1ADYAMgBTAHIAKwBGAFAAMwBkAHcAbwBqAGwAQgBiAC8A
ZwA9AD0A
</w:fldData>
        </w:fldChar>
      </w:r>
      <w:r>
        <w:rPr>
          <w:rFonts w:ascii="Times New Roman" w:hAnsi="Times New Roman" w:eastAsia="仿宋_GB2312" w:cs="Times New Roman"/>
          <w:b/>
          <w:color w:val="auto"/>
          <w:highlight w:val="none"/>
        </w:rPr>
        <w:instrText xml:space="preserve">ADDIN _cp_ \* MERGEFORMAT</w:instrText>
      </w:r>
      <w:r>
        <w:rPr>
          <w:rFonts w:ascii="Times New Roman" w:hAnsi="Times New Roman" w:eastAsia="仿宋_GB2312" w:cs="Times New Roman"/>
          <w:b/>
          <w:color w:val="auto"/>
          <w:highlight w:val="none"/>
        </w:rPr>
        <w:fldChar w:fldCharType="separate"/>
      </w:r>
      <w:r>
        <w:rPr>
          <w:rFonts w:ascii="Times New Roman" w:hAnsi="Times New Roman" w:eastAsia="仿宋_GB2312" w:cs="Times New Roman"/>
          <w:b/>
          <w:color w:val="auto"/>
          <w:highlight w:val="none"/>
        </w:rPr>
        <w:t>表5.3</w:t>
      </w:r>
      <w:r>
        <w:rPr>
          <w:rFonts w:ascii="Times New Roman" w:hAnsi="Times New Roman" w:eastAsia="仿宋_GB2312" w:cs="Times New Roman"/>
          <w:b/>
          <w:color w:val="auto"/>
          <w:highlight w:val="none"/>
        </w:rPr>
        <w:fldChar w:fldCharType="end"/>
      </w:r>
      <w:r>
        <w:rPr>
          <w:rFonts w:ascii="Times New Roman" w:hAnsi="Times New Roman" w:eastAsia="仿宋_GB2312" w:cs="Times New Roman"/>
          <w:b/>
          <w:color w:val="auto"/>
          <w:highlight w:val="none"/>
        </w:rPr>
        <w:t>-3表土堆放场区工程量汇总表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8"/>
        <w:gridCol w:w="1644"/>
        <w:gridCol w:w="1198"/>
        <w:gridCol w:w="1198"/>
        <w:gridCol w:w="1198"/>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防治分区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措施类型</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措施名称</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工程量指标</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单位</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表土堆放场区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复耕</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播撒草籽</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1490</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彩条布苫盖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1490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ascii="Times New Roman" w:hAnsi="Times New Roman" w:eastAsia="仿宋_GB2312" w:cs="Times New Roman"/>
                <w:color w:val="auto"/>
                <w:kern w:val="0"/>
                <w:sz w:val="18"/>
                <w:szCs w:val="18"/>
                <w:highlight w:val="none"/>
              </w:rPr>
              <w:t>填土编织袋拦挡</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体积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562.5</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填土编织袋</w:t>
            </w:r>
            <w:r>
              <w:rPr>
                <w:rFonts w:hint="eastAsia" w:ascii="Times New Roman" w:hAnsi="Times New Roman" w:eastAsia="仿宋_GB2312" w:cs="Times New Roman"/>
                <w:color w:val="auto"/>
                <w:kern w:val="0"/>
                <w:sz w:val="18"/>
                <w:szCs w:val="18"/>
                <w:highlight w:val="none"/>
                <w:lang w:val="en-US" w:eastAsia="zh-CN"/>
              </w:rPr>
              <w:t>拆除</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体积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562.5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bl>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XwBjAHAAXwBqAFUARgBHAEIAQgBIAHEAbABOAEkAcAB3AFEAMABNAEkAWABPADYAbQBlAFIAaABu
ACsAUwB0AE8AOQArAGoARgA2ADEAYgBxAC8ATwBQADkASQA4AGEAZAAxAEUAeAAwAGkAaQA2ADUA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5.3.4</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道路工程区</w:t>
      </w:r>
    </w:p>
    <w:p>
      <w:pPr>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施工前期，</w:t>
      </w:r>
      <w:r>
        <w:rPr>
          <w:rFonts w:ascii="Times New Roman" w:hAnsi="Times New Roman" w:eastAsia="仿宋_GB2312" w:cs="Times New Roman"/>
          <w:color w:val="auto"/>
          <w:kern w:val="0"/>
          <w:sz w:val="24"/>
          <w:szCs w:val="24"/>
          <w:highlight w:val="none"/>
        </w:rPr>
        <w:t>对新建施工便道占用</w:t>
      </w:r>
      <w:r>
        <w:rPr>
          <w:rFonts w:ascii="Times New Roman" w:hAnsi="Times New Roman" w:eastAsia="仿宋_GB2312" w:cs="Times New Roman"/>
          <w:color w:val="auto"/>
          <w:sz w:val="24"/>
          <w:highlight w:val="none"/>
        </w:rPr>
        <w:t>耕地</w:t>
      </w:r>
      <w:r>
        <w:rPr>
          <w:rFonts w:hint="eastAsia" w:ascii="Times New Roman" w:hAnsi="Times New Roman" w:eastAsia="仿宋_GB2312" w:cs="Times New Roman"/>
          <w:color w:val="auto"/>
          <w:sz w:val="24"/>
          <w:highlight w:val="none"/>
          <w:lang w:eastAsia="zh-CN"/>
        </w:rPr>
        <w:t>、</w:t>
      </w:r>
      <w:r>
        <w:rPr>
          <w:rFonts w:hint="eastAsia" w:ascii="Times New Roman" w:hAnsi="Times New Roman" w:eastAsia="仿宋_GB2312" w:cs="Times New Roman"/>
          <w:color w:val="auto"/>
          <w:sz w:val="24"/>
          <w:highlight w:val="none"/>
          <w:lang w:val="en-US" w:eastAsia="zh-CN"/>
        </w:rPr>
        <w:t>林地</w:t>
      </w:r>
      <w:r>
        <w:rPr>
          <w:rFonts w:ascii="Times New Roman" w:hAnsi="Times New Roman" w:eastAsia="仿宋_GB2312" w:cs="Times New Roman"/>
          <w:color w:val="auto"/>
          <w:sz w:val="24"/>
          <w:highlight w:val="none"/>
        </w:rPr>
        <w:t>区域进行表土剥离并堆存保护，在施工道路一侧设置临时排水沟对雨水进行拦截和排导，出口设临时沉沙池；在堆土坡顶、坡面采用彩条布临时遮盖措施；</w:t>
      </w:r>
      <w:r>
        <w:rPr>
          <w:rFonts w:hint="eastAsia" w:ascii="Times New Roman" w:hAnsi="Times New Roman" w:eastAsia="仿宋_GB2312" w:cs="Times New Roman"/>
          <w:color w:val="auto"/>
          <w:sz w:val="24"/>
          <w:highlight w:val="none"/>
          <w:lang w:val="en-US" w:eastAsia="zh-CN"/>
        </w:rPr>
        <w:t>施工结束后对新建施工便道边坡可绿化区域进行清理和平整，并回铺表土，再撒草籽</w:t>
      </w:r>
      <w:r>
        <w:rPr>
          <w:rFonts w:ascii="Times New Roman" w:hAnsi="Times New Roman" w:eastAsia="仿宋_GB2312" w:cs="Times New Roman"/>
          <w:color w:val="auto"/>
          <w:sz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1、工程措施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（1）表土剥离及覆土</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为保护利用表土资源，在土建工程施工前，对道路新增占用耕地及林地</w:t>
      </w:r>
      <w:r>
        <w:rPr>
          <w:rFonts w:hint="eastAsia" w:ascii="Times New Roman" w:hAnsi="Times New Roman" w:eastAsia="仿宋_GB2312" w:cs="Times New Roman"/>
          <w:color w:val="auto"/>
          <w:sz w:val="24"/>
          <w:highlight w:val="none"/>
          <w:lang w:val="en-US" w:eastAsia="zh-CN"/>
        </w:rPr>
        <w:t>部分</w:t>
      </w:r>
      <w:r>
        <w:rPr>
          <w:rFonts w:ascii="Times New Roman" w:hAnsi="Times New Roman" w:eastAsia="仿宋_GB2312" w:cs="Times New Roman"/>
          <w:color w:val="auto"/>
          <w:sz w:val="24"/>
          <w:highlight w:val="none"/>
        </w:rPr>
        <w:t>区域进行表土剥离，剥离厚度</w:t>
      </w:r>
      <w:r>
        <w:rPr>
          <w:rFonts w:hint="eastAsia" w:ascii="Times New Roman" w:hAnsi="Times New Roman" w:eastAsia="仿宋_GB2312" w:cs="Times New Roman"/>
          <w:color w:val="auto"/>
          <w:sz w:val="24"/>
          <w:szCs w:val="24"/>
          <w:highlight w:val="none"/>
          <w:lang w:val="en-US" w:eastAsia="zh-CN"/>
        </w:rPr>
        <w:t>0.3m~0.5m</w:t>
      </w:r>
      <w:r>
        <w:rPr>
          <w:rFonts w:ascii="Times New Roman" w:hAnsi="Times New Roman" w:eastAsia="仿宋_GB2312" w:cs="Times New Roman"/>
          <w:color w:val="auto"/>
          <w:sz w:val="24"/>
          <w:highlight w:val="none"/>
        </w:rPr>
        <w:t>，剥离面积</w:t>
      </w:r>
      <w:r>
        <w:rPr>
          <w:rFonts w:hint="eastAsia" w:ascii="Times New Roman" w:hAnsi="Times New Roman" w:eastAsia="仿宋_GB2312" w:cs="Times New Roman"/>
          <w:color w:val="auto"/>
          <w:sz w:val="24"/>
          <w:highlight w:val="none"/>
          <w:lang w:val="en-US" w:eastAsia="zh-CN"/>
        </w:rPr>
        <w:t>0.30</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，表土剥离总量0.</w:t>
      </w:r>
      <w:r>
        <w:rPr>
          <w:rFonts w:hint="eastAsia" w:ascii="Times New Roman" w:hAnsi="Times New Roman" w:eastAsia="仿宋_GB2312" w:cs="Times New Roman"/>
          <w:color w:val="auto"/>
          <w:sz w:val="24"/>
          <w:highlight w:val="none"/>
          <w:lang w:val="en-US" w:eastAsia="zh-CN"/>
        </w:rPr>
        <w:t>09</w:t>
      </w:r>
      <w:r>
        <w:rPr>
          <w:rFonts w:ascii="Times New Roman" w:hAnsi="Times New Roman" w:eastAsia="仿宋_GB2312" w:cs="Times New Roman"/>
          <w:color w:val="auto"/>
          <w:sz w:val="24"/>
          <w:highlight w:val="none"/>
        </w:rPr>
        <w:t>万m</w:t>
      </w:r>
      <w:r>
        <w:rPr>
          <w:rFonts w:ascii="Times New Roman" w:hAnsi="Times New Roman" w:eastAsia="仿宋_GB2312" w:cs="Times New Roman"/>
          <w:color w:val="auto"/>
          <w:sz w:val="24"/>
          <w:highlight w:val="none"/>
          <w:vertAlign w:val="superscript"/>
        </w:rPr>
        <w:t>3</w:t>
      </w:r>
      <w:r>
        <w:rPr>
          <w:rFonts w:ascii="Times New Roman" w:hAnsi="Times New Roman" w:eastAsia="仿宋_GB2312" w:cs="Times New Roman"/>
          <w:color w:val="auto"/>
          <w:sz w:val="24"/>
          <w:highlight w:val="none"/>
        </w:rPr>
        <w:t>。剥离表土在表土堆放场集中堆放，待施工完成后用于</w:t>
      </w:r>
      <w:r>
        <w:rPr>
          <w:rFonts w:hint="eastAsia" w:ascii="Times New Roman" w:hAnsi="Times New Roman" w:eastAsia="仿宋_GB2312" w:cs="Times New Roman"/>
          <w:color w:val="auto"/>
          <w:sz w:val="24"/>
          <w:highlight w:val="none"/>
          <w:lang w:val="en-US" w:eastAsia="zh-CN"/>
        </w:rPr>
        <w:t>边坡绿化</w:t>
      </w:r>
      <w:r>
        <w:rPr>
          <w:rFonts w:ascii="Times New Roman" w:hAnsi="Times New Roman" w:eastAsia="仿宋_GB2312" w:cs="Times New Roman"/>
          <w:color w:val="auto"/>
          <w:sz w:val="24"/>
          <w:highlight w:val="none"/>
        </w:rPr>
        <w:t>覆土，道路工程区表土回覆量约0.</w:t>
      </w:r>
      <w:r>
        <w:rPr>
          <w:rFonts w:hint="eastAsia" w:ascii="Times New Roman" w:hAnsi="Times New Roman" w:eastAsia="仿宋_GB2312" w:cs="Times New Roman"/>
          <w:color w:val="auto"/>
          <w:sz w:val="24"/>
          <w:highlight w:val="none"/>
          <w:lang w:val="en-US" w:eastAsia="zh-CN"/>
        </w:rPr>
        <w:t>10</w:t>
      </w:r>
      <w:r>
        <w:rPr>
          <w:rFonts w:ascii="Times New Roman" w:hAnsi="Times New Roman" w:eastAsia="仿宋_GB2312" w:cs="Times New Roman"/>
          <w:color w:val="auto"/>
          <w:sz w:val="24"/>
          <w:highlight w:val="none"/>
        </w:rPr>
        <w:t>万m</w:t>
      </w:r>
      <w:r>
        <w:rPr>
          <w:rFonts w:ascii="Times New Roman" w:hAnsi="Times New Roman" w:eastAsia="仿宋_GB2312" w:cs="Times New Roman"/>
          <w:color w:val="auto"/>
          <w:sz w:val="24"/>
          <w:highlight w:val="none"/>
          <w:vertAlign w:val="superscript"/>
        </w:rPr>
        <w:t>3</w:t>
      </w:r>
      <w:r>
        <w:rPr>
          <w:rFonts w:ascii="Times New Roman" w:hAnsi="Times New Roman" w:eastAsia="仿宋_GB2312" w:cs="Times New Roman"/>
          <w:color w:val="auto"/>
          <w:sz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（2）土地整治</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施工结束后对</w:t>
      </w:r>
      <w:r>
        <w:rPr>
          <w:rFonts w:hint="eastAsia" w:ascii="Times New Roman" w:hAnsi="Times New Roman" w:eastAsia="仿宋_GB2312" w:cs="Times New Roman"/>
          <w:color w:val="auto"/>
          <w:sz w:val="24"/>
          <w:highlight w:val="none"/>
          <w:lang w:val="en-US" w:eastAsia="zh-CN"/>
        </w:rPr>
        <w:t>道路工程</w:t>
      </w:r>
      <w:r>
        <w:rPr>
          <w:rFonts w:ascii="Times New Roman" w:hAnsi="Times New Roman" w:eastAsia="仿宋_GB2312" w:cs="Times New Roman"/>
          <w:color w:val="auto"/>
          <w:sz w:val="24"/>
          <w:highlight w:val="none"/>
        </w:rPr>
        <w:t>按原占地类型进行恢复，先对扰动区域进行土地整治，面积为0.</w:t>
      </w:r>
      <w:r>
        <w:rPr>
          <w:rFonts w:hint="eastAsia" w:ascii="Times New Roman" w:hAnsi="Times New Roman" w:eastAsia="仿宋_GB2312" w:cs="Times New Roman"/>
          <w:color w:val="auto"/>
          <w:sz w:val="24"/>
          <w:highlight w:val="none"/>
          <w:lang w:val="en-US" w:eastAsia="zh-CN"/>
        </w:rPr>
        <w:t>30</w:t>
      </w:r>
      <w:r>
        <w:rPr>
          <w:rFonts w:hint="eastAsia" w:ascii="Times New Roman" w:hAnsi="Times New Roman" w:eastAsia="仿宋_GB2312" w:cs="Times New Roman"/>
          <w:color w:val="auto"/>
          <w:sz w:val="24"/>
          <w:highlight w:val="none"/>
          <w:lang w:eastAsia="zh-CN"/>
        </w:rPr>
        <w:t>hm</w:t>
      </w:r>
      <w:r>
        <w:rPr>
          <w:rFonts w:hint="eastAsia" w:ascii="Times New Roman" w:hAnsi="Times New Roman" w:eastAsia="仿宋_GB2312" w:cs="Times New Roman"/>
          <w:color w:val="auto"/>
          <w:sz w:val="24"/>
          <w:highlight w:val="none"/>
          <w:vertAlign w:val="superscript"/>
          <w:lang w:eastAsia="zh-CN"/>
        </w:rPr>
        <w:t>2</w:t>
      </w:r>
      <w:r>
        <w:rPr>
          <w:rFonts w:ascii="Times New Roman" w:hAnsi="Times New Roman" w:eastAsia="仿宋_GB2312" w:cs="Times New Roman"/>
          <w:color w:val="auto"/>
          <w:sz w:val="24"/>
          <w:highlight w:val="none"/>
        </w:rPr>
        <w:t>，土地整治方法同前。</w:t>
      </w:r>
    </w:p>
    <w:p>
      <w:pPr>
        <w:pStyle w:val="2"/>
        <w:rPr>
          <w:rFonts w:hint="default" w:cs="Times New Roman"/>
          <w:color w:val="auto"/>
          <w:sz w:val="24"/>
          <w:highlight w:val="none"/>
          <w:lang w:val="en-US" w:eastAsia="zh-CN"/>
        </w:rPr>
      </w:pPr>
      <w:r>
        <w:rPr>
          <w:rFonts w:hint="eastAsia" w:cs="Times New Roman"/>
          <w:color w:val="auto"/>
          <w:sz w:val="24"/>
          <w:highlight w:val="none"/>
          <w:lang w:eastAsia="zh-CN"/>
        </w:rPr>
        <w:t>（</w:t>
      </w:r>
      <w:r>
        <w:rPr>
          <w:rFonts w:hint="eastAsia" w:cs="Times New Roman"/>
          <w:color w:val="auto"/>
          <w:sz w:val="24"/>
          <w:highlight w:val="none"/>
          <w:lang w:val="en-US" w:eastAsia="zh-CN"/>
        </w:rPr>
        <w:t>3</w:t>
      </w:r>
      <w:r>
        <w:rPr>
          <w:rFonts w:hint="eastAsia" w:cs="Times New Roman"/>
          <w:color w:val="auto"/>
          <w:sz w:val="24"/>
          <w:highlight w:val="none"/>
          <w:lang w:eastAsia="zh-CN"/>
        </w:rPr>
        <w:t>）</w:t>
      </w:r>
      <w:r>
        <w:rPr>
          <w:rFonts w:hint="eastAsia" w:cs="Times New Roman"/>
          <w:color w:val="auto"/>
          <w:sz w:val="24"/>
          <w:highlight w:val="none"/>
          <w:lang w:val="en-US" w:eastAsia="zh-CN"/>
        </w:rPr>
        <w:t>排水边沟</w:t>
      </w:r>
    </w:p>
    <w:p>
      <w:pPr>
        <w:pStyle w:val="2"/>
        <w:rPr>
          <w:rFonts w:hint="default" w:cs="Times New Roman"/>
          <w:color w:val="auto"/>
          <w:sz w:val="24"/>
          <w:highlight w:val="none"/>
          <w:lang w:val="en-US" w:eastAsia="zh-CN"/>
        </w:rPr>
      </w:pPr>
      <w:r>
        <w:rPr>
          <w:rFonts w:hint="eastAsia" w:cs="Times New Roman"/>
          <w:color w:val="auto"/>
          <w:sz w:val="24"/>
          <w:highlight w:val="none"/>
          <w:lang w:val="en-US" w:eastAsia="zh-CN"/>
        </w:rPr>
        <w:t>新建道路位于新建井场前侧，主体设计在新建道路挖方区设置路边排水沟，填方区域设置护坡。排水沟采用矩形断面，设计尺寸为宽×高=0.4m×0.4m，沟壁及沟底厚24cm，采用C15混凝土现浇，排水沟出口接入自然水系。排水沟共208m。</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hint="eastAsia" w:ascii="Times New Roman" w:hAnsi="Times New Roman" w:eastAsia="仿宋_GB2312" w:cs="Times New Roman"/>
          <w:color w:val="auto"/>
          <w:sz w:val="24"/>
          <w:highlight w:val="none"/>
          <w:lang w:val="en-US" w:eastAsia="zh-CN"/>
        </w:rPr>
        <w:t>2</w:t>
      </w:r>
      <w:r>
        <w:rPr>
          <w:rFonts w:ascii="Times New Roman" w:hAnsi="Times New Roman" w:eastAsia="仿宋_GB2312" w:cs="Times New Roman"/>
          <w:color w:val="auto"/>
          <w:sz w:val="24"/>
          <w:highlight w:val="none"/>
        </w:rPr>
        <w:t>、临时措施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w:t>
      </w:r>
      <w:r>
        <w:rPr>
          <w:rFonts w:hint="eastAsia" w:ascii="Times New Roman" w:hAnsi="Times New Roman" w:eastAsia="仿宋_GB2312" w:cs="Times New Roman"/>
          <w:color w:val="auto"/>
          <w:sz w:val="24"/>
          <w:highlight w:val="none"/>
          <w:lang w:val="en-US" w:eastAsia="zh-CN"/>
        </w:rPr>
        <w:t>1</w:t>
      </w:r>
      <w:r>
        <w:rPr>
          <w:rFonts w:ascii="Times New Roman" w:hAnsi="Times New Roman" w:eastAsia="仿宋_GB2312" w:cs="Times New Roman"/>
          <w:color w:val="auto"/>
          <w:sz w:val="24"/>
          <w:highlight w:val="none"/>
        </w:rPr>
        <w:t>）临时沉砂池</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在临时排水沟末端设置临时沉砂池，单个沉砂池的尺寸为：底长×底宽×深=1.5m×1.0m×1.0m，沉砂池坡比1:0.5，并在沉砂池内部铺盖土工布。道路工程区共计新增临时沉砂池</w:t>
      </w:r>
      <w:r>
        <w:rPr>
          <w:rFonts w:hint="eastAsia" w:ascii="Times New Roman" w:hAnsi="Times New Roman" w:eastAsia="仿宋_GB2312" w:cs="Times New Roman"/>
          <w:color w:val="auto"/>
          <w:sz w:val="24"/>
          <w:highlight w:val="none"/>
          <w:lang w:val="en-US" w:eastAsia="zh-CN"/>
        </w:rPr>
        <w:t>2</w:t>
      </w:r>
      <w:r>
        <w:rPr>
          <w:rFonts w:ascii="Times New Roman" w:hAnsi="Times New Roman" w:eastAsia="仿宋_GB2312" w:cs="Times New Roman"/>
          <w:color w:val="auto"/>
          <w:sz w:val="24"/>
          <w:highlight w:val="none"/>
        </w:rPr>
        <w:t>个。临时沉砂池使用时要求定期清理，并及时清淤。</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（3）彩条布遮盖</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施工过程中对道路裸露边坡及地表采用彩条布遮盖进行临时防护，共需彩条布</w:t>
      </w:r>
      <w:r>
        <w:rPr>
          <w:rFonts w:hint="eastAsia" w:ascii="Times New Roman" w:hAnsi="Times New Roman" w:eastAsia="仿宋_GB2312" w:cs="Times New Roman"/>
          <w:color w:val="auto"/>
          <w:sz w:val="24"/>
          <w:highlight w:val="none"/>
          <w:lang w:val="en-US" w:eastAsia="zh-CN"/>
        </w:rPr>
        <w:t>4</w:t>
      </w:r>
      <w:r>
        <w:rPr>
          <w:rFonts w:ascii="Times New Roman" w:hAnsi="Times New Roman" w:eastAsia="仿宋_GB2312" w:cs="Times New Roman"/>
          <w:color w:val="auto"/>
          <w:sz w:val="24"/>
          <w:highlight w:val="none"/>
        </w:rPr>
        <w:t>00m</w:t>
      </w:r>
      <w:r>
        <w:rPr>
          <w:rFonts w:ascii="Times New Roman" w:hAnsi="Times New Roman" w:eastAsia="仿宋_GB2312" w:cs="Times New Roman"/>
          <w:color w:val="auto"/>
          <w:sz w:val="24"/>
          <w:highlight w:val="none"/>
          <w:vertAlign w:val="superscript"/>
        </w:rPr>
        <w:t>2</w:t>
      </w:r>
      <w:r>
        <w:rPr>
          <w:rFonts w:ascii="Times New Roman" w:hAnsi="Times New Roman" w:eastAsia="仿宋_GB2312" w:cs="Times New Roman"/>
          <w:color w:val="auto"/>
          <w:sz w:val="24"/>
          <w:highlight w:val="none"/>
        </w:rPr>
        <w:t>。</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道路工程区水土保持措施及工程量统计情况详见下表。</w:t>
      </w:r>
    </w:p>
    <w:p>
      <w:pPr>
        <w:widowControl w:val="0"/>
        <w:adjustRightInd w:val="0"/>
        <w:snapToGrid w:val="0"/>
        <w:spacing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fldChar w:fldCharType="begin">
          <w:fldData xml:space="preserve">XwBjAHAAXwBQAGkASABxAEQAegBLAFgAMwBEAEUAYgBwAE8AcwBlAHIAQQBUAFQASwBkAEoANgBq
AGUAYQBBAHAAQgB5AFMAaABuAGkAVgB1ADYAMgBTAHIAKwBGAFAAMwBkAHcAbwBqAGwAQgBiAC8A
ZwA9AD0A
</w:fldData>
        </w:fldChar>
      </w:r>
      <w:r>
        <w:rPr>
          <w:rFonts w:ascii="Times New Roman" w:hAnsi="Times New Roman" w:eastAsia="仿宋_GB2312" w:cs="Times New Roman"/>
          <w:b/>
          <w:color w:val="auto"/>
          <w:highlight w:val="none"/>
        </w:rPr>
        <w:instrText xml:space="preserve">ADDIN _cp_ \* MERGEFORMAT</w:instrText>
      </w:r>
      <w:r>
        <w:rPr>
          <w:rFonts w:ascii="Times New Roman" w:hAnsi="Times New Roman" w:eastAsia="仿宋_GB2312" w:cs="Times New Roman"/>
          <w:b/>
          <w:color w:val="auto"/>
          <w:highlight w:val="none"/>
        </w:rPr>
        <w:fldChar w:fldCharType="separate"/>
      </w:r>
      <w:r>
        <w:rPr>
          <w:rFonts w:ascii="Times New Roman" w:hAnsi="Times New Roman" w:eastAsia="仿宋_GB2312" w:cs="Times New Roman"/>
          <w:b/>
          <w:color w:val="auto"/>
          <w:highlight w:val="none"/>
        </w:rPr>
        <w:t>表5.3</w:t>
      </w:r>
      <w:r>
        <w:rPr>
          <w:rFonts w:ascii="Times New Roman" w:hAnsi="Times New Roman" w:eastAsia="仿宋_GB2312" w:cs="Times New Roman"/>
          <w:b/>
          <w:color w:val="auto"/>
          <w:highlight w:val="none"/>
        </w:rPr>
        <w:fldChar w:fldCharType="end"/>
      </w:r>
      <w:r>
        <w:rPr>
          <w:rFonts w:ascii="Times New Roman" w:hAnsi="Times New Roman" w:eastAsia="仿宋_GB2312" w:cs="Times New Roman"/>
          <w:b/>
          <w:color w:val="auto"/>
          <w:highlight w:val="none"/>
        </w:rPr>
        <w:t>-4道路工程区工程量汇总表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8"/>
        <w:gridCol w:w="1644"/>
        <w:gridCol w:w="1198"/>
        <w:gridCol w:w="1198"/>
        <w:gridCol w:w="1198"/>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防治分区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措施类型</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措施名称</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工程量指标</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单位</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表土剥离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万m</w:t>
            </w:r>
            <w:r>
              <w:rPr>
                <w:rFonts w:ascii="Times New Roman" w:hAnsi="Times New Roman" w:eastAsia="仿宋_GB2312" w:cs="Times New Roman"/>
                <w:color w:val="auto"/>
                <w:kern w:val="0"/>
                <w:sz w:val="18"/>
                <w:szCs w:val="18"/>
                <w:highlight w:val="none"/>
                <w:vertAlign w:val="superscript"/>
              </w:rPr>
              <w:t>3</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0.09</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表土</w:t>
            </w:r>
            <w:r>
              <w:rPr>
                <w:rFonts w:hint="eastAsia" w:ascii="Times New Roman" w:hAnsi="Times New Roman" w:eastAsia="仿宋_GB2312" w:cs="Times New Roman"/>
                <w:color w:val="auto"/>
                <w:kern w:val="0"/>
                <w:sz w:val="18"/>
                <w:szCs w:val="18"/>
                <w:highlight w:val="none"/>
                <w:lang w:val="en-US" w:eastAsia="zh-CN"/>
              </w:rPr>
              <w:t>回覆</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万m</w:t>
            </w:r>
            <w:r>
              <w:rPr>
                <w:rFonts w:ascii="Times New Roman" w:hAnsi="Times New Roman" w:eastAsia="仿宋_GB2312" w:cs="Times New Roman"/>
                <w:color w:val="auto"/>
                <w:kern w:val="0"/>
                <w:sz w:val="18"/>
                <w:szCs w:val="18"/>
                <w:highlight w:val="none"/>
                <w:vertAlign w:val="superscript"/>
              </w:rPr>
              <w:t>3</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0.10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0.30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208</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临时沉砂池</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个</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彩条布苫盖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400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bl>
    <w:p>
      <w:pPr>
        <w:widowControl w:val="0"/>
        <w:adjustRightInd w:val="0"/>
        <w:snapToGrid w:val="0"/>
        <w:spacing w:before="120" w:before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XwBjAHAAXwBXAG8AZgBYAE4AKwAvADIANgAzAEMAeQA2AGUAQwBHAGwAegBCACsAZQBtAGMAMwAr
AFMAagArAGQALwBiAFoAMwBnAFAAUQB5AGcAWgBRAEgAbwBMAEMAdgA1AGgAVABXADYAcgBnAFoA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5.3.</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5水土保持措施工程量汇总</w:t>
      </w:r>
    </w:p>
    <w:p>
      <w:pPr>
        <w:widowControl w:val="0"/>
        <w:adjustRightInd w:val="0"/>
        <w:snapToGrid w:val="0"/>
        <w:spacing w:line="360"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本方案水土保持措施工程量汇总见表5.3-5。</w:t>
      </w:r>
    </w:p>
    <w:p>
      <w:pPr>
        <w:widowControl w:val="0"/>
        <w:adjustRightInd w:val="0"/>
        <w:snapToGrid w:val="0"/>
        <w:spacing w:line="360" w:lineRule="auto"/>
        <w:jc w:val="center"/>
        <w:rPr>
          <w:rFonts w:ascii="Times New Roman" w:hAnsi="Times New Roman" w:eastAsia="仿宋_GB2312" w:cs="Times New Roman"/>
          <w:b/>
          <w:color w:val="auto"/>
        </w:rPr>
      </w:pPr>
    </w:p>
    <w:p>
      <w:pPr>
        <w:widowControl w:val="0"/>
        <w:adjustRightInd w:val="0"/>
        <w:snapToGrid w:val="0"/>
        <w:spacing w:line="360" w:lineRule="auto"/>
        <w:jc w:val="center"/>
        <w:rPr>
          <w:rFonts w:ascii="Times New Roman" w:hAnsi="Times New Roman" w:eastAsia="仿宋_GB2312" w:cs="Times New Roman"/>
          <w:b/>
          <w:color w:val="auto"/>
          <w:highlight w:val="none"/>
        </w:rPr>
      </w:pPr>
      <w:r>
        <w:rPr>
          <w:rFonts w:ascii="Times New Roman" w:hAnsi="Times New Roman" w:eastAsia="仿宋_GB2312" w:cs="Times New Roman"/>
          <w:b/>
          <w:color w:val="auto"/>
          <w:highlight w:val="none"/>
        </w:rPr>
        <w:fldChar w:fldCharType="begin">
          <w:fldData xml:space="preserve">XwBjAHAAXwBQAGkASABxAEQAegBLAFgAMwBEAEUAYgBwAE8AcwBlAHIAQQBUAFQASwBkAEoANgBq
AGUAYQBBAHAAQgB5AFMAaABuAGkAVgB1ADYAMgBTAHIAKwBGAFAAMwBkAHcAbwBqAGwAQgBiAC8A
ZwA9AD0A
</w:fldData>
        </w:fldChar>
      </w:r>
      <w:r>
        <w:rPr>
          <w:rFonts w:ascii="Times New Roman" w:hAnsi="Times New Roman" w:eastAsia="仿宋_GB2312" w:cs="Times New Roman"/>
          <w:b/>
          <w:color w:val="auto"/>
          <w:highlight w:val="none"/>
        </w:rPr>
        <w:instrText xml:space="preserve">ADDIN _cp_ \* MERGEFORMAT</w:instrText>
      </w:r>
      <w:r>
        <w:rPr>
          <w:rFonts w:ascii="Times New Roman" w:hAnsi="Times New Roman" w:eastAsia="仿宋_GB2312" w:cs="Times New Roman"/>
          <w:b/>
          <w:color w:val="auto"/>
          <w:highlight w:val="none"/>
        </w:rPr>
        <w:fldChar w:fldCharType="separate"/>
      </w:r>
      <w:r>
        <w:rPr>
          <w:rFonts w:ascii="Times New Roman" w:hAnsi="Times New Roman" w:eastAsia="仿宋_GB2312" w:cs="Times New Roman"/>
          <w:b/>
          <w:color w:val="auto"/>
          <w:highlight w:val="none"/>
        </w:rPr>
        <w:t>表5.3</w:t>
      </w:r>
      <w:r>
        <w:rPr>
          <w:rFonts w:ascii="Times New Roman" w:hAnsi="Times New Roman" w:eastAsia="仿宋_GB2312" w:cs="Times New Roman"/>
          <w:b/>
          <w:color w:val="auto"/>
          <w:highlight w:val="none"/>
        </w:rPr>
        <w:fldChar w:fldCharType="end"/>
      </w:r>
      <w:r>
        <w:rPr>
          <w:rFonts w:ascii="Times New Roman" w:hAnsi="Times New Roman" w:eastAsia="仿宋_GB2312" w:cs="Times New Roman"/>
          <w:b/>
          <w:color w:val="auto"/>
          <w:highlight w:val="none"/>
        </w:rPr>
        <w:t>-5水土保持措施工程量汇总表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98"/>
        <w:gridCol w:w="1198"/>
        <w:gridCol w:w="1644"/>
        <w:gridCol w:w="1198"/>
        <w:gridCol w:w="1198"/>
        <w:gridCol w:w="1198"/>
        <w:gridCol w:w="11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防治分区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措施类型</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措施名称</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工程量指标</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单位</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井场及附属工程区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表土剥离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剥离数量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w:t>
            </w: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0.45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表土回覆</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覆土数量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w:t>
            </w: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0.44</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场内</w:t>
            </w:r>
            <w:r>
              <w:rPr>
                <w:rFonts w:ascii="Times New Roman" w:hAnsi="Times New Roman" w:eastAsia="仿宋_GB2312" w:cs="Times New Roman"/>
                <w:color w:val="auto"/>
                <w:kern w:val="0"/>
                <w:sz w:val="18"/>
                <w:szCs w:val="18"/>
                <w:highlight w:val="none"/>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285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场外</w:t>
            </w:r>
            <w:r>
              <w:rPr>
                <w:rFonts w:ascii="Times New Roman" w:hAnsi="Times New Roman" w:eastAsia="仿宋_GB2312" w:cs="Times New Roman"/>
                <w:color w:val="auto"/>
                <w:kern w:val="0"/>
                <w:sz w:val="18"/>
                <w:szCs w:val="18"/>
                <w:highlight w:val="none"/>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433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1.13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复耕</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1.13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植物措施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边坡绿化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900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临时土质排水沟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435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临时沉砂池</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个</w:t>
            </w:r>
          </w:p>
        </w:tc>
        <w:tc>
          <w:tcPr>
            <w:tcW w:w="678"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4</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彩条布苫盖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900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eastAsia="zh-CN"/>
              </w:rPr>
            </w:pPr>
            <w:r>
              <w:rPr>
                <w:rFonts w:ascii="Times New Roman" w:hAnsi="Times New Roman" w:eastAsia="仿宋_GB2312" w:cs="Times New Roman"/>
                <w:color w:val="auto"/>
                <w:kern w:val="0"/>
                <w:sz w:val="18"/>
                <w:szCs w:val="18"/>
                <w:highlight w:val="none"/>
              </w:rPr>
              <w:t>施工</w:t>
            </w:r>
            <w:r>
              <w:rPr>
                <w:rFonts w:hint="eastAsia" w:ascii="Times New Roman" w:hAnsi="Times New Roman" w:eastAsia="仿宋_GB2312" w:cs="Times New Roman"/>
                <w:color w:val="auto"/>
                <w:kern w:val="0"/>
                <w:sz w:val="18"/>
                <w:szCs w:val="18"/>
                <w:highlight w:val="none"/>
                <w:lang w:eastAsia="zh-CN"/>
              </w:rPr>
              <w:t>临时生活区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0.23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复耕</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0.16</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lang w:val="en-US" w:eastAsia="zh-CN"/>
              </w:rPr>
              <w:t>m</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135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土工布铺垫</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1130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临时沉砂池</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个</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表土堆</w:t>
            </w:r>
          </w:p>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放场区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0.10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复耕</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hint="eastAsia" w:ascii="Times New Roman" w:hAnsi="Times New Roman" w:eastAsia="宋体" w:cs="Times New Roman"/>
                <w:color w:val="auto"/>
                <w:kern w:val="0"/>
                <w:sz w:val="18"/>
                <w:szCs w:val="18"/>
                <w:highlight w:val="none"/>
                <w:lang w:eastAsia="zh-CN"/>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0.10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播撒草籽</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1490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彩条布苫盖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1490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填土编织袋拦挡</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体积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562.5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填土编织袋</w:t>
            </w:r>
            <w:r>
              <w:rPr>
                <w:rFonts w:hint="eastAsia" w:ascii="Times New Roman" w:hAnsi="Times New Roman" w:eastAsia="仿宋_GB2312" w:cs="Times New Roman"/>
                <w:color w:val="auto"/>
                <w:kern w:val="0"/>
                <w:sz w:val="18"/>
                <w:szCs w:val="18"/>
                <w:highlight w:val="none"/>
                <w:lang w:val="en-US" w:eastAsia="zh-CN"/>
              </w:rPr>
              <w:t>拆除</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体积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562.5</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道路工程区</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表土剥离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万m</w:t>
            </w:r>
            <w:r>
              <w:rPr>
                <w:rFonts w:ascii="Times New Roman" w:hAnsi="Times New Roman" w:eastAsia="仿宋_GB2312" w:cs="Times New Roman"/>
                <w:color w:val="auto"/>
                <w:kern w:val="0"/>
                <w:sz w:val="18"/>
                <w:szCs w:val="18"/>
                <w:highlight w:val="none"/>
                <w:vertAlign w:val="superscript"/>
              </w:rPr>
              <w:t>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0.09</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表土</w:t>
            </w:r>
            <w:r>
              <w:rPr>
                <w:rFonts w:hint="eastAsia" w:ascii="Times New Roman" w:hAnsi="Times New Roman" w:eastAsia="仿宋_GB2312" w:cs="Times New Roman"/>
                <w:color w:val="auto"/>
                <w:kern w:val="0"/>
                <w:sz w:val="18"/>
                <w:szCs w:val="18"/>
                <w:highlight w:val="none"/>
                <w:lang w:val="en-US" w:eastAsia="zh-CN"/>
              </w:rPr>
              <w:t>回覆</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万m</w:t>
            </w:r>
            <w:r>
              <w:rPr>
                <w:rFonts w:ascii="Times New Roman" w:hAnsi="Times New Roman" w:eastAsia="仿宋_GB2312" w:cs="Times New Roman"/>
                <w:color w:val="auto"/>
                <w:kern w:val="0"/>
                <w:sz w:val="18"/>
                <w:szCs w:val="18"/>
                <w:highlight w:val="none"/>
                <w:vertAlign w:val="superscript"/>
              </w:rPr>
              <w:t>3</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0.10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土地整治</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eastAsia="zh-CN"/>
              </w:rPr>
              <w:t>hm</w:t>
            </w:r>
            <w:r>
              <w:rPr>
                <w:rFonts w:hint="eastAsia" w:ascii="Times New Roman" w:hAnsi="Times New Roman" w:eastAsia="宋体" w:cs="Times New Roman"/>
                <w:color w:val="auto"/>
                <w:kern w:val="0"/>
                <w:sz w:val="18"/>
                <w:szCs w:val="18"/>
                <w:highlight w:val="none"/>
                <w:vertAlign w:val="superscript"/>
                <w:lang w:eastAsia="zh-CN"/>
              </w:rPr>
              <w:t>2</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0.30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排水沟</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678" w:type="pct"/>
            <w:vAlign w:val="center"/>
          </w:tcPr>
          <w:p>
            <w:pPr>
              <w:adjustRightInd w:val="0"/>
              <w:snapToGrid w:val="0"/>
              <w:jc w:val="center"/>
              <w:rPr>
                <w:rFonts w:hint="default" w:ascii="Times New Roman" w:hAnsi="Times New Roman" w:eastAsia="仿宋_GB2312" w:cs="Times New Roman"/>
                <w:color w:val="auto"/>
                <w:kern w:val="0"/>
                <w:sz w:val="18"/>
                <w:szCs w:val="18"/>
                <w:highlight w:val="none"/>
                <w:lang w:val="en-US"/>
              </w:rPr>
            </w:pPr>
            <w:r>
              <w:rPr>
                <w:rFonts w:hint="eastAsia" w:ascii="Times New Roman" w:hAnsi="Times New Roman" w:eastAsia="仿宋_GB2312" w:cs="Times New Roman"/>
                <w:color w:val="auto"/>
                <w:kern w:val="0"/>
                <w:sz w:val="18"/>
                <w:szCs w:val="18"/>
                <w:highlight w:val="none"/>
                <w:lang w:val="en-US" w:eastAsia="zh-CN"/>
              </w:rPr>
              <w:t>208</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主体已有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临时沉砂池</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个</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2</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930"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彩条布苫盖</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678" w:type="pct"/>
            <w:vAlign w:val="center"/>
          </w:tcPr>
          <w:p>
            <w:pPr>
              <w:adjustRightInd w:val="0"/>
              <w:snapToGrid w:val="0"/>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678"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400</w:t>
            </w:r>
          </w:p>
        </w:tc>
        <w:tc>
          <w:tcPr>
            <w:tcW w:w="678" w:type="pct"/>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方案新增</w:t>
            </w:r>
          </w:p>
        </w:tc>
      </w:tr>
    </w:tbl>
    <w:p>
      <w:pPr>
        <w:widowControl w:val="0"/>
        <w:adjustRightInd w:val="0"/>
        <w:snapToGrid w:val="0"/>
        <w:spacing w:before="120" w:beforeLines="50" w:after="120" w:afterLines="50" w:line="360" w:lineRule="auto"/>
        <w:outlineLvl w:val="1"/>
        <w:rPr>
          <w:rFonts w:ascii="Times New Roman" w:hAnsi="Times New Roman" w:eastAsia="仿宋_GB2312" w:cs="Times New Roman"/>
          <w:b/>
          <w:color w:val="auto"/>
          <w:sz w:val="30"/>
          <w:szCs w:val="28"/>
          <w:highlight w:val="none"/>
        </w:rPr>
      </w:pPr>
      <w:r>
        <w:rPr>
          <w:rFonts w:ascii="Times New Roman" w:hAnsi="Times New Roman" w:eastAsia="仿宋_GB2312" w:cs="Times New Roman"/>
          <w:b/>
          <w:color w:val="auto"/>
          <w:sz w:val="30"/>
          <w:szCs w:val="28"/>
          <w:highlight w:val="none"/>
        </w:rPr>
        <w:fldChar w:fldCharType="begin">
          <w:fldData xml:space="preserve">XwBjAHAAXwB4AFgAaABWAHAAeAB1ADUANgAyAGIAcABnAFQAcgBTAGgAbgBTAFMAcgBrAEkAaQB5
AFcASgBXAEYAeQBhAEsAUABLAEoANwBLAGwAYQBaACsARQBpAFgAagBMAFEAMgB0AEwAcAA4AG0A
UQA9AD0A
</w:fldData>
        </w:fldChar>
      </w:r>
      <w:r>
        <w:rPr>
          <w:rFonts w:ascii="Times New Roman" w:hAnsi="Times New Roman" w:eastAsia="仿宋_GB2312" w:cs="Times New Roman"/>
          <w:b/>
          <w:color w:val="auto"/>
          <w:sz w:val="30"/>
          <w:szCs w:val="28"/>
          <w:highlight w:val="none"/>
        </w:rPr>
        <w:instrText xml:space="preserve">ADDIN _cp_ \* MERGEFORMAT</w:instrText>
      </w:r>
      <w:r>
        <w:rPr>
          <w:rFonts w:ascii="Times New Roman" w:hAnsi="Times New Roman" w:eastAsia="仿宋_GB2312" w:cs="Times New Roman"/>
          <w:b/>
          <w:color w:val="auto"/>
          <w:sz w:val="30"/>
          <w:szCs w:val="28"/>
          <w:highlight w:val="none"/>
        </w:rPr>
        <w:fldChar w:fldCharType="separate"/>
      </w:r>
      <w:bookmarkStart w:id="246" w:name="_Toc74588699"/>
      <w:bookmarkStart w:id="247" w:name="_Toc74588750"/>
      <w:r>
        <w:rPr>
          <w:rFonts w:ascii="Times New Roman" w:hAnsi="Times New Roman" w:eastAsia="仿宋_GB2312" w:cs="Times New Roman"/>
          <w:b/>
          <w:color w:val="auto"/>
          <w:sz w:val="30"/>
          <w:szCs w:val="28"/>
          <w:highlight w:val="none"/>
        </w:rPr>
        <w:t>5.4</w:t>
      </w:r>
      <w:r>
        <w:rPr>
          <w:rFonts w:ascii="Times New Roman" w:hAnsi="Times New Roman" w:eastAsia="仿宋_GB2312" w:cs="Times New Roman"/>
          <w:b/>
          <w:color w:val="auto"/>
          <w:sz w:val="30"/>
          <w:szCs w:val="28"/>
          <w:highlight w:val="none"/>
        </w:rPr>
        <w:fldChar w:fldCharType="end"/>
      </w:r>
      <w:r>
        <w:rPr>
          <w:rFonts w:ascii="Times New Roman" w:hAnsi="Times New Roman" w:eastAsia="仿宋_GB2312" w:cs="Times New Roman"/>
          <w:b/>
          <w:color w:val="auto"/>
          <w:sz w:val="30"/>
          <w:szCs w:val="28"/>
          <w:highlight w:val="none"/>
        </w:rPr>
        <w:t>施工要求</w:t>
      </w:r>
      <w:bookmarkEnd w:id="246"/>
      <w:bookmarkEnd w:id="247"/>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XwBjAHAAXwBXAG8AZgBYAE4AKwAvADIANgAzAEMAeQA2AGUAQwBHAGwAegBCACsAZQBtAGMAMwAr
AFMAagArAGQALwBiAFoAMwBnAFAAUQB5AGcAWgBRAEgAbwBMAEMAdgA1AGgAVABXADYAcgBnAFoA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5.4.1</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施工方法</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水土保持工程措施和植物措施施工方法采用常规施工方法，交通不便和施工场地较狭窄区域以人工作业为主，其他施工作业时尽可能选择机械作业并辅以人工。</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1、土地整治工程</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本项目土地整治工程主要是对临时占地施工完成后，需要回填表土并恢复原地貌土地类型，而进行的地貌平整、表层土翻松、等一系列小型整治工程措施。</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在实施以上工程措施的同时，结合土地使用的立地条件及项目区生产建设需要，尽量采取深耕深松、增施有机肥等土壤改良措施，对防治责任范围内的耕作用地及林业用地进行改造整治，恢复原土地类型的生产力。</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2、土石方开挖及回填</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石方开挖采用手风钻浅孔，小范围爆破，人工开挖，开挖弃渣综合利用，土夹石开挖采用人工或机械进行。</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3、林草措施布设</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植草：草籽撒播首先进行整地，耕翻土层20cm左右，清除土层中的碎石等杂物，以形成一个疏松、透气、透水等适宜草种生长的苗床。种子处理去杂、精选，保证种子质量，播种前将精选的草种浸泡24小时以利于出芽，宜在春末夏初或夏季播种，适当施有机肥或N、P、K复合肥，及时浇水、施肥。</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4、临时措施实施</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（1）土袋挡墙：主要用于临时堆存表土的拦挡，具体做法为：利用挖除的土方装入编织袋中，扎紧袋口，将沙袋码放在规划表土堆放场地周围，上下交错码放。</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（2）防雨布覆盖：将防雨布铺在堆土（或堆料）表面，并用砖石压护。</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（3）临时土质排水沟：按照设计尺寸，人工开挖排水沟，开挖土方用于场地平整，然后夯实土质周边。</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（4）临时土质沉沙池：按照设计尺寸，人工开挖沉沙池，开挖土方用于场地平整，然后夯实土质周边。</w:t>
      </w:r>
    </w:p>
    <w:p>
      <w:pPr>
        <w:widowControl w:val="0"/>
        <w:adjustRightInd w:val="0"/>
        <w:snapToGrid w:val="0"/>
        <w:spacing w:line="360" w:lineRule="auto"/>
        <w:outlineLvl w:val="2"/>
        <w:rPr>
          <w:rFonts w:ascii="Times New Roman" w:hAnsi="Times New Roman" w:eastAsia="仿宋_GB2312" w:cs="Times New Roman"/>
          <w:b/>
          <w:color w:val="auto"/>
          <w:sz w:val="28"/>
          <w:szCs w:val="24"/>
          <w:highlight w:val="none"/>
        </w:rPr>
      </w:pPr>
      <w:r>
        <w:rPr>
          <w:rFonts w:ascii="Times New Roman" w:hAnsi="Times New Roman" w:eastAsia="仿宋_GB2312" w:cs="Times New Roman"/>
          <w:b/>
          <w:color w:val="auto"/>
          <w:sz w:val="28"/>
          <w:szCs w:val="24"/>
          <w:highlight w:val="none"/>
        </w:rPr>
        <w:fldChar w:fldCharType="begin">
          <w:fldData xml:space="preserve">XwBjAHAAXwBXAG8AZgBYAE4AKwAvADIANgAzAEMAeQA2AGUAQwBHAGwAegBCACsAZQBtAGMAMwAr
AFMAagArAGQALwBiAFoAMwBnAFAAUQB5AGcAWgBRAEgAbwBMAEMAdgA1AGgAVABXADYAcgBnAFoA
UQA9AD0A
</w:fldData>
        </w:fldChar>
      </w:r>
      <w:r>
        <w:rPr>
          <w:rFonts w:ascii="Times New Roman" w:hAnsi="Times New Roman" w:eastAsia="仿宋_GB2312" w:cs="Times New Roman"/>
          <w:b/>
          <w:color w:val="auto"/>
          <w:sz w:val="28"/>
          <w:szCs w:val="24"/>
          <w:highlight w:val="none"/>
        </w:rPr>
        <w:instrText xml:space="preserve">ADDIN _cp_ \* MERGEFORMAT</w:instrText>
      </w:r>
      <w:r>
        <w:rPr>
          <w:rFonts w:ascii="Times New Roman" w:hAnsi="Times New Roman" w:eastAsia="仿宋_GB2312" w:cs="Times New Roman"/>
          <w:b/>
          <w:color w:val="auto"/>
          <w:sz w:val="28"/>
          <w:szCs w:val="24"/>
          <w:highlight w:val="none"/>
        </w:rPr>
        <w:fldChar w:fldCharType="separate"/>
      </w:r>
      <w:r>
        <w:rPr>
          <w:rFonts w:ascii="Times New Roman" w:hAnsi="Times New Roman" w:eastAsia="仿宋_GB2312" w:cs="Times New Roman"/>
          <w:b/>
          <w:color w:val="auto"/>
          <w:sz w:val="28"/>
          <w:szCs w:val="24"/>
          <w:highlight w:val="none"/>
        </w:rPr>
        <w:t>5.4.2</w:t>
      </w:r>
      <w:r>
        <w:rPr>
          <w:rFonts w:ascii="Times New Roman" w:hAnsi="Times New Roman" w:eastAsia="仿宋_GB2312" w:cs="Times New Roman"/>
          <w:b/>
          <w:color w:val="auto"/>
          <w:sz w:val="28"/>
          <w:szCs w:val="24"/>
          <w:highlight w:val="none"/>
        </w:rPr>
        <w:fldChar w:fldCharType="end"/>
      </w:r>
      <w:r>
        <w:rPr>
          <w:rFonts w:ascii="Times New Roman" w:hAnsi="Times New Roman" w:eastAsia="仿宋_GB2312" w:cs="Times New Roman"/>
          <w:b/>
          <w:color w:val="auto"/>
          <w:sz w:val="28"/>
          <w:szCs w:val="24"/>
          <w:highlight w:val="none"/>
        </w:rPr>
        <w:t>施工进度安排</w:t>
      </w:r>
    </w:p>
    <w:p>
      <w:pPr>
        <w:widowControl w:val="0"/>
        <w:adjustRightInd w:val="0"/>
        <w:snapToGrid w:val="0"/>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水土保持措施实施进度详见下表。</w:t>
      </w:r>
    </w:p>
    <w:p>
      <w:pPr>
        <w:jc w:val="center"/>
        <w:rPr>
          <w:rFonts w:ascii="Times New Roman" w:hAnsi="Times New Roman" w:eastAsia="仿宋_GB2312" w:cs="Times New Roman"/>
          <w:b/>
          <w:color w:val="auto"/>
          <w:szCs w:val="21"/>
          <w:highlight w:val="none"/>
        </w:rPr>
      </w:pPr>
    </w:p>
    <w:p>
      <w:pPr>
        <w:jc w:val="center"/>
        <w:rPr>
          <w:rFonts w:ascii="Times New Roman" w:hAnsi="Times New Roman" w:eastAsia="仿宋_GB2312" w:cs="Times New Roman"/>
          <w:b/>
          <w:color w:val="auto"/>
          <w:szCs w:val="21"/>
          <w:highlight w:val="none"/>
        </w:rPr>
      </w:pPr>
      <w:r>
        <w:rPr>
          <w:rFonts w:ascii="Times New Roman" w:hAnsi="Times New Roman" w:eastAsia="仿宋_GB2312" w:cs="Times New Roman"/>
          <w:b/>
          <w:color w:val="auto"/>
          <w:szCs w:val="21"/>
          <w:highlight w:val="none"/>
        </w:rPr>
        <w:fldChar w:fldCharType="begin">
          <w:fldData xml:space="preserve">XwBjAHAAXwBEAFAAdQBoAEgAZgBhAFoAYgAwAG4ATQBwAHQAWgAxAFcATwBSAFQAZQB4ADcATQB4
AEEAWABMADYAOABlAHkAeQB4ADAARABnAEIARQB5AGkAWQBVAHIAZAAxAFMAdAA4AG4AeABOAG4A
ZwA9AD0A
</w:fldData>
        </w:fldChar>
      </w:r>
      <w:r>
        <w:rPr>
          <w:rFonts w:ascii="Times New Roman" w:hAnsi="Times New Roman" w:eastAsia="仿宋_GB2312" w:cs="Times New Roman"/>
          <w:b/>
          <w:color w:val="auto"/>
          <w:szCs w:val="21"/>
          <w:highlight w:val="none"/>
        </w:rPr>
        <w:instrText xml:space="preserve">ADDIN _cp_ \* MERGEFORMAT</w:instrText>
      </w:r>
      <w:r>
        <w:rPr>
          <w:rFonts w:ascii="Times New Roman" w:hAnsi="Times New Roman" w:eastAsia="仿宋_GB2312" w:cs="Times New Roman"/>
          <w:b/>
          <w:color w:val="auto"/>
          <w:szCs w:val="21"/>
          <w:highlight w:val="none"/>
        </w:rPr>
        <w:fldChar w:fldCharType="separate"/>
      </w:r>
      <w:r>
        <w:rPr>
          <w:rFonts w:ascii="Times New Roman" w:hAnsi="Times New Roman" w:eastAsia="仿宋_GB2312" w:cs="Times New Roman"/>
          <w:b/>
          <w:color w:val="auto"/>
          <w:szCs w:val="21"/>
          <w:highlight w:val="none"/>
        </w:rPr>
        <w:t>表5.4-1</w:t>
      </w:r>
      <w:r>
        <w:rPr>
          <w:rFonts w:ascii="Times New Roman" w:hAnsi="Times New Roman" w:eastAsia="仿宋_GB2312" w:cs="Times New Roman"/>
          <w:b/>
          <w:color w:val="auto"/>
          <w:szCs w:val="21"/>
          <w:highlight w:val="none"/>
        </w:rPr>
        <w:fldChar w:fldCharType="end"/>
      </w:r>
      <w:r>
        <w:rPr>
          <w:rFonts w:ascii="Times New Roman" w:hAnsi="Times New Roman" w:eastAsia="仿宋_GB2312" w:cs="Times New Roman"/>
          <w:b/>
          <w:color w:val="auto"/>
          <w:szCs w:val="21"/>
          <w:highlight w:val="none"/>
        </w:rPr>
        <w:t>水土保持措施实施进度表</w:t>
      </w:r>
    </w:p>
    <w:tbl>
      <w:tblPr>
        <w:tblStyle w:val="39"/>
        <w:tblW w:w="8787"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85" w:type="dxa"/>
          <w:bottom w:w="0" w:type="dxa"/>
          <w:right w:w="85" w:type="dxa"/>
        </w:tblCellMar>
      </w:tblPr>
      <w:tblGrid>
        <w:gridCol w:w="990"/>
        <w:gridCol w:w="997"/>
        <w:gridCol w:w="1172"/>
        <w:gridCol w:w="1172"/>
        <w:gridCol w:w="1114"/>
        <w:gridCol w:w="1114"/>
        <w:gridCol w:w="1114"/>
        <w:gridCol w:w="1114"/>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990" w:type="dxa"/>
            <w:vMerge w:val="restart"/>
            <w:shd w:val="clear" w:color="auto" w:fill="auto"/>
            <w:vAlign w:val="center"/>
          </w:tcPr>
          <w:p>
            <w:pPr>
              <w:jc w:val="center"/>
              <w:rPr>
                <w:rFonts w:ascii="Times New Roman" w:hAnsi="Times New Roman" w:eastAsia="仿宋_GB2312" w:cs="Times New Roman"/>
                <w:b/>
                <w:color w:val="auto"/>
                <w:sz w:val="18"/>
                <w:szCs w:val="18"/>
                <w:highlight w:val="none"/>
              </w:rPr>
            </w:pPr>
            <w:r>
              <w:rPr>
                <w:rFonts w:ascii="Times New Roman" w:hAnsi="Times New Roman" w:eastAsia="仿宋_GB2312" w:cs="Times New Roman"/>
                <w:b/>
                <w:color w:val="auto"/>
                <w:sz w:val="18"/>
                <w:szCs w:val="18"/>
                <w:highlight w:val="none"/>
              </w:rPr>
              <w:t>项目</w:t>
            </w:r>
          </w:p>
        </w:tc>
        <w:tc>
          <w:tcPr>
            <w:tcW w:w="997" w:type="dxa"/>
            <w:vMerge w:val="restart"/>
            <w:shd w:val="clear" w:color="auto" w:fill="auto"/>
            <w:vAlign w:val="center"/>
          </w:tcPr>
          <w:p>
            <w:pPr>
              <w:jc w:val="center"/>
              <w:rPr>
                <w:rFonts w:ascii="Times New Roman" w:hAnsi="Times New Roman" w:eastAsia="仿宋_GB2312" w:cs="Times New Roman"/>
                <w:b/>
                <w:color w:val="auto"/>
                <w:sz w:val="18"/>
                <w:szCs w:val="18"/>
                <w:highlight w:val="none"/>
              </w:rPr>
            </w:pPr>
            <w:r>
              <w:rPr>
                <w:rFonts w:ascii="Times New Roman" w:hAnsi="Times New Roman" w:eastAsia="仿宋_GB2312" w:cs="Times New Roman"/>
                <w:b/>
                <w:color w:val="auto"/>
                <w:sz w:val="18"/>
                <w:szCs w:val="18"/>
                <w:highlight w:val="none"/>
              </w:rPr>
              <w:t>措施类型</w:t>
            </w:r>
          </w:p>
        </w:tc>
        <w:tc>
          <w:tcPr>
            <w:tcW w:w="4572" w:type="dxa"/>
            <w:gridSpan w:val="4"/>
            <w:shd w:val="clear" w:color="auto" w:fill="auto"/>
            <w:vAlign w:val="center"/>
          </w:tcPr>
          <w:p>
            <w:pPr>
              <w:jc w:val="center"/>
              <w:rPr>
                <w:rFonts w:ascii="Times New Roman" w:hAnsi="Times New Roman" w:eastAsia="仿宋_GB2312" w:cs="Times New Roman"/>
                <w:b/>
                <w:color w:val="auto"/>
                <w:sz w:val="18"/>
                <w:szCs w:val="18"/>
                <w:highlight w:val="none"/>
              </w:rPr>
            </w:pPr>
            <w:r>
              <w:rPr>
                <w:rFonts w:ascii="Times New Roman" w:hAnsi="Times New Roman" w:eastAsia="仿宋_GB2312" w:cs="Times New Roman"/>
                <w:b/>
                <w:color w:val="auto"/>
                <w:sz w:val="18"/>
                <w:szCs w:val="18"/>
                <w:highlight w:val="none"/>
              </w:rPr>
              <w:t>2022年</w:t>
            </w:r>
          </w:p>
        </w:tc>
        <w:tc>
          <w:tcPr>
            <w:tcW w:w="2228" w:type="dxa"/>
            <w:gridSpan w:val="2"/>
            <w:shd w:val="clear" w:color="auto" w:fill="auto"/>
            <w:vAlign w:val="center"/>
          </w:tcPr>
          <w:p>
            <w:pPr>
              <w:jc w:val="center"/>
              <w:rPr>
                <w:rFonts w:hint="default" w:ascii="Times New Roman" w:hAnsi="Times New Roman" w:eastAsia="仿宋_GB2312" w:cs="Times New Roman"/>
                <w:b/>
                <w:color w:val="auto"/>
                <w:sz w:val="18"/>
                <w:szCs w:val="18"/>
                <w:highlight w:val="none"/>
                <w:lang w:val="en-US" w:eastAsia="zh-CN"/>
              </w:rPr>
            </w:pPr>
            <w:r>
              <w:rPr>
                <w:rFonts w:hint="eastAsia" w:ascii="Times New Roman" w:hAnsi="Times New Roman" w:eastAsia="仿宋_GB2312" w:cs="Times New Roman"/>
                <w:b/>
                <w:color w:val="auto"/>
                <w:sz w:val="18"/>
                <w:szCs w:val="18"/>
                <w:highlight w:val="none"/>
                <w:lang w:val="en-US" w:eastAsia="zh-CN"/>
              </w:rPr>
              <w:t>2023年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tblHeader/>
          <w:jc w:val="center"/>
        </w:trPr>
        <w:tc>
          <w:tcPr>
            <w:tcW w:w="990" w:type="dxa"/>
            <w:vMerge w:val="continue"/>
            <w:shd w:val="clear" w:color="auto" w:fill="auto"/>
            <w:vAlign w:val="center"/>
          </w:tcPr>
          <w:p>
            <w:pPr>
              <w:jc w:val="center"/>
              <w:rPr>
                <w:rFonts w:ascii="Times New Roman" w:hAnsi="Times New Roman" w:eastAsia="仿宋_GB2312" w:cs="Times New Roman"/>
                <w:b/>
                <w:color w:val="auto"/>
                <w:sz w:val="18"/>
                <w:szCs w:val="18"/>
                <w:highlight w:val="none"/>
              </w:rPr>
            </w:pPr>
          </w:p>
        </w:tc>
        <w:tc>
          <w:tcPr>
            <w:tcW w:w="997" w:type="dxa"/>
            <w:vMerge w:val="continue"/>
            <w:shd w:val="clear" w:color="auto" w:fill="auto"/>
            <w:vAlign w:val="center"/>
          </w:tcPr>
          <w:p>
            <w:pPr>
              <w:jc w:val="center"/>
              <w:rPr>
                <w:rFonts w:ascii="Times New Roman" w:hAnsi="Times New Roman" w:eastAsia="仿宋_GB2312" w:cs="Times New Roman"/>
                <w:b/>
                <w:color w:val="auto"/>
                <w:sz w:val="18"/>
                <w:szCs w:val="18"/>
                <w:highlight w:val="none"/>
              </w:rPr>
            </w:pPr>
          </w:p>
        </w:tc>
        <w:tc>
          <w:tcPr>
            <w:tcW w:w="1172" w:type="dxa"/>
            <w:shd w:val="clear" w:color="auto" w:fill="auto"/>
            <w:vAlign w:val="center"/>
          </w:tcPr>
          <w:p>
            <w:pPr>
              <w:jc w:val="center"/>
              <w:rPr>
                <w:rFonts w:ascii="Times New Roman" w:hAnsi="Times New Roman" w:eastAsia="仿宋_GB2312" w:cs="Times New Roman"/>
                <w:b/>
                <w:color w:val="auto"/>
                <w:sz w:val="18"/>
                <w:szCs w:val="18"/>
                <w:highlight w:val="none"/>
              </w:rPr>
            </w:pPr>
            <w:r>
              <w:rPr>
                <w:rFonts w:hint="eastAsia" w:ascii="Times New Roman" w:hAnsi="Times New Roman" w:eastAsia="仿宋_GB2312" w:cs="Times New Roman"/>
                <w:b/>
                <w:color w:val="auto"/>
                <w:sz w:val="18"/>
                <w:szCs w:val="18"/>
                <w:highlight w:val="none"/>
                <w:lang w:val="en-US" w:eastAsia="zh-CN"/>
              </w:rPr>
              <w:t>9</w:t>
            </w:r>
            <w:r>
              <w:rPr>
                <w:rFonts w:ascii="Times New Roman" w:hAnsi="Times New Roman" w:eastAsia="仿宋_GB2312" w:cs="Times New Roman"/>
                <w:b/>
                <w:color w:val="auto"/>
                <w:sz w:val="18"/>
                <w:szCs w:val="18"/>
                <w:highlight w:val="none"/>
              </w:rPr>
              <w:t>月</w:t>
            </w:r>
          </w:p>
        </w:tc>
        <w:tc>
          <w:tcPr>
            <w:tcW w:w="1172" w:type="dxa"/>
            <w:shd w:val="clear" w:color="auto" w:fill="auto"/>
            <w:vAlign w:val="center"/>
          </w:tcPr>
          <w:p>
            <w:pPr>
              <w:jc w:val="center"/>
              <w:rPr>
                <w:rFonts w:ascii="Times New Roman" w:hAnsi="Times New Roman" w:eastAsia="仿宋_GB2312" w:cs="Times New Roman"/>
                <w:b/>
                <w:color w:val="auto"/>
                <w:sz w:val="18"/>
                <w:szCs w:val="18"/>
                <w:highlight w:val="none"/>
              </w:rPr>
            </w:pPr>
            <w:r>
              <w:rPr>
                <w:rFonts w:hint="eastAsia" w:ascii="Times New Roman" w:hAnsi="Times New Roman" w:eastAsia="仿宋_GB2312" w:cs="Times New Roman"/>
                <w:b/>
                <w:color w:val="auto"/>
                <w:sz w:val="18"/>
                <w:szCs w:val="18"/>
                <w:highlight w:val="none"/>
                <w:lang w:val="en-US" w:eastAsia="zh-CN"/>
              </w:rPr>
              <w:t>10</w:t>
            </w:r>
            <w:r>
              <w:rPr>
                <w:rFonts w:ascii="Times New Roman" w:hAnsi="Times New Roman" w:eastAsia="仿宋_GB2312" w:cs="Times New Roman"/>
                <w:b/>
                <w:color w:val="auto"/>
                <w:sz w:val="18"/>
                <w:szCs w:val="18"/>
                <w:highlight w:val="none"/>
              </w:rPr>
              <w:t>月</w:t>
            </w:r>
          </w:p>
        </w:tc>
        <w:tc>
          <w:tcPr>
            <w:tcW w:w="1114" w:type="dxa"/>
            <w:shd w:val="clear" w:color="auto" w:fill="auto"/>
            <w:vAlign w:val="center"/>
          </w:tcPr>
          <w:p>
            <w:pPr>
              <w:jc w:val="center"/>
              <w:rPr>
                <w:rFonts w:ascii="Times New Roman" w:hAnsi="Times New Roman" w:eastAsia="仿宋_GB2312" w:cs="Times New Roman"/>
                <w:b/>
                <w:color w:val="auto"/>
                <w:sz w:val="18"/>
                <w:szCs w:val="18"/>
                <w:highlight w:val="none"/>
              </w:rPr>
            </w:pPr>
            <w:r>
              <w:rPr>
                <w:rFonts w:hint="eastAsia" w:ascii="Times New Roman" w:hAnsi="Times New Roman" w:eastAsia="仿宋_GB2312" w:cs="Times New Roman"/>
                <w:b/>
                <w:color w:val="auto"/>
                <w:sz w:val="18"/>
                <w:szCs w:val="18"/>
                <w:highlight w:val="none"/>
                <w:lang w:val="en-US" w:eastAsia="zh-CN"/>
              </w:rPr>
              <w:t>11</w:t>
            </w:r>
            <w:r>
              <w:rPr>
                <w:rFonts w:ascii="Times New Roman" w:hAnsi="Times New Roman" w:eastAsia="仿宋_GB2312" w:cs="Times New Roman"/>
                <w:b/>
                <w:color w:val="auto"/>
                <w:sz w:val="18"/>
                <w:szCs w:val="18"/>
                <w:highlight w:val="none"/>
              </w:rPr>
              <w:t>月</w:t>
            </w:r>
          </w:p>
        </w:tc>
        <w:tc>
          <w:tcPr>
            <w:tcW w:w="1114" w:type="dxa"/>
            <w:shd w:val="clear" w:color="auto" w:fill="auto"/>
            <w:vAlign w:val="center"/>
          </w:tcPr>
          <w:p>
            <w:pPr>
              <w:jc w:val="center"/>
              <w:rPr>
                <w:rFonts w:ascii="Times New Roman" w:hAnsi="Times New Roman" w:eastAsia="仿宋_GB2312" w:cs="Times New Roman"/>
                <w:b/>
                <w:color w:val="auto"/>
                <w:sz w:val="18"/>
                <w:szCs w:val="18"/>
                <w:highlight w:val="none"/>
              </w:rPr>
            </w:pPr>
            <w:r>
              <w:rPr>
                <w:rFonts w:hint="eastAsia" w:ascii="Times New Roman" w:hAnsi="Times New Roman" w:eastAsia="仿宋_GB2312" w:cs="Times New Roman"/>
                <w:b/>
                <w:color w:val="auto"/>
                <w:sz w:val="18"/>
                <w:szCs w:val="18"/>
                <w:highlight w:val="none"/>
                <w:lang w:val="en-US" w:eastAsia="zh-CN"/>
              </w:rPr>
              <w:t>12</w:t>
            </w:r>
            <w:r>
              <w:rPr>
                <w:rFonts w:ascii="Times New Roman" w:hAnsi="Times New Roman" w:eastAsia="仿宋_GB2312" w:cs="Times New Roman"/>
                <w:b/>
                <w:color w:val="auto"/>
                <w:sz w:val="18"/>
                <w:szCs w:val="18"/>
                <w:highlight w:val="none"/>
              </w:rPr>
              <w:t>月</w:t>
            </w:r>
          </w:p>
        </w:tc>
        <w:tc>
          <w:tcPr>
            <w:tcW w:w="1114" w:type="dxa"/>
            <w:vAlign w:val="center"/>
          </w:tcPr>
          <w:p>
            <w:pPr>
              <w:jc w:val="center"/>
              <w:rPr>
                <w:rFonts w:ascii="Times New Roman" w:hAnsi="Times New Roman" w:eastAsia="仿宋_GB2312" w:cs="Times New Roman"/>
                <w:b/>
                <w:color w:val="auto"/>
                <w:sz w:val="18"/>
                <w:szCs w:val="18"/>
                <w:highlight w:val="none"/>
              </w:rPr>
            </w:pPr>
            <w:r>
              <w:rPr>
                <w:rFonts w:ascii="Times New Roman" w:hAnsi="Times New Roman" w:eastAsia="仿宋_GB2312" w:cs="Times New Roman"/>
                <w:b/>
                <w:color w:val="auto"/>
                <w:sz w:val="18"/>
                <w:szCs w:val="18"/>
                <w:highlight w:val="none"/>
              </w:rPr>
              <w:t>1月</w:t>
            </w:r>
          </w:p>
        </w:tc>
        <w:tc>
          <w:tcPr>
            <w:tcW w:w="1114" w:type="dxa"/>
            <w:vAlign w:val="center"/>
          </w:tcPr>
          <w:p>
            <w:pPr>
              <w:jc w:val="center"/>
              <w:rPr>
                <w:rFonts w:ascii="Times New Roman" w:hAnsi="Times New Roman" w:eastAsia="仿宋_GB2312" w:cs="Times New Roman"/>
                <w:b/>
                <w:color w:val="auto"/>
                <w:sz w:val="18"/>
                <w:szCs w:val="18"/>
                <w:highlight w:val="none"/>
              </w:rPr>
            </w:pPr>
            <w:r>
              <w:rPr>
                <w:rFonts w:hint="eastAsia" w:ascii="Times New Roman" w:hAnsi="Times New Roman" w:eastAsia="仿宋_GB2312" w:cs="Times New Roman"/>
                <w:b/>
                <w:color w:val="auto"/>
                <w:sz w:val="18"/>
                <w:szCs w:val="18"/>
                <w:highlight w:val="none"/>
                <w:lang w:val="en-US" w:eastAsia="zh-CN"/>
              </w:rPr>
              <w:t>2</w:t>
            </w:r>
            <w:r>
              <w:rPr>
                <w:rFonts w:ascii="Times New Roman" w:hAnsi="Times New Roman" w:eastAsia="仿宋_GB2312" w:cs="Times New Roman"/>
                <w:b/>
                <w:color w:val="auto"/>
                <w:sz w:val="18"/>
                <w:szCs w:val="18"/>
                <w:highlight w:val="none"/>
              </w:rPr>
              <w:t>月</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1987" w:type="dxa"/>
            <w:gridSpan w:val="2"/>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主体工程</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22752" behindDoc="0" locked="0" layoutInCell="1" allowOverlap="1">
                      <wp:simplePos x="0" y="0"/>
                      <wp:positionH relativeFrom="column">
                        <wp:posOffset>-50800</wp:posOffset>
                      </wp:positionH>
                      <wp:positionV relativeFrom="paragraph">
                        <wp:posOffset>71755</wp:posOffset>
                      </wp:positionV>
                      <wp:extent cx="4171950" cy="0"/>
                      <wp:effectExtent l="0" t="13970" r="0" b="24130"/>
                      <wp:wrapNone/>
                      <wp:docPr id="97" name="直接箭头连接符 97"/>
                      <wp:cNvGraphicFramePr/>
                      <a:graphic xmlns:a="http://schemas.openxmlformats.org/drawingml/2006/main">
                        <a:graphicData uri="http://schemas.microsoft.com/office/word/2010/wordprocessingShape">
                          <wps:wsp>
                            <wps:cNvCnPr>
                              <a:cxnSpLocks noChangeShapeType="1"/>
                            </wps:cNvCnPr>
                            <wps:spPr bwMode="auto">
                              <a:xfrm>
                                <a:off x="0" y="0"/>
                                <a:ext cx="4171950" cy="0"/>
                              </a:xfrm>
                              <a:prstGeom prst="straightConnector1">
                                <a:avLst/>
                              </a:prstGeom>
                              <a:noFill/>
                              <a:ln w="28575">
                                <a:solidFill>
                                  <a:sysClr val="windowText" lastClr="000000"/>
                                </a:solidFill>
                                <a:prstDash val="solid"/>
                                <a:round/>
                              </a:ln>
                            </wps:spPr>
                            <wps:bodyPr/>
                          </wps:wsp>
                        </a:graphicData>
                      </a:graphic>
                    </wp:anchor>
                  </w:drawing>
                </mc:Choice>
                <mc:Fallback>
                  <w:pict>
                    <v:shape id="_x0000_s1026" o:spid="_x0000_s1026" o:spt="32" type="#_x0000_t32" style="position:absolute;left:0pt;margin-left:-4pt;margin-top:5.65pt;height:0pt;width:328.5pt;z-index:251722752;mso-width-relative:page;mso-height-relative:page;" filled="f" stroked="t" coordsize="21600,21600" o:gfxdata="UEsDBAoAAAAAAIdO4kAAAAAAAAAAAAAAAAAEAAAAZHJzL1BLAwQUAAAACACHTuJAQbCVbNYAAAAI&#10;AQAADwAAAGRycy9kb3ducmV2LnhtbE2PO0/DQBCEeyT+w2mR6JKzIYoS43MKJAoQzyRFyo1v/QDf&#10;nuO7vP49iyig3G9GszP54uQ6daAhtJ4NpOMEFHHpbcu1gfXqYTQDFSKyxc4zGThTgEVxeZFjZv2R&#10;P+iwjLWSEA4ZGmhi7DOtQ9mQwzD2PbFolR8cRjmHWtsBjxLuOn2TJFPtsGX50GBP9w2VX8u9M7Db&#10;PLqyen4PfvVyfsL1Z/U62b0Zc32VJnegIp3inxl+6kt1KKTT1u/ZBtUZGM1kShSe3oISfTqZC9j+&#10;Al3k+v+A4htQSwMEFAAAAAgAh07iQODFTgYOAgAA7gMAAA4AAABkcnMvZTJvRG9jLnhtbK1TwW4T&#10;MRC9I/EPlu9kk4iQdpVND4nKpUCkhg9wvN6shddjeZxs8hP8ABIn4EQ59c7XQPkMxt4klHLpgT1Y&#10;tsfvzZs3s5OLXWPYVnnUYAs+6PU5U1ZCqe264G+Xl8/OOMMgbCkMWFXwvUJ+MX36ZNK6XA2hBlMq&#10;z4jEYt66gtchuDzLUNaqEdgDpywFK/CNCHT066z0oiX2xmTDfv9F1oIvnQepEOl23gX5gdE/hhCq&#10;Sks1B7lplA0dq1dGBCoJa+2QT5PaqlIyvKkqVIGZglOlIa2UhParuGbTicjXXrhay4ME8RgJD2pq&#10;hLaU9EQ1F0Gwjdf/UDVaekCoQk9Ck3WFJEeoikH/gTfXtXAq1UJWozuZjv+PVr7eLjzTZcHPx5xZ&#10;0VDH7z7c/nz/+e7bzY9Pt7++f4z7r18Yxcms1mFOmJld+Fiu3NlrdwXyHTILs1rYtUqil3tHRIOI&#10;yP6CxAM6SrlqX0FJb8QmQHJuV/kmUpInbJcatD81SO0Ck3T5fDAenI+od/IYy0R+BDqP4aWChsVN&#10;wTF4odd1mIG1NAbgBymN2F5hiLJEfgTErBYutTFpGoxlbcGHZ6PxKCEQjC5jNL7DPc6MZ1tB80RD&#10;XUK7JHGcGYGBAqQ4falwen0fGtPNBdYdOIW68fOwsWUnydiDYdGjzu0VlPuFPxpJY5C0H0Y2ztn9&#10;c0L/+U2n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sJVs1gAAAAgBAAAPAAAAAAAAAAEAIAAA&#10;ACIAAABkcnMvZG93bnJldi54bWxQSwECFAAUAAAACACHTuJA4MVOBg4CAADuAwAADgAAAAAAAAAB&#10;ACAAAAAlAQAAZHJzL2Uyb0RvYy54bWxQSwUGAAAAAAYABgBZAQAApQUAAAAA&#10;">
                      <v:fill on="f" focussize="0,0"/>
                      <v:stroke weight="2.25pt" color="#000000" joinstyle="round"/>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restart"/>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井场及附属工程区</w:t>
            </w: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工程措施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20704" behindDoc="0" locked="0" layoutInCell="1" allowOverlap="1">
                      <wp:simplePos x="0" y="0"/>
                      <wp:positionH relativeFrom="column">
                        <wp:posOffset>671195</wp:posOffset>
                      </wp:positionH>
                      <wp:positionV relativeFrom="paragraph">
                        <wp:posOffset>61595</wp:posOffset>
                      </wp:positionV>
                      <wp:extent cx="2915285" cy="0"/>
                      <wp:effectExtent l="0" t="13970" r="18415" b="24130"/>
                      <wp:wrapNone/>
                      <wp:docPr id="98" name="直接箭头连接符 98"/>
                      <wp:cNvGraphicFramePr/>
                      <a:graphic xmlns:a="http://schemas.openxmlformats.org/drawingml/2006/main">
                        <a:graphicData uri="http://schemas.microsoft.com/office/word/2010/wordprocessingShape">
                          <wps:wsp>
                            <wps:cNvCnPr>
                              <a:cxnSpLocks noChangeShapeType="1"/>
                            </wps:cNvCnPr>
                            <wps:spPr bwMode="auto">
                              <a:xfrm>
                                <a:off x="0" y="0"/>
                                <a:ext cx="2915285"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52.85pt;margin-top:4.85pt;height:0pt;width:229.55pt;z-index:251720704;mso-width-relative:page;mso-height-relative:page;" filled="f" stroked="t" coordsize="21600,21600" o:gfxdata="UEsDBAoAAAAAAIdO4kAAAAAAAAAAAAAAAAAEAAAAZHJzL1BLAwQUAAAACACHTuJAOaQBYNUAAAAH&#10;AQAADwAAAGRycy9kb3ducmV2LnhtbE2PzU7DMBCE70i8g7VIXBC1i9IfQpweKtGq4oAofYBtvCQR&#10;8TqKnba8PQsXOK1GM5r9plhdfKdONMQ2sIXpxIAiroJrubZweH++X4KKCdlhF5gsfFGEVXl9VWDu&#10;wpnf6LRPtZISjjlaaFLqc61j1ZDHOAk9sXgfYfCYRA61dgOepdx3+sGYufbYsnxosKd1Q9XnfvQW&#10;dm67HetNX2WbNlv7O3x5bXcLa29vpuYJVKJL+gvDD76gQylMxzCyi6oTbWYLiVp4lCP+bJ7JlOOv&#10;1mWh//OX31BLAwQUAAAACACHTuJAufPkdQMCAADZAwAADgAAAGRycy9lMm9Eb2MueG1srVPBjtMw&#10;EL0j8Q+W7zRtpUI3arqHVuWywEq7fIDrOImF47E8btP+BD+AxAk4wZ72ztfA8hmMnbYsy2UP5GCN&#10;PTNv5r2ZzM53rWFb5VGDLfhoMORMWQmltnXB316vnk05wyBsKQxYVfC9Qn4+f/pk1rlcjaEBUyrP&#10;CMRi3rmCNyG4PMtQNqoVOACnLDkr8K0IdPV1VnrREXprsvFw+DzrwJfOg1SI9LrsnfyA6B8DCFWl&#10;pVqC3LTKhh7VKyMCUcJGO+Tz1G1VKRneVBWqwEzBiWlIJxUhex3PbD4Tee2Fa7Q8tCAe08IDTq3Q&#10;loqeoJYiCLbx+h+oVksPCFUYSGiznkhShFiMhg+0uWqEU4kLSY3uJDr+P1j5envpmS4LfkZzt6Kl&#10;id99uP35/vPdzbcfn25/ff8Y7a9fGPlJrM5hTjkLe+kjXbmzV+4C5DtkFhaNsLVKTV/vHQGNYkb2&#10;V0q8oKOS6+4VlBQjNgGScrvKtxGSNGG7NKD9aUBqF5ikx/HZaDKeTjiTR18m8mOi8xheKmhZNAqO&#10;wQtdN2EB1tIagB+lMmJ7gSG2JfJjQqxqYaWNSdtgLOuo1HTyYpIyEIwuozfGoa/XC+PZVtBCrVZD&#10;+hJJ8twPi9BLgU0fV5LVb5qHjS376sYetIly9MKuodxf+qNmNPHU5mE740rdv6fsP3/k/D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5pAFg1QAAAAcBAAAPAAAAAAAAAAEAIAAAACIAAABkcnMvZG93&#10;bnJldi54bWxQSwECFAAUAAAACACHTuJAufPkdQMCAADZAwAADgAAAAAAAAABACAAAAAkAQAAZHJz&#10;L2Uyb0RvYy54bWxQSwUGAAAAAAYABgBZAQAAmQUAAAAA&#10;">
                      <v:fill on="f" focussize="0,0"/>
                      <v:stroke weight="2.25pt" color="#FF0000" joinstyle="round" dashstyle="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植物措施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临时措施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21728" behindDoc="0" locked="0" layoutInCell="1" allowOverlap="1">
                      <wp:simplePos x="0" y="0"/>
                      <wp:positionH relativeFrom="column">
                        <wp:posOffset>412750</wp:posOffset>
                      </wp:positionH>
                      <wp:positionV relativeFrom="paragraph">
                        <wp:posOffset>70485</wp:posOffset>
                      </wp:positionV>
                      <wp:extent cx="3096260" cy="0"/>
                      <wp:effectExtent l="0" t="13970" r="8890" b="24130"/>
                      <wp:wrapNone/>
                      <wp:docPr id="100" name="直接箭头连接符 100"/>
                      <wp:cNvGraphicFramePr/>
                      <a:graphic xmlns:a="http://schemas.openxmlformats.org/drawingml/2006/main">
                        <a:graphicData uri="http://schemas.microsoft.com/office/word/2010/wordprocessingShape">
                          <wps:wsp>
                            <wps:cNvCnPr>
                              <a:cxnSpLocks noChangeShapeType="1"/>
                            </wps:cNvCnPr>
                            <wps:spPr bwMode="auto">
                              <a:xfrm>
                                <a:off x="0" y="0"/>
                                <a:ext cx="3096260" cy="0"/>
                              </a:xfrm>
                              <a:prstGeom prst="straightConnector1">
                                <a:avLst/>
                              </a:prstGeom>
                              <a:noFill/>
                              <a:ln w="28575">
                                <a:solidFill>
                                  <a:srgbClr val="0070C0"/>
                                </a:solidFill>
                                <a:prstDash val="lgDash"/>
                                <a:round/>
                              </a:ln>
                            </wps:spPr>
                            <wps:bodyPr/>
                          </wps:wsp>
                        </a:graphicData>
                      </a:graphic>
                    </wp:anchor>
                  </w:drawing>
                </mc:Choice>
                <mc:Fallback>
                  <w:pict>
                    <v:shape id="_x0000_s1026" o:spid="_x0000_s1026" o:spt="32" type="#_x0000_t32" style="position:absolute;left:0pt;margin-left:32.5pt;margin-top:5.55pt;height:0pt;width:243.8pt;z-index:251721728;mso-width-relative:page;mso-height-relative:page;" filled="f" stroked="t" coordsize="21600,21600" o:gfxdata="UEsDBAoAAAAAAIdO4kAAAAAAAAAAAAAAAAAEAAAAZHJzL1BLAwQUAAAACACHTuJANcxPi9UAAAAI&#10;AQAADwAAAGRycy9kb3ducmV2LnhtbE2PwU7DMBBE70j8g7VI3KjjSolQiFMBEie40FQgbnZsklB7&#10;HdluG/6eRRzKcWdGs2+azeIdO9qYpoASxKoAZrEPZsJBwq57urkFlrJCo1xAK+HbJti0lxeNqk04&#10;4as9bvPAqARTrSSMOc8156kfrVdpFWaL5H2G6FWmMw7cRHWicu/4uigq7tWE9GFUs30cbb/fHryE&#10;B919fN3P70v3snc6vOnnQSxRyusrUdwBy3bJ5zD84hM6tMSkwwFNYk5CVdKUTLoQwMgvy3UFTP8J&#10;vG34/wHtD1BLAwQUAAAACACHTuJAOF2yeAUCAADdAwAADgAAAGRycy9lMm9Eb2MueG1srVPNbhMx&#10;EL4j8Q6W72Q3Qf1hlU0PicqlQKWWB3C83l0Lr8fyONnkJXgBJE7AiXLqnaeB8hiMvUmg5dIDF2vs&#10;mfnmm2/G07NNZ9haedRgSz4e5ZwpK6HStin52+vzZ6ecYRC2EgasKvlWIT+bPX0y7V2hJtCCqZRn&#10;BGKx6F3J2xBckWUoW9UJHIFTlpw1+E4Euvomq7zoCb0z2STPj7MefOU8SIVIr4vByXeI/jGAUNda&#10;qgXIVadsGFC9MiJQS9hqh3yW2Na1kuFNXaMKzJScOg3ppCJkL+OZzaaiaLxwrZY7CuIxFB701Alt&#10;qegBaiGCYCuv/4HqtPSAUIeRhC4bGkmKUBfj/IE2V61wKvVCUqM7iI7/D1a+Xl96pivahJw0saKj&#10;kd99uP35/vPdt5sfn25/ff8Y7a9fWAwguXqHBWXN7aWPDcuNvXIXIN8hszBvhW1Uon29dYQ0jhnZ&#10;vZR4QUdFl/0rqChGrAIk7Ta17yIkqcI2aUTbw4jUJjBJj8/zF8eTY2Iq975MFPtE5zG8VNCxaJQc&#10;gxe6acMcrKVFAD9OZcT6AkOkJYp9Qqxq4Vwbk/bBWNaXfHJ6dHKUMhCMrqI3xqFvlnPj2VrElcpP&#10;8nmShdDuhUXohcB2iDNNtIdt87Cy1VDf2J06UZBB2iVU20u/V42mnojuNjSu1d/3lP3nV8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XMT4vVAAAACAEAAA8AAAAAAAAAAQAgAAAAIgAAAGRycy9k&#10;b3ducmV2LnhtbFBLAQIUABQAAAAIAIdO4kA4XbJ4BQIAAN0DAAAOAAAAAAAAAAEAIAAAACQBAABk&#10;cnMvZTJvRG9jLnhtbFBLBQYAAAAABgAGAFkBAACbBQAAAAA=&#10;">
                      <v:fill on="f" focussize="0,0"/>
                      <v:stroke weight="2.25pt" color="#0070C0" joinstyle="round" dashstyle="long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restart"/>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施工临时生活区</w:t>
            </w: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工程措施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8656" behindDoc="0" locked="0" layoutInCell="1" allowOverlap="1">
                      <wp:simplePos x="0" y="0"/>
                      <wp:positionH relativeFrom="column">
                        <wp:posOffset>643255</wp:posOffset>
                      </wp:positionH>
                      <wp:positionV relativeFrom="paragraph">
                        <wp:posOffset>92710</wp:posOffset>
                      </wp:positionV>
                      <wp:extent cx="719455" cy="0"/>
                      <wp:effectExtent l="0" t="13970" r="4445" b="24130"/>
                      <wp:wrapNone/>
                      <wp:docPr id="102" name="直接箭头连接符 102"/>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50.65pt;margin-top:7.3pt;height:0pt;width:56.65pt;z-index:251718656;mso-width-relative:page;mso-height-relative:page;" filled="f" stroked="t" coordsize="21600,21600" o:gfxdata="UEsDBAoAAAAAAIdO4kAAAAAAAAAAAAAAAAAEAAAAZHJzL1BLAwQUAAAACACHTuJAPUDCttUAAAAJ&#10;AQAADwAAAGRycy9kb3ducmV2LnhtbE2PQU/DMAyF70j8h8hIXBBLO6qBStMdJrFp4oAY/ACvMW1E&#10;41RNuo1/j4EDu71nPz1/rpYn36sDjdEFNpDPMlDETbCOWwPvb0+3D6BiQrbYByYDXxRhWV9eVFja&#10;cORXOuxSq6SEY4kGupSGUuvYdOQxzsJALLuPMHpMYsdW2xGPUu57Pc+yhfboWC50ONCqo+ZzN3kD&#10;W7vZTO16aIq1K1b+Bp9f3PbemOurPHsEleiU/sPwgy/oUAvTPkxso+rFZ/mdREUUC1ASmP+K/d9A&#10;15U+/6D+BlBLAwQUAAAACACHTuJAvfRczQQCAADaAwAADgAAAGRycy9lMm9Eb2MueG1srVPBjtMw&#10;EL0j8Q+W7zRpRdklarqHVuWyQKVdPsB1nMbC8Vget2l/gh9A4gScgNPe+RpYPoOx05ZlueyBHKyx&#10;Z+bNvDeTycWuNWyrPGqwJR8Ocs6UlVBpuy75m+vFk3POMAhbCQNWlXyvkF9MHz+adK5QI2jAVMoz&#10;ArFYdK7kTQiuyDKUjWoFDsApS84afCsCXf06q7zoCL012SjPn2Ud+Mp5kAqRXue9kx8Q/UMAoa61&#10;VHOQm1bZ0KN6ZUQgSthoh3yauq1rJcPrukYVmCk5MQ3ppCJkr+KZTSeiWHvhGi0PLYiHtHCPUyu0&#10;paInqLkIgm28/geq1dIDQh0GEtqsJ5IUIRbD/J42V41wKnEhqdGdRMf/BytfbZee6Yo2IR9xZkVL&#10;I799f/Pz3afbb19/fLz59f1DtL98ZjGA5OocFpQ1s0sfCcudvXKXIN8iszBrhF2r1Pb13hHSMGZk&#10;f6XECzoquupeQkUxYhMgaberfRshSRW2SyPan0akdoFJejwbPn86HnMmj65MFMc85zG8UNCyaJQc&#10;gxd63YQZWEt7AH6YqojtJYbYlSiOCbGohYU2Jq2Dsawr+eh8fDZOGQhGV9Eb49CvVzPj2VbQRi0W&#10;OX2JI3nuhkXoucCmj6vI6lfNw8ZWfXVjD9JENXpdV1Dtl/4oGY08tXlYz7hTd+8p+88vOf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UDCttUAAAAJAQAADwAAAAAAAAABACAAAAAiAAAAZHJzL2Rv&#10;d25yZXYueG1sUEsBAhQAFAAAAAgAh07iQL30XM0EAgAA2gMAAA4AAAAAAAAAAQAgAAAAJAEAAGRy&#10;cy9lMm9Eb2MueG1sUEsFBgAAAAAGAAYAWQEAAJoFAAAAAA==&#10;">
                      <v:fill on="f" focussize="0,0"/>
                      <v:stroke weight="2.25pt" color="#FF0000" joinstyle="round" dashstyle="dash"/>
                      <v:imagedata o:title=""/>
                      <o:lock v:ext="edit" aspectratio="f"/>
                    </v:shape>
                  </w:pict>
                </mc:Fallback>
              </mc:AlternateContent>
            </w: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植物措施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临时措施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9680" behindDoc="0" locked="0" layoutInCell="1" allowOverlap="1">
                      <wp:simplePos x="0" y="0"/>
                      <wp:positionH relativeFrom="column">
                        <wp:posOffset>11430</wp:posOffset>
                      </wp:positionH>
                      <wp:positionV relativeFrom="paragraph">
                        <wp:posOffset>86995</wp:posOffset>
                      </wp:positionV>
                      <wp:extent cx="2800350" cy="0"/>
                      <wp:effectExtent l="0" t="13970" r="0" b="14605"/>
                      <wp:wrapNone/>
                      <wp:docPr id="104" name="直接箭头连接符 104"/>
                      <wp:cNvGraphicFramePr/>
                      <a:graphic xmlns:a="http://schemas.openxmlformats.org/drawingml/2006/main">
                        <a:graphicData uri="http://schemas.microsoft.com/office/word/2010/wordprocessingShape">
                          <wps:wsp>
                            <wps:cNvCnPr>
                              <a:cxnSpLocks noChangeShapeType="1"/>
                            </wps:cNvCnPr>
                            <wps:spPr bwMode="auto">
                              <a:xfrm flipV="1">
                                <a:off x="0" y="0"/>
                                <a:ext cx="2800350" cy="0"/>
                              </a:xfrm>
                              <a:prstGeom prst="straightConnector1">
                                <a:avLst/>
                              </a:prstGeom>
                              <a:noFill/>
                              <a:ln w="28575">
                                <a:solidFill>
                                  <a:srgbClr val="0070C0"/>
                                </a:solidFill>
                                <a:prstDash val="lgDash"/>
                                <a:round/>
                              </a:ln>
                            </wps:spPr>
                            <wps:bodyPr/>
                          </wps:wsp>
                        </a:graphicData>
                      </a:graphic>
                    </wp:anchor>
                  </w:drawing>
                </mc:Choice>
                <mc:Fallback>
                  <w:pict>
                    <v:shape id="_x0000_s1026" o:spid="_x0000_s1026" o:spt="32" type="#_x0000_t32" style="position:absolute;left:0pt;flip:y;margin-left:0.9pt;margin-top:6.85pt;height:0pt;width:220.5pt;z-index:251719680;mso-width-relative:page;mso-height-relative:page;" filled="f" stroked="t" coordsize="21600,21600" o:gfxdata="UEsDBAoAAAAAAIdO4kAAAAAAAAAAAAAAAAAEAAAAZHJzL1BLAwQUAAAACACHTuJAkVmCZdUAAAAH&#10;AQAADwAAAGRycy9kb3ducmV2LnhtbE2OPU/DMBCGdyT+g3VIbNRpqFoU4nQAVWVAFU07MLrxNYkS&#10;n6PYSQq/nkMdYDq9H3rvSdcX24oRe187UjCfRSCQCmdqKhUcD5uHJxA+aDK6dYQKvtDDOru9SXVi&#10;3ER7HPNQCh4hn2gFVQhdIqUvKrTaz1yHxNnZ9VYHln0pTa8nHretjKNoKa2uiT9UusOXCosmH6yC&#10;6fX9PG7jfOm/t83H22EzNJ/7nVL3d/PoGUTAS/grwy8+o0PGTCc3kPGiZc3ggc/jCgTHi0XMxulq&#10;yCyV//mzH1BLAwQUAAAACACHTuJA6hihRQkCAADnAwAADgAAAGRycy9lMm9Eb2MueG1srVPBctMw&#10;EL0zwz9odCd2AqEdT5wekimXAp1p4a7Isq1B1mq0Spz8BD/ADCfgBJx652ugfAYrOU1pufTAxbOS&#10;dt++ffs8O9l2hm2URw225ONRzpmyEiptm5K/uTx9cswZBmErYcCqku8U8pP540ez3hVqAi2YSnlG&#10;IBaL3pW8DcEVWYayVZ3AEThl6bEG34lAR99klRc9oXcmm+T586wHXzkPUiHS7XJ45HtE/xBAqGst&#10;1RLkulM2DKheGRFoJGy1Qz5PbOtayfC6rlEFZkpOk4b0pSYUr+I3m89E0XjhWi33FMRDKNybqRPa&#10;UtMD1FIEwdZe/wPVaekBoQ4jCV02DJIUoSnG+T1tLlrhVJqFpEZ3EB3/H6x8tTn3TFfkhPwZZ1Z0&#10;tPLrD1e/3n++/v7t56er3z8+xvjrFxYTSK7eYUFVC3vu48Byay/cGch3yCwsWmEblWhf7hwhjWNF&#10;dqckHtBR01X/EirKEesASbtt7TtWG+3exsIITvqwbVrW7rAstQ1M0uXkOM+fTmmP8uYtE0WEiIXO&#10;Y3ihoGMxKDkGL3TThgVYS5YAP8CLzRmGSPC2IBZbONXGJGcYy/rYano0TYQQjK7ia8xD36wWxrON&#10;iObKj/JF8hOh3UmLFJYC2yHPNDEefOdhbauhv7F7naI0g8grqHbn/kY/2n8iuvdqNNjf51R9+3/O&#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RWYJl1QAAAAcBAAAPAAAAAAAAAAEAIAAAACIAAABk&#10;cnMvZG93bnJldi54bWxQSwECFAAUAAAACACHTuJA6hihRQkCAADnAwAADgAAAAAAAAABACAAAAAk&#10;AQAAZHJzL2Uyb0RvYy54bWxQSwUGAAAAAAYABgBZAQAAnwUAAAAA&#10;">
                      <v:fill on="f" focussize="0,0"/>
                      <v:stroke weight="2.25pt" color="#0070C0" joinstyle="round" dashstyle="long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restart"/>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表土堆放场</w:t>
            </w: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工程措施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5584" behindDoc="0" locked="0" layoutInCell="1" allowOverlap="1">
                      <wp:simplePos x="0" y="0"/>
                      <wp:positionH relativeFrom="column">
                        <wp:posOffset>-18415</wp:posOffset>
                      </wp:positionH>
                      <wp:positionV relativeFrom="paragraph">
                        <wp:posOffset>88265</wp:posOffset>
                      </wp:positionV>
                      <wp:extent cx="724535" cy="0"/>
                      <wp:effectExtent l="0" t="13970" r="18415" b="24130"/>
                      <wp:wrapNone/>
                      <wp:docPr id="106" name="直接箭头连接符 106"/>
                      <wp:cNvGraphicFramePr/>
                      <a:graphic xmlns:a="http://schemas.openxmlformats.org/drawingml/2006/main">
                        <a:graphicData uri="http://schemas.microsoft.com/office/word/2010/wordprocessingShape">
                          <wps:wsp>
                            <wps:cNvCnPr>
                              <a:cxnSpLocks noChangeShapeType="1"/>
                            </wps:cNvCnPr>
                            <wps:spPr bwMode="auto">
                              <a:xfrm>
                                <a:off x="0" y="0"/>
                                <a:ext cx="724535"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1.45pt;margin-top:6.95pt;height:0pt;width:57.05pt;z-index:251715584;mso-width-relative:page;mso-height-relative:page;" filled="f" stroked="t" coordsize="21600,21600" o:gfxdata="UEsDBAoAAAAAAIdO4kAAAAAAAAAAAAAAAAAEAAAAZHJzL1BLAwQUAAAACACHTuJAWSA7CtYAAAAI&#10;AQAADwAAAGRycy9kb3ducmV2LnhtbE2PzU7DQAyE70i8w8pIXFC7Saj4Cdn0UIlWFQdE4QHcrElW&#10;ZL1RdtOWt8cVBzhZnhmNP1fLk+/VgcboAhvI5xko4iZYx62Bj/fn2QOomJAt9oHJwDdFWNaXFxWW&#10;Nhz5jQ671Cop4ViigS6lodQ6Nh15jPMwEIv3GUaPSdax1XbEo5T7XhdZdqc9OpYLHQ606qj52k3e&#10;wNZuNlO7HprF2i1W/gZfXt323pjrqzx7ApXolP7CcMYXdKiFaR8mtlH1BmbFoyRFv5V59vO8ALX/&#10;FXRd6f8P1D9QSwMEFAAAAAgAh07iQLAdLzgFAgAA2gMAAA4AAABkcnMvZTJvRG9jLnhtbK1TwW4T&#10;MRC9I/EPlu9kN4G01SqbHhKFS4FKLR/geL1ZC6/H8jjZ5Cf4ASROwIly6p2vgfIZjL1JKOXSA3uw&#10;xp6ZN/PezE7Ot61hG+VRgy35cJBzpqyESttVyd9eL56dcYZB2EoYsKrkO4X8fPr0yaRzhRpBA6ZS&#10;nhGIxaJzJW9CcEWWoWxUK3AATlly1uBbEejqV1nlRUforclGeX6SdeAr50EqRHqd906+R/SPAYS6&#10;1lLNQa5bZUOP6pURgShhox3yaeq2rpUMb+oaVWCm5MQ0pJOKkL2MZzadiGLlhWu03LcgHtPCA06t&#10;0JaKHqHmIgi29vofqFZLDwh1GEhos55IUoRYDPMH2lw1wqnEhaRGdxQd/x+sfL259ExXtAn5CWdW&#10;tDTyuw+3P99/vvt28+PT7a/vH6P99QuLASRX57CgrJm99JGw3NordwHyHTILs0bYlUptX+8cIQ1j&#10;RvZXSrygo6LL7hVUFCPWAZJ229q3EZJUYds0ot1xRGobmKTH09GL8fMxZ/LgykRxyHMew0sFLYtG&#10;yTF4oVdNmIG1tAfgh6mK2FxgiF2J4pAQi1pYaGPSOhjLupKPzsan45SBYHQVvTEO/Wo5M55tBG3U&#10;YpHTlziS535YhJ4LbPq4iqx+1TysbdVXN3YvTVSj13UJ1e7SHySjkac29+sZd+r+PWX/+SWn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IDsK1gAAAAgBAAAPAAAAAAAAAAEAIAAAACIAAABkcnMv&#10;ZG93bnJldi54bWxQSwECFAAUAAAACACHTuJAsB0vOAUCAADaAwAADgAAAAAAAAABACAAAAAlAQAA&#10;ZHJzL2Uyb0RvYy54bWxQSwUGAAAAAAYABgBZAQAAnAUAAAAA&#10;">
                      <v:fill on="f" focussize="0,0"/>
                      <v:stroke weight="2.25pt" color="#FF0000" joinstyle="round" dashstyle="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23776" behindDoc="0" locked="0" layoutInCell="1" allowOverlap="1">
                      <wp:simplePos x="0" y="0"/>
                      <wp:positionH relativeFrom="column">
                        <wp:posOffset>352425</wp:posOffset>
                      </wp:positionH>
                      <wp:positionV relativeFrom="paragraph">
                        <wp:posOffset>121920</wp:posOffset>
                      </wp:positionV>
                      <wp:extent cx="568960" cy="0"/>
                      <wp:effectExtent l="0" t="13970" r="2540" b="24130"/>
                      <wp:wrapNone/>
                      <wp:docPr id="70" name="直接箭头连接符 70"/>
                      <wp:cNvGraphicFramePr/>
                      <a:graphic xmlns:a="http://schemas.openxmlformats.org/drawingml/2006/main">
                        <a:graphicData uri="http://schemas.microsoft.com/office/word/2010/wordprocessingShape">
                          <wps:wsp>
                            <wps:cNvCnPr>
                              <a:cxnSpLocks noChangeShapeType="1"/>
                            </wps:cNvCnPr>
                            <wps:spPr bwMode="auto">
                              <a:xfrm>
                                <a:off x="0" y="0"/>
                                <a:ext cx="568960"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27.75pt;margin-top:9.6pt;height:0pt;width:44.8pt;z-index:251723776;mso-width-relative:page;mso-height-relative:page;" filled="f" stroked="t" coordsize="21600,21600" o:gfxdata="UEsDBAoAAAAAAIdO4kAAAAAAAAAAAAAAAAAEAAAAZHJzL1BLAwQUAAAACACHTuJASbfnQ9YAAAAI&#10;AQAADwAAAGRycy9kb3ducmV2LnhtbE2PwW7CMBBE70j8g7VIvVTgBCWlTeNwQCoI9VCV9gOWeJtY&#10;jddR7AD9+xr1UI47M5p9U64vthMnGrxxrCBdJCCIa6cNNwo+P17mjyB8QNbYOSYFP+RhXU0nJRba&#10;nfmdTofQiFjCvkAFbQh9IaWvW7LoF64njt6XGyyGeA6N1AOeY7nt5DJJHqRFw/FDiz1tWqq/D6NV&#10;sNe73dhs+zrbmmxj7/H1zexXSt3N0uQZRKBL+A/DFT+iQxWZjm5k7UWnIM/zmIz60xLE1c/yFMTx&#10;T5BVKW8HVL9QSwMEFAAAAAgAh07iQL3CroYCAgAA2AMAAA4AAABkcnMvZTJvRG9jLnhtbK1TsY4T&#10;MRDtkfgHyz3ZJFJyYZXNFYlCc0CkOz7A8XqzFl6P5XGyyU/wA0hUQAVU1/M1cHwGY28SjqO5gi2s&#10;sWfmzbw3s9PLfWPYTnnUYAs+6PU5U1ZCqe2m4G9uls8mnGEQthQGrCr4QSG/nD19Mm1droZQgymV&#10;ZwRiMW9dwesQXJ5lKGvVCOyBU5acFfhGBLr6TVZ60RJ6Y7Jhvz/OWvCl8yAVIr0uOic/IvrHAEJV&#10;aakWILeNsqFD9cqIQJSw1g75LHVbVUqG11WFKjBTcGIa0klFyF7HM5tNRb7xwtVaHlsQj2nhAadG&#10;aEtFz1ALEQTbev0PVKOlB4Qq9CQ0WUckKUIsBv0H2lzXwqnEhaRGdxYd/x+sfLVbeabLgl+QJFY0&#10;NPG797c/3326+/b1x8fbX98/RPvLZ0Z+Eqt1mFPO3K58pCv39tpdgXyLzMK8FnajUtM3B0dAg5iR&#10;/ZUSL+io5Lp9CSXFiG2ApNy+8k2EJE3YPg3ocB6Q2gcm6XE0njwfU5/y5MpEfspzHsMLBQ2LRsEx&#10;eKE3dZiDtbQF4AepithdYYhdifyUEItaWGpj0jIYy9qCDyeji1HKQDC6jN4Yh36znhvPdoL2abns&#10;05c4kud+WIReCKy7uJKsbtE8bG3ZVTf2KE1Uo9N1DeVh5U+S0cBTm8fljBt1/56y//yQs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t+dD1gAAAAgBAAAPAAAAAAAAAAEAIAAAACIAAABkcnMvZG93&#10;bnJldi54bWxQSwECFAAUAAAACACHTuJAvcKuhgICAADYAwAADgAAAAAAAAABACAAAAAlAQAAZHJz&#10;L2Uyb0RvYy54bWxQSwUGAAAAAAYABgBZAQAAmQUAAAAA&#10;">
                      <v:fill on="f" focussize="0,0"/>
                      <v:stroke weight="2.25pt" color="#FF0000" joinstyle="round" dashstyle="dash"/>
                      <v:imagedata o:title=""/>
                      <o:lock v:ext="edit" aspectratio="f"/>
                    </v:shape>
                  </w:pict>
                </mc:Fallback>
              </mc:AlternateContent>
            </w: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植物措施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6608" behindDoc="0" locked="0" layoutInCell="1" allowOverlap="1">
                      <wp:simplePos x="0" y="0"/>
                      <wp:positionH relativeFrom="column">
                        <wp:posOffset>292100</wp:posOffset>
                      </wp:positionH>
                      <wp:positionV relativeFrom="paragraph">
                        <wp:posOffset>88265</wp:posOffset>
                      </wp:positionV>
                      <wp:extent cx="928370" cy="0"/>
                      <wp:effectExtent l="0" t="13970" r="0" b="24130"/>
                      <wp:wrapNone/>
                      <wp:docPr id="107" name="直接箭头连接符 107"/>
                      <wp:cNvGraphicFramePr/>
                      <a:graphic xmlns:a="http://schemas.openxmlformats.org/drawingml/2006/main">
                        <a:graphicData uri="http://schemas.microsoft.com/office/word/2010/wordprocessingShape">
                          <wps:wsp>
                            <wps:cNvCnPr>
                              <a:cxnSpLocks noChangeShapeType="1"/>
                            </wps:cNvCnPr>
                            <wps:spPr bwMode="auto">
                              <a:xfrm>
                                <a:off x="0" y="0"/>
                                <a:ext cx="928370" cy="0"/>
                              </a:xfrm>
                              <a:prstGeom prst="straightConnector1">
                                <a:avLst/>
                              </a:prstGeom>
                              <a:noFill/>
                              <a:ln w="28575">
                                <a:solidFill>
                                  <a:srgbClr val="00B050"/>
                                </a:solidFill>
                                <a:prstDash val="lgDashDot"/>
                                <a:round/>
                              </a:ln>
                            </wps:spPr>
                            <wps:bodyPr/>
                          </wps:wsp>
                        </a:graphicData>
                      </a:graphic>
                    </wp:anchor>
                  </w:drawing>
                </mc:Choice>
                <mc:Fallback>
                  <w:pict>
                    <v:shape id="_x0000_s1026" o:spid="_x0000_s1026" o:spt="32" type="#_x0000_t32" style="position:absolute;left:0pt;margin-left:23pt;margin-top:6.95pt;height:0pt;width:73.1pt;z-index:251716608;mso-width-relative:page;mso-height-relative:page;" filled="f" stroked="t" coordsize="21600,21600" o:gfxdata="UEsDBAoAAAAAAIdO4kAAAAAAAAAAAAAAAAAEAAAAZHJzL1BLAwQUAAAACACHTuJA0JlhrdYAAAAI&#10;AQAADwAAAGRycy9kb3ducmV2LnhtbE2PzU7DMBCE70i8g7VI3KiTFFU0xOkBBBxAQk2RuG7jbRwR&#10;r1Pb/Xt7XHEox50ZzX5TLY52EHvyoXesIJ9kIIhbp3vuFHytXu4eQISIrHFwTApOFGBRX19VWGp3&#10;4CXtm9iJVMKhRAUmxrGUMrSGLIaJG4mTt3HeYkyn76T2eEjldpBFls2kxZ7TB4MjPRlqf5qdVWBf&#10;V9+b4Jfb6fPJ5O9vH3I7Np9K3d7k2SOISMd4CcMZP6FDnZjWbsc6iEHB/SxNiUmfzkGc/XlRgFj/&#10;CbKu5P8B9S9QSwMEFAAAAAgAh07iQG1jkZkHAgAA3wMAAA4AAABkcnMvZTJvRG9jLnhtbK1TwW4T&#10;MRC9I/EPlu9kN0EhYZVNJRKVS4FILR/geL27FrbHsp1s8hP8ABIn4FQ49c7XQPkMxt4k0HLpgYs1&#10;9sy8mXnzPDvbaUW2wnkJpqTDQU6JMBwqaZqSvr06fzKlxAdmKqbAiJLuhadn88ePZp0txAhaUJVw&#10;BEGMLzpb0jYEW2SZ563QzA/ACoPOGpxmAa+uySrHOkTXKhvl+bOsA1dZB1x4j6/L3kkPiO4hgFDX&#10;kosl8I0WJvSoTigWcCTfSuvpPHVb14KHN3XtRSCqpDhpSCcWQXsdz2w+Y0XjmG0lP7TAHtLCvZk0&#10;kwaLnqCWLDCycfIfKC25Aw91GHDQWT9IYgSnGOb3uLlsmRVpFqTa2xPp/v/B8tfblSOyQiXkE0oM&#10;07jy2w83P99/vv329cenm1/fP0b7+guJAUhXZ32BWQuzcnFgvjOX9gL4O08MLFpmGpHavtpbRBrG&#10;jOxOSrx4i0XX3SuoMIZtAiTudrXTERJZIbu0ov1pRWIXCMfH56Pp0wkujx9dGSuOedb58FKAJtEo&#10;qQ+OyaYNCzAGdQBumKqw7YUPsStWHBNiUQPnUqkkB2VIV9LRdDwZpwwPSlbRG+O8a9YL5ciWRUXl&#10;L/JxEhGi3QmL0Evm2z5ONdFeQuj15mBjqr4FZQ78REp6ctdQ7VfuyBvuPfV60GgU1t/3lP3nX8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CZYa3WAAAACAEAAA8AAAAAAAAAAQAgAAAAIgAAAGRy&#10;cy9kb3ducmV2LnhtbFBLAQIUABQAAAAIAIdO4kBtY5GZBwIAAN8DAAAOAAAAAAAAAAEAIAAAACUB&#10;AABkcnMvZTJvRG9jLnhtbFBLBQYAAAAABgAGAFkBAACeBQAAAAA=&#10;">
                      <v:fill on="f" focussize="0,0"/>
                      <v:stroke weight="2.25pt" color="#00B050" joinstyle="round" dashstyle="longDashDot"/>
                      <v:imagedata o:title=""/>
                      <o:lock v:ext="edit" aspectratio="f"/>
                    </v:shape>
                  </w:pict>
                </mc:Fallback>
              </mc:AlternateContent>
            </w: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临时措施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7632" behindDoc="0" locked="0" layoutInCell="1" allowOverlap="1">
                      <wp:simplePos x="0" y="0"/>
                      <wp:positionH relativeFrom="column">
                        <wp:posOffset>-44450</wp:posOffset>
                      </wp:positionH>
                      <wp:positionV relativeFrom="paragraph">
                        <wp:posOffset>71120</wp:posOffset>
                      </wp:positionV>
                      <wp:extent cx="3242945" cy="0"/>
                      <wp:effectExtent l="0" t="13970" r="14605" b="24130"/>
                      <wp:wrapNone/>
                      <wp:docPr id="108" name="直接箭头连接符 108"/>
                      <wp:cNvGraphicFramePr/>
                      <a:graphic xmlns:a="http://schemas.openxmlformats.org/drawingml/2006/main">
                        <a:graphicData uri="http://schemas.microsoft.com/office/word/2010/wordprocessingShape">
                          <wps:wsp>
                            <wps:cNvCnPr>
                              <a:cxnSpLocks noChangeShapeType="1"/>
                            </wps:cNvCnPr>
                            <wps:spPr bwMode="auto">
                              <a:xfrm>
                                <a:off x="0" y="0"/>
                                <a:ext cx="3242945" cy="0"/>
                              </a:xfrm>
                              <a:prstGeom prst="straightConnector1">
                                <a:avLst/>
                              </a:prstGeom>
                              <a:noFill/>
                              <a:ln w="28575">
                                <a:solidFill>
                                  <a:srgbClr val="0070C0"/>
                                </a:solidFill>
                                <a:prstDash val="lgDash"/>
                                <a:round/>
                              </a:ln>
                            </wps:spPr>
                            <wps:bodyPr/>
                          </wps:wsp>
                        </a:graphicData>
                      </a:graphic>
                    </wp:anchor>
                  </w:drawing>
                </mc:Choice>
                <mc:Fallback>
                  <w:pict>
                    <v:shape id="_x0000_s1026" o:spid="_x0000_s1026" o:spt="32" type="#_x0000_t32" style="position:absolute;left:0pt;margin-left:-3.5pt;margin-top:5.6pt;height:0pt;width:255.35pt;z-index:251717632;mso-width-relative:page;mso-height-relative:page;" filled="f" stroked="t" coordsize="21600,21600" o:gfxdata="UEsDBAoAAAAAAIdO4kAAAAAAAAAAAAAAAAAEAAAAZHJzL1BLAwQUAAAACACHTuJAieZd0tUAAAAI&#10;AQAADwAAAGRycy9kb3ducmV2LnhtbE2PwU7DMBBE70j8g7VI3Fo7RVAU4lSAxAkuNAjEzY6XJDRe&#10;R7bbhr9nEQc47sxo9k21mf0oDhjTEEhDsVQgkNrgBuo0vDQPi2sQKRtyZgyEGr4wwaY+PalM6cKR&#10;nvGwzZ3gEkql0dDnPJVSprZHb9IyTEjsfYToTeYzdtJFc+RyP8qVUlfSm4H4Q28mvO+x3W33XsOd&#10;bd4/b6e3uXnajTa82seumKPW52eFugGRcc5/YfjBZ3SomcmGPbkkRg2LNU/JrBcrEOxfqos1CPsr&#10;yLqS/wfU31BLAwQUAAAACACHTuJAA/oKQAUCAADdAwAADgAAAGRycy9lMm9Eb2MueG1srVPBbhMx&#10;EL0j8Q+W73Q3oaFllU0PicqlQKWWD3C83l0Lr8fyONnkJ/gBJE7ACTj1ztdA+QzG3iTQcumBizX2&#10;zLyZefM8Pdt0hq2VRw225KOjnDNlJVTaNiV/c33+5JQzDMJWwoBVJd8q5Gezx4+mvSvUGFowlfKM&#10;QCwWvSt5G4IrsgxlqzqBR+CUJWcNvhOBrr7JKi96Qu9MNs7zZ1kPvnIepEKk18Xg5DtE/xBAqGst&#10;1QLkqlM2DKheGRFoJGy1Qz5L3da1kuF1XaMKzJScJg3ppCJkL+OZzaaiaLxwrZa7FsRDWrg3Uye0&#10;paIHqIUIgq28/geq09IDQh2OJHTZMEhihKYY5fe4uWqFU2kWohrdgXT8f7Dy1frSM12REnJavBUd&#10;rfz2/c3Pd59uv3398fHm1/cP0f7ymcUAoqt3WFDW3F76OLDc2Ct3AfItMgvzVthGpbavt46QRjEj&#10;u5MSL+io6LJ/CRXFiFWAxN2m9l2EJFbYJq1oe1iR2gQm6fHp+Hj8/HjCmdz7MlHsE53H8EJBx6JR&#10;cgxe6KYNc7CWhAB+lMqI9QWG2JYo9gmxqoVzbUzSg7GsL/n4dHIySRkIRlfRG+PQN8u58WwtoqTy&#10;k3yeVERod8Ii9EJgO8SZJtqD2jysbDXUN3bHTiRkoHYJ1fbS71mjradGdwqNsvr7nrL//MrZ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nmXdLVAAAACAEAAA8AAAAAAAAAAQAgAAAAIgAAAGRycy9k&#10;b3ducmV2LnhtbFBLAQIUABQAAAAIAIdO4kAD+gpABQIAAN0DAAAOAAAAAAAAAAEAIAAAACQBAABk&#10;cnMvZTJvRG9jLnhtbFBLBQYAAAAABgAGAFkBAACbBQAAAAA=&#10;">
                      <v:fill on="f" focussize="0,0"/>
                      <v:stroke weight="2.25pt" color="#0070C0" joinstyle="round" dashstyle="long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restart"/>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道路工程区</w:t>
            </w: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工程措施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1488" behindDoc="0" locked="0" layoutInCell="1" allowOverlap="1">
                      <wp:simplePos x="0" y="0"/>
                      <wp:positionH relativeFrom="column">
                        <wp:posOffset>-51435</wp:posOffset>
                      </wp:positionH>
                      <wp:positionV relativeFrom="paragraph">
                        <wp:posOffset>86360</wp:posOffset>
                      </wp:positionV>
                      <wp:extent cx="755650" cy="0"/>
                      <wp:effectExtent l="0" t="13970" r="0" b="24130"/>
                      <wp:wrapNone/>
                      <wp:docPr id="71" name="直接箭头连接符 71"/>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4.05pt;margin-top:6.8pt;height:0pt;width:59.5pt;z-index:251711488;mso-width-relative:page;mso-height-relative:page;" filled="f" stroked="t" coordsize="21600,21600" o:gfxdata="UEsDBAoAAAAAAIdO4kAAAAAAAAAAAAAAAAAEAAAAZHJzL1BLAwQUAAAACACHTuJAq+CcH9YAAAAI&#10;AQAADwAAAGRycy9kb3ducmV2LnhtbE2PwW7CMBBE75X4B2uReqnADkWUpnE4IAFCPaDSfsASbxOr&#10;8TqKHaB/X6Me2uPOjGbfFKura8WZ+mA9a8imCgRx5Y3lWsPH+2ayBBEissHWM2n4pgCrcnRXYG78&#10;hd/ofIy1SCUcctTQxNjlUoaqIYdh6jvi5H363mFMZ19L0+MllbtWzpRaSIeW04cGO1o3VH0dB6dh&#10;b3a7od521Xxr52v3gK8Hu3/S+n6cqRcQka7xLww3/IQOZWI6+YFNEK2GyTJLyaQ/LkDc/Ew9gzj9&#10;CrIs5P8B5Q9QSwMEFAAAAAgAh07iQDt+/hcCAgAA2AMAAA4AAABkcnMvZTJvRG9jLnhtbK1TwW4T&#10;MRC9I/EPlu9kk0hpqlU2PSQKlwKVWj7A8Xp3Lbwey+Nkk5/gB5A4ASfg1Hu/BspnMPYmgZZLD+zB&#10;GnvmvZl5Mzu72LWGbZVHDbbgo8GQM2UllNrWBX97s3pxzhkGYUthwKqC7xXyi/nzZ7PO5WoMDZhS&#10;eUYkFvPOFbwJweVZhrJRrcABOGXJWYFvRaCrr7PSi47YW5ONh8OzrANfOg9SIdLrsnfyA6N/CiFU&#10;lZZqCXLTKht6Vq+MCNQSNtohn6dqq0rJ8KaqUAVmCk6dhnRSErLX8czmM5HXXrhGy0MJ4iklPOqp&#10;FdpS0hPVUgTBNl7/Q9Vq6QGhCgMJbdY3khShLkbDR9pcN8Kp1AtJje4kOv4/Wvl6e+WZLgs+HXFm&#10;RUsTv/9w+/P95/vv3358uv119zHaX78w8pNYncOcMAt75WO7cmev3SXId8gsLBpha5WKvtk7IkqI&#10;7AEkXtBRynX3CkqKEZsASbld5dtISZqwXRrQ/jQgtQtM0uN0Mjmb0Ojk0ZWJ/IhzHsNLBS2LRsEx&#10;eKHrJizAWtoC8KOURWwvMVAfBDwCYlILK21MWgZjWVfw8flkOkkIBKPL6I1x6Ov1wni2FbRPq9WQ&#10;vqgKsT0Ii9RLgU0fV5LVL5qHjS37eGMJdlSj13UN5f7KR3d8p4En4sNyxo36+56i/vyQ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4Jwf1gAAAAgBAAAPAAAAAAAAAAEAIAAAACIAAABkcnMvZG93&#10;bnJldi54bWxQSwECFAAUAAAACACHTuJAO37+FwICAADYAwAADgAAAAAAAAABACAAAAAlAQAAZHJz&#10;L2Uyb0RvYy54bWxQSwUGAAAAAAYABgBZAQAAmQUAAAAA&#10;">
                      <v:fill on="f" focussize="0,0"/>
                      <v:stroke weight="2.25pt" color="#FF0000" joinstyle="round" dashstyle="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2512" behindDoc="0" locked="0" layoutInCell="1" allowOverlap="1">
                      <wp:simplePos x="0" y="0"/>
                      <wp:positionH relativeFrom="column">
                        <wp:posOffset>-44450</wp:posOffset>
                      </wp:positionH>
                      <wp:positionV relativeFrom="paragraph">
                        <wp:posOffset>71120</wp:posOffset>
                      </wp:positionV>
                      <wp:extent cx="1431290" cy="0"/>
                      <wp:effectExtent l="0" t="13970" r="16510" b="24130"/>
                      <wp:wrapNone/>
                      <wp:docPr id="72" name="直接箭头连接符 72"/>
                      <wp:cNvGraphicFramePr/>
                      <a:graphic xmlns:a="http://schemas.openxmlformats.org/drawingml/2006/main">
                        <a:graphicData uri="http://schemas.microsoft.com/office/word/2010/wordprocessingShape">
                          <wps:wsp>
                            <wps:cNvCnPr>
                              <a:cxnSpLocks noChangeShapeType="1"/>
                            </wps:cNvCnPr>
                            <wps:spPr bwMode="auto">
                              <a:xfrm>
                                <a:off x="0" y="0"/>
                                <a:ext cx="1431290"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3.5pt;margin-top:5.6pt;height:0pt;width:112.7pt;z-index:251712512;mso-width-relative:page;mso-height-relative:page;" filled="f" stroked="t" coordsize="21600,21600" o:gfxdata="UEsDBAoAAAAAAIdO4kAAAAAAAAAAAAAAAAAEAAAAZHJzL1BLAwQUAAAACACHTuJA8Dx0sNcAAAAI&#10;AQAADwAAAGRycy9kb3ducmV2LnhtbE2PQUvDQBCF74L/YRnBi7SbhGBLzKaHgi3Fg9j6A6bZaRKa&#10;nQ3ZTVv/vSMe9DjvPd58r1zdXK8uNIbOs4F0noAirr3tuDHweXidLUGFiGyx90wGvijAqrq/K7Gw&#10;/sofdNnHRkkJhwINtDEOhdahbslhmPuBWLyTHx1GOcdG2xGvUu56nSXJs3bYsXxocaB1S/V5PzkD&#10;O7vdTs1mqPNNl6/dE769d7uFMY8PafICKtIt/oXhB1/QoRKmo5/YBtUbmC1kShQ9zUCJn6XLHNTx&#10;V9BVqf8PqL4BUEsDBBQAAAAIAIdO4kB+MC8UBAIAANkDAAAOAAAAZHJzL2Uyb0RvYy54bWytU8Fy&#10;0zAQvTPDP2h0J44DpcUTp4dkwqVAZlo+QJHlWIOs1WiVOPkJfoAZTsCpcOqdr4HyGazkJJRy6QEf&#10;NCvt7tt9b9fj821r2EZ51GBLng+GnCkrodJ2VfK3V/MnZ5xhELYSBqwq+U4hP588fjTuXKFG0ICp&#10;lGcEYrHoXMmbEFyRZSgb1QocgFOWnDX4VgS6+lVWedERemuy0XD4POvAV86DVIj0OuudfI/oHwII&#10;da2lmoFct8qGHtUrIwJRwkY75JPUbV0rGd7UNarATMmJaUgnFSF7Gc9sMhbFygvXaLlvQTykhXuc&#10;WqEtFT1CzUQQbO31P1Ctlh4Q6jCQ0GY9kaQIsciH97S5bIRTiQtJje4oOv4/WPl6s/BMVyU/HXFm&#10;RUsTv/1w8/P959tvX398uvn1/WO0r78w8pNYncOCcqZ24SNdubWX7gLkO2QWpo2wK5Wavto5Aspj&#10;RvZXSrygo5LL7hVUFCPWAZJy29q3EZI0Yds0oN1xQGobmKTH/NnTfPSCZicPvkwUh0TnMbxU0LJo&#10;lByDF3rVhClYS2sAPk9lxOYCQ2xLFIeEWNXCXBuTtsFY1pV8dHZyepIyEIyuojfGoV8tp8azjaCF&#10;ms+H9CWS5LkbFqFnAps+riKr3zQPa1v11Y3daxPl6IVdQrVb+INmNPHU5n4740rdvafsP3/k5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wPHSw1wAAAAgBAAAPAAAAAAAAAAEAIAAAACIAAABkcnMv&#10;ZG93bnJldi54bWxQSwECFAAUAAAACACHTuJAfjAvFAQCAADZAwAADgAAAAAAAAABACAAAAAmAQAA&#10;ZHJzL2Uyb0RvYy54bWxQSwUGAAAAAAYABgBZAQAAnAUAAAAA&#10;">
                      <v:fill on="f" focussize="0,0"/>
                      <v:stroke weight="2.25pt" color="#FF0000" joinstyle="round" dashstyle="dash"/>
                      <v:imagedata o:title=""/>
                      <o:lock v:ext="edit" aspectratio="f"/>
                    </v:shape>
                  </w:pict>
                </mc:Fallback>
              </mc:AlternateContent>
            </w: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植物措施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3536" behindDoc="0" locked="0" layoutInCell="1" allowOverlap="1">
                      <wp:simplePos x="0" y="0"/>
                      <wp:positionH relativeFrom="column">
                        <wp:posOffset>300990</wp:posOffset>
                      </wp:positionH>
                      <wp:positionV relativeFrom="paragraph">
                        <wp:posOffset>79375</wp:posOffset>
                      </wp:positionV>
                      <wp:extent cx="982980" cy="0"/>
                      <wp:effectExtent l="0" t="13970" r="0" b="24130"/>
                      <wp:wrapNone/>
                      <wp:docPr id="111" name="直接箭头连接符 111"/>
                      <wp:cNvGraphicFramePr/>
                      <a:graphic xmlns:a="http://schemas.openxmlformats.org/drawingml/2006/main">
                        <a:graphicData uri="http://schemas.microsoft.com/office/word/2010/wordprocessingShape">
                          <wps:wsp>
                            <wps:cNvCnPr>
                              <a:cxnSpLocks noChangeShapeType="1"/>
                            </wps:cNvCnPr>
                            <wps:spPr bwMode="auto">
                              <a:xfrm>
                                <a:off x="0" y="0"/>
                                <a:ext cx="982980" cy="0"/>
                              </a:xfrm>
                              <a:prstGeom prst="straightConnector1">
                                <a:avLst/>
                              </a:prstGeom>
                              <a:noFill/>
                              <a:ln w="28575">
                                <a:solidFill>
                                  <a:srgbClr val="00B050"/>
                                </a:solidFill>
                                <a:prstDash val="lgDashDot"/>
                                <a:round/>
                              </a:ln>
                            </wps:spPr>
                            <wps:bodyPr/>
                          </wps:wsp>
                        </a:graphicData>
                      </a:graphic>
                    </wp:anchor>
                  </w:drawing>
                </mc:Choice>
                <mc:Fallback>
                  <w:pict>
                    <v:shape id="_x0000_s1026" o:spid="_x0000_s1026" o:spt="32" type="#_x0000_t32" style="position:absolute;left:0pt;margin-left:23.7pt;margin-top:6.25pt;height:0pt;width:77.4pt;z-index:251713536;mso-width-relative:page;mso-height-relative:page;" filled="f" stroked="t" coordsize="21600,21600" o:gfxdata="UEsDBAoAAAAAAIdO4kAAAAAAAAAAAAAAAAAEAAAAZHJzL1BLAwQUAAAACACHTuJADbyDYtYAAAAI&#10;AQAADwAAAGRycy9kb3ducmV2LnhtbE2PzU7DMBCE70i8g7VI3KgdU6AKcXoAAQeQqqZIvbrxNo6I&#10;16nt/r09RhzguDOj2W+q+ckN7IAh9p4UFBMBDKn1pqdOwefq5WYGLCZNRg+eUMEZI8zry4tKl8Yf&#10;aYmHJnUsl1AstQKb0lhyHluLTseJH5Gyt/XB6ZTP0HET9DGXu4FLIe650z3lD1aP+GSx/Wr2ToF7&#10;Xa23MSx3t89nW7y/ffDd2CyUur4qxCOwhKf0F4Yf/IwOdWba+D2ZyAYF04dpTmZd3gHLvhRSAtv8&#10;Cryu+P8B9TdQSwMEFAAAAAgAh07iQPf+RUIGAgAA3wMAAA4AAABkcnMvZTJvRG9jLnhtbK1TwY7T&#10;MBC9I/EPlu80baVCN2q6Eq2WywKVdvkA13ESC8djedym/Ql+AIkTcAJOe+drYPkMxk5b2OWyBy6R&#10;7Zl5M+/Ny+x81xq2VR412IKPBkPOlJVQalsX/M31xZMpZxiELYUBqwq+V8jP548fzTqXqzE0YErl&#10;GYFYzDtX8CYEl2cZyka1AgfglKVgBb4Vga6+zkovOkJvTTYeDp9mHfjSeZAKkV6XfZAfEP1DAKGq&#10;tFRLkJtW2dCjemVEIErYaId8nqatKiXD66pCFZgpODEN6UtN6LyO32w+E3nthWu0PIwgHjLCPU6t&#10;0JaanqCWIgi28fofqFZLDwhVGEhos55IUoRYjIb3tLlqhFOJC0mN7iQ6/j9Y+Wq78kyX5ITRiDMr&#10;Wlr57fubn+8+3X77+uPjza/vH+L5y2cWE0iuzmFOVQu78pGw3NkrdwnyLTILi0bYWqWxr/eOkFJF&#10;dqckXtBR03X3EkrKEZsASbtd5dsISaqwXVrR/rQitQtM0uPZdHw2peXJYygT+bHOeQwvFLQsHgqO&#10;wQtdN2EB1pIPwI9SF7G9xEA8qPBYEJtauNDGJDsYy7qCj6eTZ5NUgWB0GaMxD329XhjPtiI6avh8&#10;OEkmIrQ7aRF6KbDp80wdz0sIvd88bGzZj2AsTXKUpBd3DeV+5WM4vtPe06wHj0Zj/X1PWX/+y/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byDYtYAAAAIAQAADwAAAAAAAAABACAAAAAiAAAAZHJz&#10;L2Rvd25yZXYueG1sUEsBAhQAFAAAAAgAh07iQPf+RUIGAgAA3wMAAA4AAAAAAAAAAQAgAAAAJQEA&#10;AGRycy9lMm9Eb2MueG1sUEsFBgAAAAAGAAYAWQEAAJ0FAAAAAA==&#10;">
                      <v:fill on="f" focussize="0,0"/>
                      <v:stroke weight="2.25pt" color="#00B050" joinstyle="round" dashstyle="longDashDot"/>
                      <v:imagedata o:title=""/>
                      <o:lock v:ext="edit" aspectratio="f"/>
                    </v:shape>
                  </w:pict>
                </mc:Fallback>
              </mc:AlternateContent>
            </w:r>
          </w:p>
        </w:tc>
        <w:tc>
          <w:tcPr>
            <w:tcW w:w="1114" w:type="dxa"/>
            <w:vAlign w:val="center"/>
          </w:tcPr>
          <w:p>
            <w:pPr>
              <w:jc w:val="center"/>
              <w:rPr>
                <w:rFonts w:ascii="Times New Roman" w:hAnsi="Times New Roman" w:eastAsia="仿宋_GB2312" w:cs="Times New Roman"/>
                <w:color w:val="auto"/>
                <w:sz w:val="18"/>
                <w:szCs w:val="18"/>
                <w:highlight w:val="none"/>
              </w:rPr>
            </w:pP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40" w:hRule="atLeast"/>
          <w:jc w:val="center"/>
        </w:trPr>
        <w:tc>
          <w:tcPr>
            <w:tcW w:w="990" w:type="dxa"/>
            <w:vMerge w:val="continue"/>
            <w:shd w:val="clear" w:color="auto" w:fill="auto"/>
            <w:vAlign w:val="center"/>
          </w:tcPr>
          <w:p>
            <w:pPr>
              <w:jc w:val="center"/>
              <w:rPr>
                <w:rFonts w:ascii="Times New Roman" w:hAnsi="Times New Roman" w:eastAsia="仿宋_GB2312" w:cs="Times New Roman"/>
                <w:color w:val="auto"/>
                <w:sz w:val="18"/>
                <w:szCs w:val="18"/>
                <w:highlight w:val="none"/>
              </w:rPr>
            </w:pPr>
          </w:p>
        </w:tc>
        <w:tc>
          <w:tcPr>
            <w:tcW w:w="997"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w:t>临时措施</w: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14560" behindDoc="0" locked="0" layoutInCell="1" allowOverlap="1">
                      <wp:simplePos x="0" y="0"/>
                      <wp:positionH relativeFrom="column">
                        <wp:posOffset>24765</wp:posOffset>
                      </wp:positionH>
                      <wp:positionV relativeFrom="paragraph">
                        <wp:posOffset>80010</wp:posOffset>
                      </wp:positionV>
                      <wp:extent cx="3398520" cy="0"/>
                      <wp:effectExtent l="0" t="13970" r="11430" b="24130"/>
                      <wp:wrapNone/>
                      <wp:docPr id="113" name="直接箭头连接符 113"/>
                      <wp:cNvGraphicFramePr/>
                      <a:graphic xmlns:a="http://schemas.openxmlformats.org/drawingml/2006/main">
                        <a:graphicData uri="http://schemas.microsoft.com/office/word/2010/wordprocessingShape">
                          <wps:wsp>
                            <wps:cNvCnPr>
                              <a:cxnSpLocks noChangeShapeType="1"/>
                            </wps:cNvCnPr>
                            <wps:spPr bwMode="auto">
                              <a:xfrm>
                                <a:off x="0" y="0"/>
                                <a:ext cx="3398520" cy="0"/>
                              </a:xfrm>
                              <a:prstGeom prst="straightConnector1">
                                <a:avLst/>
                              </a:prstGeom>
                              <a:noFill/>
                              <a:ln w="28575">
                                <a:solidFill>
                                  <a:srgbClr val="0070C0"/>
                                </a:solidFill>
                                <a:prstDash val="lgDash"/>
                                <a:round/>
                              </a:ln>
                            </wps:spPr>
                            <wps:bodyPr/>
                          </wps:wsp>
                        </a:graphicData>
                      </a:graphic>
                    </wp:anchor>
                  </w:drawing>
                </mc:Choice>
                <mc:Fallback>
                  <w:pict>
                    <v:shape id="_x0000_s1026" o:spid="_x0000_s1026" o:spt="32" type="#_x0000_t32" style="position:absolute;left:0pt;margin-left:1.95pt;margin-top:6.3pt;height:0pt;width:267.6pt;z-index:251714560;mso-width-relative:page;mso-height-relative:page;" filled="f" stroked="t" coordsize="21600,21600" o:gfxdata="UEsDBAoAAAAAAIdO4kAAAAAAAAAAAAAAAAAEAAAAZHJzL1BLAwQUAAAACACHTuJABt2YJdQAAAAH&#10;AQAADwAAAGRycy9kb3ducmV2LnhtbE2OzU7DMBCE70i8g7VI3KiTVlQ0jVMBEie40CBQb068JKH2&#10;OrLdNrw9iziU4/xo5is3k7PiiCEOnhTkswwEUuvNQJ2Ct/rp5g5ETJqMtp5QwTdG2FSXF6UujD/R&#10;Kx63qRM8QrHQCvqUxkLK2PbodJz5EYmzTx+cTixDJ03QJx53Vs6zbCmdHogfej3iY4/tfntwCh6a&#10;evd1P35M9cveNv69ee7yKSh1fZVnaxAJp3Quwy8+o0PFTI0/kInCKlisuMj2fAmC49vFKgfR/Bmy&#10;KuV//uoHUEsDBBQAAAAIAIdO4kB4XxiIBQIAAN0DAAAOAAAAZHJzL2Uyb0RvYy54bWytU8FuEzEQ&#10;vSPxD5bvZDeJQsMqmx4SlUuBSC0f4Hi9uxa2x7KdbPIT/AASJ+BEOfXO10D5DMbeJNBy6YGLNfbM&#10;vJl58zw732lFtsJ5Caakw0FOiTAcKmmakr69vng2pcQHZiqmwIiS7oWn5/OnT2adLcQIWlCVcARB&#10;jC86W9I2BFtkmeet0MwPwAqDzhqcZgGvrskqxzpE1yob5fnzrANXWQdceI+vy95JD4juMYBQ15KL&#10;JfCNFib0qE4oFnAk30rr6Tx1W9eChzd17UUgqqQ4aUgnFkF7Hc9sPmNF45htJT+0wB7TwoOZNJMG&#10;i56gliwwsnHyHygtuQMPdRhw0Fk/SGIEpxjmD7i5apkVaRak2tsT6f7/wfLX25UjskIlDMeUGKZx&#10;5Xcfbn++/3z37ebHp9tf3z9G++sXEgOQrs76ArMWZuXiwHxnruwl8HeeGFi0zDQitX29t4g0jBnZ&#10;vZR48RaLrrtXUGEM2wRI3O1qpyMkskJ2aUX704rELhCOj+Pxi+lkhNvjR1/GimOidT68FKBJNErq&#10;g2OyacMCjEEhgBumMmx76UNsixXHhFjVwIVUKulBGdKVdDSdnE1Shgclq+iNcd4164VyZMuipPKz&#10;fJFUhGj3wiL0kvm2j1NNtHu1OdiYqq+vzIGdSEhP7Rqq/codWcOtp0YPCo2y+vuesv/8yv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t2YJdQAAAAHAQAADwAAAAAAAAABACAAAAAiAAAAZHJzL2Rv&#10;d25yZXYueG1sUEsBAhQAFAAAAAgAh07iQHhfGIgFAgAA3QMAAA4AAAAAAAAAAQAgAAAAIwEAAGRy&#10;cy9lMm9Eb2MueG1sUEsFBgAAAAAGAAYAWQEAAJoFAAAAAA==&#10;">
                      <v:fill on="f" focussize="0,0"/>
                      <v:stroke weight="2.25pt" color="#0070C0" joinstyle="round" dashstyle="longDash"/>
                      <v:imagedata o:title=""/>
                      <o:lock v:ext="edit" aspectratio="f"/>
                    </v:shape>
                  </w:pict>
                </mc:Fallback>
              </mc:AlternateContent>
            </w:r>
          </w:p>
        </w:tc>
        <w:tc>
          <w:tcPr>
            <w:tcW w:w="1172"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shd w:val="clear" w:color="auto" w:fill="auto"/>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c>
          <w:tcPr>
            <w:tcW w:w="1114" w:type="dxa"/>
            <w:vAlign w:val="center"/>
          </w:tcPr>
          <w:p>
            <w:pPr>
              <w:jc w:val="center"/>
              <w:rPr>
                <w:rFonts w:ascii="Times New Roman" w:hAnsi="Times New Roman" w:eastAsia="仿宋_GB2312" w:cs="Times New Roman"/>
                <w:color w:val="auto"/>
                <w:sz w:val="18"/>
                <w:szCs w:val="18"/>
                <w:highlight w:val="none"/>
              </w:rPr>
            </w:pPr>
          </w:p>
        </w:tc>
      </w:tr>
    </w:tbl>
    <w:p>
      <w:pPr>
        <w:rPr>
          <w:rFonts w:ascii="Times New Roman" w:hAnsi="Times New Roman" w:eastAsia="宋体" w:cs="Times New Roman"/>
          <w:color w:val="auto"/>
          <w:szCs w:val="21"/>
        </w:rPr>
      </w:pPr>
      <w:r>
        <w:rPr>
          <w:rFonts w:ascii="Times New Roman" w:hAnsi="Times New Roman" w:eastAsia="仿宋_GB2312" w:cs="Times New Roman"/>
          <w:color w:val="auto"/>
          <w:sz w:val="18"/>
          <w:szCs w:val="18"/>
          <w:highlight w:val="none"/>
        </w:rPr>
        <mc:AlternateContent>
          <mc:Choice Requires="wps">
            <w:drawing>
              <wp:anchor distT="0" distB="0" distL="114300" distR="114300" simplePos="0" relativeHeight="251727872" behindDoc="0" locked="0" layoutInCell="1" allowOverlap="1">
                <wp:simplePos x="0" y="0"/>
                <wp:positionH relativeFrom="column">
                  <wp:posOffset>4505960</wp:posOffset>
                </wp:positionH>
                <wp:positionV relativeFrom="paragraph">
                  <wp:posOffset>89535</wp:posOffset>
                </wp:positionV>
                <wp:extent cx="828040" cy="1270"/>
                <wp:effectExtent l="0" t="13970" r="10160" b="22860"/>
                <wp:wrapNone/>
                <wp:docPr id="76" name="直接箭头连接符 76"/>
                <wp:cNvGraphicFramePr/>
                <a:graphic xmlns:a="http://schemas.openxmlformats.org/drawingml/2006/main">
                  <a:graphicData uri="http://schemas.microsoft.com/office/word/2010/wordprocessingShape">
                    <wps:wsp>
                      <wps:cNvCnPr>
                        <a:cxnSpLocks noChangeShapeType="1"/>
                      </wps:cNvCnPr>
                      <wps:spPr bwMode="auto">
                        <a:xfrm>
                          <a:off x="0" y="0"/>
                          <a:ext cx="828040" cy="1270"/>
                        </a:xfrm>
                        <a:prstGeom prst="straightConnector1">
                          <a:avLst/>
                        </a:prstGeom>
                        <a:noFill/>
                        <a:ln w="28575">
                          <a:solidFill>
                            <a:srgbClr val="0070C0"/>
                          </a:solidFill>
                          <a:prstDash val="lgDash"/>
                          <a:round/>
                        </a:ln>
                      </wps:spPr>
                      <wps:bodyPr/>
                    </wps:wsp>
                  </a:graphicData>
                </a:graphic>
              </wp:anchor>
            </w:drawing>
          </mc:Choice>
          <mc:Fallback>
            <w:pict>
              <v:shape id="_x0000_s1026" o:spid="_x0000_s1026" o:spt="32" type="#_x0000_t32" style="position:absolute;left:0pt;margin-left:354.8pt;margin-top:7.05pt;height:0.1pt;width:65.2pt;z-index:251727872;mso-width-relative:page;mso-height-relative:page;" filled="f" stroked="t" coordsize="21600,21600" o:gfxdata="UEsDBAoAAAAAAIdO4kAAAAAAAAAAAAAAAAAEAAAAZHJzL1BLAwQUAAAACACHTuJAf6HHHNcAAAAJ&#10;AQAADwAAAGRycy9kb3ducmV2LnhtbE2PwU7DMBBE70j8g7VI3KgdqEoJcSpA4gQXGkTVmx2bJNRe&#10;R7bbhr9neyrHnXmanalWk3fsYGMaAkooZgKYxTaYATsJn83rzRJYygqNcgGthF+bYFVfXlSqNOGI&#10;H/awzh2jEEylktDnPJacp7a3XqVZGC2S9x2iV5nO2HET1ZHCveO3Qiy4VwPSh16N9qW37W699xKe&#10;dbP9eRo3U/O+czp86beumKKU11eFeASW7ZTPMJzqU3WoqZMOezSJOQn34mFBKBnzAhgBy7mgcfok&#10;3AGvK/5/Qf0HUEsDBBQAAAAIAIdO4kA9/BdBBgIAAN0DAAAOAAAAZHJzL2Uyb0RvYy54bWytU8Fu&#10;EzEQvSPxD5bvZDcRbaJVNz0kKpcCkVo+wPF6dy28HsvjZJOf4AeQOAEn4NQ7XwPlMxh7k0LLpQcu&#10;1tgz82bem/HZ+a4zbKs8arAlH49yzpSVUGnblPzN9cWzGWcYhK2EAatKvlfIz+dPn5z1rlATaMFU&#10;yjMCsVj0ruRtCK7IMpSt6gSOwClLzhp8JwJdfZNVXvSE3plskuenWQ++ch6kQqTX5eDkB0T/GECo&#10;ay3VEuSmUzYMqF4ZEYgSttohn6du61rJ8LquUQVmSk5MQzqpCNnreGbzM1E0XrhWy0ML4jEtPODU&#10;CW2p6B3UUgTBNl7/A9Vp6QGhDiMJXTYQSYoQi3H+QJurVjiVuJDU6O5Ex/8HK19tV57pquTTU86s&#10;6Gjit+9vfr77dPvt64+PN7++f4j2l8+M/CRW77CgnIVd+UhX7uyVuwT5FpmFRStso1LT13tHQOOY&#10;kd1LiRd0VHLdv4SKYsQmQFJuV/suQpImbJcGtL8bkNoFJulxNpnlz2l0klzjyTSNLxPFMdV5DC8U&#10;dCwaJcfghW7asABraRHAj1Mhsb3EEBsTxTEh1rVwoY1J+2As60s+mZ1MT1IGgtFV9MY49M16YTzb&#10;irhS+TRfHNu4FxahlwLbIc400R62zcPGVkN9Yw/6REkGcddQ7Vf+qBtNPTV62NC4Vn/fU/afXzn/&#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hxxzXAAAACQEAAA8AAAAAAAAAAQAgAAAAIgAAAGRy&#10;cy9kb3ducmV2LnhtbFBLAQIUABQAAAAIAIdO4kA9/BdBBgIAAN0DAAAOAAAAAAAAAAEAIAAAACYB&#10;AABkcnMvZTJvRG9jLnhtbFBLBQYAAAAABgAGAFkBAACeBQAAAAA=&#10;">
                <v:fill on="f" focussize="0,0"/>
                <v:stroke weight="2.25pt" color="#0070C0" joinstyle="round" dashstyle="longDash"/>
                <v:imagedata o:title=""/>
                <o:lock v:ext="edit" aspectratio="f"/>
              </v:shape>
            </w:pict>
          </mc:Fallback>
        </mc:AlternateContent>
      </w:r>
      <w:r>
        <w:rPr>
          <w:rFonts w:ascii="Times New Roman" w:hAnsi="Times New Roman" w:eastAsia="仿宋_GB2312" w:cs="Times New Roman"/>
          <w:color w:val="auto"/>
          <w:szCs w:val="21"/>
          <w:highlight w:val="none"/>
        </w:rPr>
        <mc:AlternateContent>
          <mc:Choice Requires="wps">
            <w:drawing>
              <wp:anchor distT="0" distB="0" distL="114300" distR="114300" simplePos="0" relativeHeight="251725824" behindDoc="0" locked="0" layoutInCell="1" allowOverlap="1">
                <wp:simplePos x="0" y="0"/>
                <wp:positionH relativeFrom="column">
                  <wp:posOffset>3292475</wp:posOffset>
                </wp:positionH>
                <wp:positionV relativeFrom="paragraph">
                  <wp:posOffset>82550</wp:posOffset>
                </wp:positionV>
                <wp:extent cx="539750" cy="0"/>
                <wp:effectExtent l="0" t="13970" r="12700" b="24130"/>
                <wp:wrapNone/>
                <wp:docPr id="73" name="直接箭头连接符 73"/>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8575">
                          <a:solidFill>
                            <a:srgbClr val="00B050"/>
                          </a:solidFill>
                          <a:prstDash val="lgDashDot"/>
                          <a:round/>
                        </a:ln>
                      </wps:spPr>
                      <wps:bodyPr/>
                    </wps:wsp>
                  </a:graphicData>
                </a:graphic>
              </wp:anchor>
            </w:drawing>
          </mc:Choice>
          <mc:Fallback>
            <w:pict>
              <v:shape id="_x0000_s1026" o:spid="_x0000_s1026" o:spt="32" type="#_x0000_t32" style="position:absolute;left:0pt;margin-left:259.25pt;margin-top:6.5pt;height:0pt;width:42.5pt;z-index:251725824;mso-width-relative:page;mso-height-relative:page;" filled="f" stroked="t" coordsize="21600,21600" o:gfxdata="UEsDBAoAAAAAAIdO4kAAAAAAAAAAAAAAAAAEAAAAZHJzL1BLAwQUAAAACACHTuJAh1CBd9YAAAAJ&#10;AQAADwAAAGRycy9kb3ducmV2LnhtbE2PzU7DMBCE70i8g7VI3KgdolZViNNDEXAACTVF4urG2zhq&#10;vE5j9+/tWcShHHfm0+xMuTj7XhxxjF0gDdlEgUBqgu2o1fC1fnmYg4jJkDV9INRwwQiL6vamNIUN&#10;J1rhsU6t4BCKhdHgUhoKKWPj0Js4CQMSe9swepP4HFtpR3PicN/LR6Vm0puO+IMzAy4dNrv64DX4&#10;1/X3No6rff58cdn724fcD/Wn1vd3mXoCkfCcrjD81ufqUHGnTTiQjaLXMM3mU0bZyHkTAzOVs7D5&#10;E2RVyv8Lqh9QSwMEFAAAAAgAh07iQM9MxlYGAgAA3QMAAA4AAABkcnMvZTJvRG9jLnhtbK1TwW4T&#10;MRC9I/EPlu9kk1QhZZVNJRKVS4FKLR/geL27Fl6P5XGyyU/wA0icgBNw6p2vgfIZjL1JoOXSAxdr&#10;7Jn3ZubNeHa2bQ3bKI8abMFHgyFnykoota0L/ub6/MkpZxiELYUBqwq+U8jP5o8fzTqXqzE0YErl&#10;GZFYzDtX8CYEl2cZyka1AgfglCVnBb4Vga6+zkovOmJvTTYeDp9mHfjSeZAKkV6XvZPvGf1DCKGq&#10;tFRLkOtW2dCzemVEoJaw0Q75PFVbVUqG11WFKjBTcOo0pJOSkL2KZzafibz2wjVa7ksQDynhXk+t&#10;0JaSHqmWIgi29vofqlZLDwhVGEhos76RpAh1MRre0+aqEU6lXkhqdEfR8f/RylebS890WfDpCWdW&#10;tDTx2/c3P999uv329cfHm1/fP0T7y2dGfhKrc5gTZmEvfWxXbu2VuwD5FpmFRSNsrVLR1ztHRKOI&#10;yO5A4gUdpVx1L6GkGLEOkJTbVr6NlKQJ26YB7Y4DUtvAJD1OTp5NJzQ6eXBlIj/gnMfwQkHLolFw&#10;DF7ougkLsJa2APwoZRGbCwyxKpEfADGphXNtTFoGY1lX8PHpZDpJCASjy+iNcejr1cJ4thFxn4bP&#10;h1RNz3YnLFIvBTZ9nKmjvYTQb5uHtS17kLF7faIkvbgrKHeXPrqjVDT1VOt+Q+Na/X1PUX9+5f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1CBd9YAAAAJAQAADwAAAAAAAAABACAAAAAiAAAAZHJz&#10;L2Rvd25yZXYueG1sUEsBAhQAFAAAAAgAh07iQM9MxlYGAgAA3QMAAA4AAAAAAAAAAQAgAAAAJQEA&#10;AGRycy9lMm9Eb2MueG1sUEsFBgAAAAAGAAYAWQEAAJ0FAAAAAA==&#10;">
                <v:fill on="f" focussize="0,0"/>
                <v:stroke weight="2.25pt" color="#00B050" joinstyle="round" dashstyle="longDashDot"/>
                <v:imagedata o:title=""/>
                <o:lock v:ext="edit" aspectratio="f"/>
              </v:shape>
            </w:pict>
          </mc:Fallback>
        </mc:AlternateContent>
      </w:r>
      <w:r>
        <w:rPr>
          <w:rFonts w:ascii="Times New Roman" w:hAnsi="Times New Roman" w:eastAsia="仿宋_GB2312" w:cs="Times New Roman"/>
          <w:color w:val="auto"/>
          <w:szCs w:val="21"/>
          <w:highlight w:val="none"/>
        </w:rPr>
        <mc:AlternateContent>
          <mc:Choice Requires="wps">
            <w:drawing>
              <wp:anchor distT="0" distB="0" distL="114300" distR="114300" simplePos="0" relativeHeight="251724800" behindDoc="0" locked="0" layoutInCell="1" allowOverlap="1">
                <wp:simplePos x="0" y="0"/>
                <wp:positionH relativeFrom="column">
                  <wp:posOffset>2166620</wp:posOffset>
                </wp:positionH>
                <wp:positionV relativeFrom="paragraph">
                  <wp:posOffset>93345</wp:posOffset>
                </wp:positionV>
                <wp:extent cx="539750" cy="0"/>
                <wp:effectExtent l="0" t="13970" r="0" b="24130"/>
                <wp:wrapNone/>
                <wp:docPr id="74" name="直接箭头连接符 74"/>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8575">
                          <a:solidFill>
                            <a:srgbClr val="FF0000"/>
                          </a:solidFill>
                          <a:prstDash val="dash"/>
                          <a:round/>
                        </a:ln>
                      </wps:spPr>
                      <wps:bodyPr/>
                    </wps:wsp>
                  </a:graphicData>
                </a:graphic>
              </wp:anchor>
            </w:drawing>
          </mc:Choice>
          <mc:Fallback>
            <w:pict>
              <v:shape id="_x0000_s1026" o:spid="_x0000_s1026" o:spt="32" type="#_x0000_t32" style="position:absolute;left:0pt;margin-left:170.6pt;margin-top:7.35pt;height:0pt;width:42.5pt;z-index:251724800;mso-width-relative:page;mso-height-relative:page;" filled="f" stroked="t" coordsize="21600,21600" o:gfxdata="UEsDBAoAAAAAAIdO4kAAAAAAAAAAAAAAAAAEAAAAZHJzL1BLAwQUAAAACACHTuJAduK9ZtcAAAAJ&#10;AQAADwAAAGRycy9kb3ducmV2LnhtbE2PwU7DMBBE70j8g7VIXBB1Eqy2CnF6qESrigOi8AHb2E0s&#10;4nUUO235exZxoMedeZqdqVYX34uTHaMLpCGfZSAsNcE4ajV8frw8LkHEhGSwD2Q1fNsIq/r2psLS&#10;hDO929M+tYJDKJaooUtpKKWMTWc9xlkYLLF3DKPHxOfYSjPimcN9L4ssm0uPjvhDh4Ndd7b52k9e&#10;w85st1O7GRq1cWrtH/D1ze0WWt/f5dkziGQv6R+G3/pcHWrudAgTmSh6DU8qLxhlQy1AMKCKOQuH&#10;P0HWlbxeUP8AUEsDBBQAAAAIAIdO4kBjPXloAwIAANgDAAAOAAAAZHJzL2Uyb0RvYy54bWytU7GO&#10;EzEQ7ZH4B8s92SQQcqyyuSJRaA6IdMcHOF5v1sLrsTxONvkJfgCJCqgOquv5Gjg+g7E3CcfRXMEW&#10;1tgz82bem9nJ+a4xbKs8arAFH/T6nCkrodR2XfC3V4snZ5xhELYUBqwq+F4hP58+fjRpXa6GUIMp&#10;lWcEYjFvXcHrEFyeZShr1QjsgVOWnBX4RgS6+nVWetESemOyYb//PGvBl86DVIj0Ou+c/IDoHwII&#10;VaWlmoPcNMqGDtUrIwJRwlo75NPUbVUpGd5UFarATMGJaUgnFSF7Fc9sOhH52gtXa3loQTykhXuc&#10;GqEtFT1BzUUQbOP1P1CNlh4QqtCT0GQdkaQIsRj072lzWQunEheSGt1JdPx/sPL1dumZLgs+fsaZ&#10;FQ1N/PbDzc/3n2+/ff3x6ebX94/Rvv7CyE9itQ5zypnZpY905c5euguQ75BZmNXCrlVq+mrvCGgQ&#10;M7K/UuIFHZVcta+gpBixCZCU21W+iZCkCdulAe1PA1K7wCQ9jp6+GI9odPLoykR+zHMew0sFDYtG&#10;wTF4odd1mIG1tAXgB6mK2F5giF2J/JgQi1pYaGPSMhjL2oIPz0bjUcpAMLqM3hiHfr2aGc+2gvZp&#10;sejTlziS525YhJ4LrLu4kqxu0TxsbNlVN/YgTVSj03UF5X7pj5LRwFObh+WMG3X3nrL//JDT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HbivWbXAAAACQEAAA8AAAAAAAAAAQAgAAAAIgAAAGRycy9k&#10;b3ducmV2LnhtbFBLAQIUABQAAAAIAIdO4kBjPXloAwIAANgDAAAOAAAAAAAAAAEAIAAAACYBAABk&#10;cnMvZTJvRG9jLnhtbFBLBQYAAAAABgAGAFkBAACbBQAAAAA=&#10;">
                <v:fill on="f" focussize="0,0"/>
                <v:stroke weight="2.25pt" color="#FF0000" joinstyle="round" dashstyle="dash"/>
                <v:imagedata o:title=""/>
                <o:lock v:ext="edit" aspectratio="f"/>
              </v:shape>
            </w:pict>
          </mc:Fallback>
        </mc:AlternateContent>
      </w:r>
      <w:r>
        <w:rPr>
          <w:rFonts w:ascii="Times New Roman" w:hAnsi="Times New Roman" w:eastAsia="仿宋_GB2312" w:cs="Times New Roman"/>
          <w:color w:val="auto"/>
          <w:szCs w:val="21"/>
          <w:highlight w:val="none"/>
        </w:rPr>
        <mc:AlternateContent>
          <mc:Choice Requires="wps">
            <w:drawing>
              <wp:anchor distT="0" distB="0" distL="114300" distR="114300" simplePos="0" relativeHeight="251726848" behindDoc="0" locked="0" layoutInCell="1" allowOverlap="1">
                <wp:simplePos x="0" y="0"/>
                <wp:positionH relativeFrom="column">
                  <wp:posOffset>967740</wp:posOffset>
                </wp:positionH>
                <wp:positionV relativeFrom="paragraph">
                  <wp:posOffset>83185</wp:posOffset>
                </wp:positionV>
                <wp:extent cx="539750" cy="0"/>
                <wp:effectExtent l="0" t="13970" r="12700" b="24130"/>
                <wp:wrapNone/>
                <wp:docPr id="75" name="直接箭头连接符 75"/>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8575">
                          <a:solidFill>
                            <a:sysClr val="windowText" lastClr="000000"/>
                          </a:solidFill>
                          <a:prstDash val="solid"/>
                          <a:round/>
                        </a:ln>
                      </wps:spPr>
                      <wps:bodyPr/>
                    </wps:wsp>
                  </a:graphicData>
                </a:graphic>
              </wp:anchor>
            </w:drawing>
          </mc:Choice>
          <mc:Fallback>
            <w:pict>
              <v:shape id="_x0000_s1026" o:spid="_x0000_s1026" o:spt="32" type="#_x0000_t32" style="position:absolute;left:0pt;margin-left:76.2pt;margin-top:6.55pt;height:0pt;width:42.5pt;z-index:251726848;mso-width-relative:page;mso-height-relative:page;" filled="f" stroked="t" coordsize="21600,21600" o:gfxdata="UEsDBAoAAAAAAIdO4kAAAAAAAAAAAAAAAAAEAAAAZHJzL1BLAwQUAAAACACHTuJAyjtc+NYAAAAJ&#10;AQAADwAAAGRycy9kb3ducmV2LnhtbE2PSU/DQAyF70j8h5GRuNFJ0rIoZNIDEgcQa9sDRzfjLJDx&#10;pJnp9u8x4gA3v+en58/F/OB6taMxdJ4NpJMEFHHlbceNgdXy/uIGVIjIFnvPZOBIAebl6UmBufV7&#10;fqfdIjZKSjjkaKCNcci1DlVLDsPED8Syq/3oMIocG21H3Eu563WWJFfaYcdyocWB7lqqvhZbZ2Dz&#10;8eCq+ukt+OXz8RFXn/XLbPNqzPlZmtyCinSIf2H4wRd0KIVp7bdsg+pFX2YzicowTUFJIJtei7H+&#10;NXRZ6P8flN9QSwMEFAAAAAgAh07iQGHuROMKAgAA7QMAAA4AAABkcnMvZTJvRG9jLnhtbK1TwY7T&#10;MBC9I/EPlu80bVHZJWq6h1bLZYFKWz7AdZzGwvFYHrdpf4IfQOIEnFhOe+drdpfPYOy0BcplD+Rg&#10;eTKZN++9mYwvto1hG+VRgy34oNfnTFkJpbargr9bXD475wyDsKUwYFXBdwr5xeTpk3HrcjWEGkyp&#10;PCMQi3nrCl6H4PIsQ1mrRmAPnLKUrMA3IlDoV1npRUvojcmG/f6LrAVfOg9SIdLbWZfke0T/GECo&#10;Ki3VDOS6UTZ0qF4ZEUgS1tohnyS2VaVkeFtVqAIzBSelIZ3UhO7LeGaTschXXrhayz0F8RgKJ5oa&#10;oS01PULNRBBs7fU/UI2WHhCq0JPQZJ2Q5AipGPRPvLmuhVNJC1mN7mg6/j9Y+WYz90yXBT8bcWZF&#10;QxN/+Hh7/+HLw/ebu8+3P398ivdvXxnlyazWYU41Uzv3Ua7c2mt3BfI9MgvTWtiVSqQXO0dAg1iR&#10;/VUSA3TUctm+hpK+EesAyblt5ZsISZ6wbRrQ7jggtQ1M0svR85dnIxqdPKQykR/qnMfwSkHD4qXg&#10;GLzQqzpMwVraAvCD1EVsrjBEViI/FMSmFi61MWkZjGVtwYfnIxIcUwhGlzGbgh1OjWcbQetEO11C&#10;uyBunBmBgRJEOD1J90lpbDcTWHfFCbXbPg9rW3aUjN37FS3qzF5CuZv7g4+0BYn7fmPjmv0Zp+rf&#10;f+nk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o7XPjWAAAACQEAAA8AAAAAAAAAAQAgAAAAIgAA&#10;AGRycy9kb3ducmV2LnhtbFBLAQIUABQAAAAIAIdO4kBh7kTjCgIAAO0DAAAOAAAAAAAAAAEAIAAA&#10;ACUBAABkcnMvZTJvRG9jLnhtbFBLBQYAAAAABgAGAFkBAAChBQAAAAA=&#10;">
                <v:fill on="f" focussize="0,0"/>
                <v:stroke weight="2.25pt" color="#000000" joinstyle="round"/>
                <v:imagedata o:title=""/>
                <o:lock v:ext="edit" aspectratio="f"/>
              </v:shape>
            </w:pict>
          </mc:Fallback>
        </mc:AlternateContent>
      </w:r>
      <w:r>
        <w:rPr>
          <w:rFonts w:ascii="Times New Roman" w:hAnsi="Times New Roman" w:eastAsia="仿宋_GB2312" w:cs="Times New Roman"/>
          <w:color w:val="auto"/>
          <w:szCs w:val="21"/>
          <w:highlight w:val="none"/>
        </w:rPr>
        <w:t xml:space="preserve">图例：主体工程          工程措施         </w:t>
      </w:r>
      <w:r>
        <w:rPr>
          <w:rFonts w:ascii="Times New Roman" w:hAnsi="Times New Roman" w:eastAsia="仿宋_GB2312" w:cs="Times New Roman"/>
          <w:color w:val="auto"/>
          <w:szCs w:val="21"/>
        </w:rPr>
        <w:t>植物措施          临时措施</w:t>
      </w:r>
    </w:p>
    <w:p>
      <w:pPr>
        <w:pStyle w:val="54"/>
        <w:spacing w:before="0" w:after="0"/>
        <w:outlineLvl w:val="9"/>
        <w:rPr>
          <w:rFonts w:ascii="Times New Roman" w:hAnsi="Times New Roman"/>
          <w:color w:val="auto"/>
          <w:sz w:val="21"/>
          <w:szCs w:val="21"/>
        </w:rPr>
        <w:sectPr>
          <w:headerReference r:id="rId11" w:type="default"/>
          <w:pgSz w:w="11906" w:h="16838"/>
          <w:pgMar w:top="1418" w:right="1588" w:bottom="1418" w:left="1701" w:header="851" w:footer="850" w:gutter="0"/>
          <w:pgBorders>
            <w:top w:val="none" w:sz="0" w:space="0"/>
            <w:left w:val="none" w:sz="0" w:space="0"/>
            <w:bottom w:val="none" w:sz="0" w:space="0"/>
            <w:right w:val="none" w:sz="0" w:space="0"/>
          </w:pgBorders>
          <w:pgNumType w:fmt="decimal"/>
          <w:cols w:space="425" w:num="1"/>
          <w:docGrid w:linePitch="312" w:charSpace="0"/>
        </w:sectPr>
      </w:pPr>
    </w:p>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r>
        <w:rPr>
          <w:rFonts w:ascii="Times New Roman" w:hAnsi="Times New Roman" w:eastAsia="仿宋_GB2312" w:cs="Times New Roman"/>
          <w:b/>
          <w:bCs/>
          <w:color w:val="auto"/>
          <w:kern w:val="44"/>
          <w:sz w:val="44"/>
          <w:szCs w:val="44"/>
          <w:lang w:val="zh-CN"/>
        </w:rPr>
        <w:fldChar w:fldCharType="begin">
          <w:fldData xml:space="preserve">XwBjAHAAXwBWAFQAbgBMAGUAQQBGAHQAcgBsAEkAQgBUAGIAUgBRAHcARQAwAEkAbQBoAEcATgBl
ADEASwBFAFQAVABMAFYAcgArAEsAZgB4AGMAegB1AHAAZQBWAGsANAA2AEYAKwBlAHgAcgBlAGQA
ZwA9AD0A
</w:fldData>
        </w:fldChar>
      </w:r>
      <w:r>
        <w:rPr>
          <w:rFonts w:ascii="Times New Roman" w:hAnsi="Times New Roman" w:eastAsia="仿宋_GB2312" w:cs="Times New Roman"/>
          <w:b/>
          <w:bCs/>
          <w:color w:val="auto"/>
          <w:kern w:val="44"/>
          <w:sz w:val="44"/>
          <w:szCs w:val="44"/>
          <w:lang w:val="zh-CN"/>
        </w:rPr>
        <w:instrText xml:space="preserve">ADDIN _cp_ \* MERGEFORMAT</w:instrText>
      </w:r>
      <w:r>
        <w:rPr>
          <w:rFonts w:ascii="Times New Roman" w:hAnsi="Times New Roman" w:eastAsia="仿宋_GB2312" w:cs="Times New Roman"/>
          <w:b/>
          <w:bCs/>
          <w:color w:val="auto"/>
          <w:kern w:val="44"/>
          <w:sz w:val="44"/>
          <w:szCs w:val="44"/>
          <w:lang w:val="zh-CN"/>
        </w:rPr>
        <w:fldChar w:fldCharType="separate"/>
      </w:r>
      <w:bookmarkStart w:id="248" w:name="_Toc74588700"/>
      <w:bookmarkStart w:id="249" w:name="_Toc74588751"/>
      <w:r>
        <w:rPr>
          <w:rFonts w:ascii="Times New Roman" w:hAnsi="Times New Roman" w:eastAsia="仿宋_GB2312" w:cs="Times New Roman"/>
          <w:b/>
          <w:bCs/>
          <w:color w:val="auto"/>
          <w:kern w:val="44"/>
          <w:sz w:val="44"/>
          <w:szCs w:val="44"/>
          <w:lang w:val="zh-CN"/>
        </w:rPr>
        <w:t>6</w:t>
      </w:r>
      <w:r>
        <w:rPr>
          <w:rFonts w:ascii="Times New Roman" w:hAnsi="Times New Roman" w:eastAsia="仿宋_GB2312" w:cs="Times New Roman"/>
          <w:b/>
          <w:bCs/>
          <w:color w:val="auto"/>
          <w:kern w:val="44"/>
          <w:sz w:val="44"/>
          <w:szCs w:val="44"/>
          <w:lang w:val="zh-CN"/>
        </w:rPr>
        <w:fldChar w:fldCharType="end"/>
      </w:r>
      <w:r>
        <w:rPr>
          <w:rFonts w:ascii="Times New Roman" w:hAnsi="Times New Roman" w:eastAsia="仿宋_GB2312" w:cs="Times New Roman"/>
          <w:b/>
          <w:bCs/>
          <w:color w:val="auto"/>
          <w:kern w:val="44"/>
          <w:sz w:val="44"/>
          <w:szCs w:val="44"/>
          <w:lang w:val="zh-CN"/>
        </w:rPr>
        <w:t>水土保持监测</w:t>
      </w:r>
      <w:bookmarkEnd w:id="248"/>
      <w:bookmarkEnd w:id="249"/>
    </w:p>
    <w:p>
      <w:pPr>
        <w:pStyle w:val="8"/>
        <w:ind w:firstLine="480"/>
        <w:rPr>
          <w:rFonts w:ascii="Times New Roman" w:hAnsi="Times New Roman"/>
          <w:color w:val="auto"/>
          <w:lang w:val="zh-CN"/>
        </w:rPr>
      </w:pPr>
      <w:r>
        <w:rPr>
          <w:rFonts w:ascii="Times New Roman" w:hAnsi="Times New Roman"/>
          <w:color w:val="auto"/>
        </w:rPr>
        <w:t>按</w:t>
      </w:r>
      <w:r>
        <w:rPr>
          <w:color w:val="auto"/>
        </w:rPr>
        <w:t>按照《水利部关于进一步深化“放管服”改革全面加强水土保持监管的意见》（水保〔2019〕160号）未对编制水土保持方案报告表的项目作出开展水土保持监测工作的要求。因此，</w:t>
      </w:r>
      <w:r>
        <w:rPr>
          <w:rFonts w:hint="eastAsia"/>
          <w:color w:val="auto"/>
        </w:rPr>
        <w:t>本项目可不开展</w:t>
      </w:r>
      <w:r>
        <w:rPr>
          <w:color w:val="auto"/>
        </w:rPr>
        <w:t>水土保持监测</w:t>
      </w:r>
      <w:r>
        <w:rPr>
          <w:rFonts w:hint="eastAsia"/>
          <w:color w:val="auto"/>
        </w:rPr>
        <w:t>，但应做好建设过程中的水土保持工作</w:t>
      </w:r>
      <w:r>
        <w:rPr>
          <w:rFonts w:ascii="Times New Roman" w:hAnsi="Times New Roman"/>
          <w:color w:val="auto"/>
        </w:rPr>
        <w:t>。</w:t>
      </w:r>
    </w:p>
    <w:p>
      <w:pPr>
        <w:pStyle w:val="54"/>
        <w:spacing w:before="0" w:after="0"/>
        <w:outlineLvl w:val="9"/>
        <w:rPr>
          <w:rFonts w:ascii="Times New Roman" w:hAnsi="Times New Roman"/>
          <w:color w:val="auto"/>
        </w:rPr>
        <w:sectPr>
          <w:headerReference r:id="rId12" w:type="default"/>
          <w:pgSz w:w="11906" w:h="16838"/>
          <w:pgMar w:top="1418" w:right="1588" w:bottom="1418" w:left="1701" w:header="851" w:footer="850" w:gutter="0"/>
          <w:pgBorders>
            <w:top w:val="none" w:sz="0" w:space="0"/>
            <w:left w:val="none" w:sz="0" w:space="0"/>
            <w:bottom w:val="none" w:sz="0" w:space="0"/>
            <w:right w:val="none" w:sz="0" w:space="0"/>
          </w:pgBorders>
          <w:pgNumType w:fmt="decimal"/>
          <w:cols w:space="425" w:num="1"/>
          <w:docGrid w:linePitch="312" w:charSpace="0"/>
        </w:sectPr>
      </w:pPr>
    </w:p>
    <w:p>
      <w:pPr>
        <w:keepNext/>
        <w:keepLines/>
        <w:snapToGrid w:val="0"/>
        <w:spacing w:before="120" w:beforeLines="50" w:after="120" w:afterLines="50" w:line="360" w:lineRule="auto"/>
        <w:jc w:val="center"/>
        <w:outlineLvl w:val="0"/>
        <w:rPr>
          <w:rFonts w:ascii="Times New Roman" w:hAnsi="Times New Roman" w:eastAsia="仿宋" w:cs="Times New Roman"/>
          <w:b/>
          <w:bCs/>
          <w:color w:val="auto"/>
          <w:kern w:val="44"/>
          <w:sz w:val="44"/>
          <w:szCs w:val="44"/>
        </w:rPr>
      </w:pPr>
      <w:bookmarkStart w:id="250" w:name="_Toc74588752"/>
      <w:bookmarkStart w:id="251" w:name="_Toc5698834"/>
      <w:bookmarkStart w:id="252" w:name="_Toc8379084"/>
      <w:bookmarkStart w:id="253" w:name="_Toc5725780"/>
      <w:bookmarkStart w:id="254" w:name="_Toc74588701"/>
      <w:r>
        <w:rPr>
          <w:rFonts w:ascii="Times New Roman" w:hAnsi="Times New Roman" w:eastAsia="仿宋_GB2312" w:cs="Times New Roman"/>
          <w:b/>
          <w:bCs/>
          <w:color w:val="auto"/>
          <w:kern w:val="44"/>
          <w:sz w:val="44"/>
          <w:szCs w:val="44"/>
          <w:lang w:val="zh-CN"/>
        </w:rPr>
        <w:t>7水土保持投资</w:t>
      </w:r>
      <w:r>
        <w:rPr>
          <w:rFonts w:hint="eastAsia" w:ascii="Times New Roman" w:hAnsi="Times New Roman" w:eastAsia="仿宋_GB2312" w:cs="Times New Roman"/>
          <w:b/>
          <w:bCs/>
          <w:color w:val="auto"/>
          <w:kern w:val="44"/>
          <w:sz w:val="44"/>
          <w:szCs w:val="44"/>
        </w:rPr>
        <w:t>概算</w:t>
      </w:r>
      <w:r>
        <w:rPr>
          <w:rFonts w:ascii="Times New Roman" w:hAnsi="Times New Roman" w:eastAsia="仿宋_GB2312" w:cs="Times New Roman"/>
          <w:b/>
          <w:bCs/>
          <w:color w:val="auto"/>
          <w:kern w:val="44"/>
          <w:sz w:val="44"/>
          <w:szCs w:val="44"/>
          <w:lang w:val="zh-CN"/>
        </w:rPr>
        <w:t>及效益分析</w:t>
      </w:r>
      <w:bookmarkEnd w:id="250"/>
      <w:bookmarkEnd w:id="251"/>
      <w:bookmarkEnd w:id="252"/>
      <w:bookmarkEnd w:id="253"/>
      <w:bookmarkEnd w:id="254"/>
    </w:p>
    <w:p>
      <w:pPr>
        <w:widowControl w:val="0"/>
        <w:spacing w:before="120" w:beforeLines="50" w:after="120" w:afterLines="50" w:line="360" w:lineRule="auto"/>
        <w:outlineLvl w:val="1"/>
        <w:rPr>
          <w:rFonts w:ascii="Times New Roman" w:hAnsi="Times New Roman" w:eastAsia="仿宋" w:cs="Times New Roman"/>
          <w:b/>
          <w:color w:val="auto"/>
          <w:sz w:val="30"/>
          <w:szCs w:val="30"/>
        </w:rPr>
      </w:pPr>
      <w:bookmarkStart w:id="255" w:name="_Toc5725781"/>
      <w:bookmarkStart w:id="256" w:name="_Toc74588702"/>
      <w:bookmarkStart w:id="257" w:name="_Toc8379085"/>
      <w:bookmarkStart w:id="258" w:name="_Toc74588753"/>
      <w:bookmarkStart w:id="259" w:name="_Toc5698835"/>
      <w:r>
        <w:rPr>
          <w:rFonts w:ascii="Times New Roman" w:hAnsi="Times New Roman" w:eastAsia="仿宋" w:cs="Times New Roman"/>
          <w:b/>
          <w:color w:val="auto"/>
          <w:sz w:val="30"/>
          <w:szCs w:val="30"/>
        </w:rPr>
        <w:t>7.1投资估算</w:t>
      </w:r>
      <w:bookmarkEnd w:id="255"/>
      <w:bookmarkEnd w:id="256"/>
      <w:bookmarkEnd w:id="257"/>
      <w:bookmarkEnd w:id="258"/>
      <w:bookmarkEnd w:id="259"/>
    </w:p>
    <w:p>
      <w:pPr>
        <w:widowControl w:val="0"/>
        <w:adjustRightInd w:val="0"/>
        <w:snapToGrid w:val="0"/>
        <w:spacing w:before="120" w:beforeLines="50" w:after="120" w:afterLines="50" w:line="360" w:lineRule="auto"/>
        <w:outlineLvl w:val="2"/>
        <w:rPr>
          <w:rFonts w:ascii="Times New Roman" w:hAnsi="Times New Roman" w:eastAsia="仿宋_GB2312" w:cs="Times New Roman"/>
          <w:b/>
          <w:color w:val="auto"/>
          <w:sz w:val="28"/>
          <w:szCs w:val="24"/>
        </w:rPr>
      </w:pPr>
      <w:bookmarkStart w:id="260" w:name="_Toc5725782"/>
      <w:bookmarkStart w:id="261" w:name="_Toc5720821"/>
      <w:bookmarkStart w:id="262" w:name="_Toc5698836"/>
      <w:r>
        <w:rPr>
          <w:rFonts w:ascii="Times New Roman" w:hAnsi="Times New Roman" w:eastAsia="仿宋_GB2312" w:cs="Times New Roman"/>
          <w:b/>
          <w:color w:val="auto"/>
          <w:sz w:val="28"/>
          <w:szCs w:val="24"/>
        </w:rPr>
        <w:t>7.1.1编制原则及依据</w:t>
      </w:r>
      <w:bookmarkEnd w:id="260"/>
      <w:bookmarkEnd w:id="261"/>
      <w:bookmarkEnd w:id="262"/>
    </w:p>
    <w:p>
      <w:pPr>
        <w:pStyle w:val="7"/>
        <w:keepNext w:val="0"/>
        <w:keepLines w:val="0"/>
        <w:widowControl w:val="0"/>
        <w:spacing w:before="120" w:beforeLines="50" w:after="120" w:afterLines="50"/>
        <w:rPr>
          <w:rFonts w:ascii="Times New Roman" w:hAnsi="Times New Roman" w:cs="Times New Roman"/>
          <w:color w:val="auto"/>
        </w:rPr>
      </w:pPr>
      <w:r>
        <w:rPr>
          <w:rFonts w:ascii="Times New Roman" w:hAnsi="Times New Roman" w:cs="Times New Roman"/>
          <w:color w:val="auto"/>
        </w:rPr>
        <w:t>7.1.1.1编制原则</w:t>
      </w:r>
    </w:p>
    <w:p>
      <w:pPr>
        <w:widowControl w:val="0"/>
        <w:numPr>
          <w:ilvl w:val="0"/>
          <w:numId w:val="6"/>
        </w:numPr>
        <w:spacing w:line="360" w:lineRule="auto"/>
        <w:ind w:firstLine="48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根据《生产建设项目水土保持技术标准》（GB50433-2018）有关规定执行；</w:t>
      </w:r>
    </w:p>
    <w:p>
      <w:pPr>
        <w:widowControl w:val="0"/>
        <w:numPr>
          <w:ilvl w:val="0"/>
          <w:numId w:val="6"/>
        </w:numPr>
        <w:spacing w:line="360" w:lineRule="auto"/>
        <w:ind w:firstLine="48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价格水平年与基础单价、主要材料价格，编制定额、取费项目及相关费率等与主体工程相一致；主体工程中没有明确规定的，采用水利部《开发建设项目水土保持工程投资概（估）算编制规定》（水总〔2003〕67号）、《水土保持工程概算定额》、《四川省水利水电工程设计概（估）算编制规定》及相关行业、地方标准和当地现行价。</w:t>
      </w:r>
    </w:p>
    <w:p>
      <w:pPr>
        <w:widowControl w:val="0"/>
        <w:numPr>
          <w:ilvl w:val="0"/>
          <w:numId w:val="6"/>
        </w:numPr>
        <w:spacing w:line="360" w:lineRule="auto"/>
        <w:ind w:firstLine="48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费用构成按《四川省水利水电工程设计概（估）算编制规定》执行；</w:t>
      </w:r>
    </w:p>
    <w:p>
      <w:pPr>
        <w:widowControl w:val="0"/>
        <w:numPr>
          <w:ilvl w:val="0"/>
          <w:numId w:val="6"/>
        </w:numPr>
        <w:spacing w:line="360" w:lineRule="auto"/>
        <w:ind w:firstLine="48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本工程水土保持方案作为建设的一个重要内容，为保证工程投资的合理性，其价格水平年与主体工程估算的价格水平年一致，为2022年第</w:t>
      </w:r>
      <w:r>
        <w:rPr>
          <w:rFonts w:hint="eastAsia" w:ascii="Times New Roman" w:hAnsi="Times New Roman" w:eastAsia="仿宋" w:cs="Times New Roman"/>
          <w:color w:val="auto"/>
          <w:sz w:val="24"/>
          <w:szCs w:val="24"/>
          <w:lang w:val="en-US" w:eastAsia="zh-CN"/>
        </w:rPr>
        <w:t>3</w:t>
      </w:r>
      <w:r>
        <w:rPr>
          <w:rFonts w:ascii="Times New Roman" w:hAnsi="Times New Roman" w:eastAsia="仿宋" w:cs="Times New Roman"/>
          <w:color w:val="auto"/>
          <w:sz w:val="24"/>
          <w:szCs w:val="24"/>
        </w:rPr>
        <w:t>季度。</w:t>
      </w:r>
    </w:p>
    <w:p>
      <w:pPr>
        <w:pStyle w:val="7"/>
        <w:keepNext w:val="0"/>
        <w:keepLines w:val="0"/>
        <w:widowControl w:val="0"/>
        <w:spacing w:before="120" w:beforeLines="50" w:after="120" w:afterLines="50"/>
        <w:rPr>
          <w:rFonts w:cs="Times New Roman"/>
          <w:color w:val="auto"/>
        </w:rPr>
      </w:pPr>
      <w:r>
        <w:rPr>
          <w:rFonts w:cs="Times New Roman"/>
          <w:color w:val="auto"/>
        </w:rPr>
        <w:t>7.1.1.2编制依据</w:t>
      </w:r>
    </w:p>
    <w:p>
      <w:pPr>
        <w:widowControl w:val="0"/>
        <w:tabs>
          <w:tab w:val="left" w:pos="824"/>
        </w:tabs>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1）《水土保持工程概（估）算编制规定》（水利部水总〔2003〕67号）；</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2）《水土保持工程概算定额》（水利部水总〔2003〕67号）；</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3）《水土保持工程施工机械台时费定额》（水利部水总〔2003〕67号）；</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4）《水利水电工程设计工程量计算规定》（SL328-2005）；</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5）四川省水利厅川水发[2015]9号关于文颁发《四川省水利水电工程设计概（估）算编制规定》的通知；</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6）四川省发展和改革委员会、四川省财政厅印发《关于制定水土保持补偿费收费标准的通知》（川发改价格[2017]347号）；</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7）《水利部办公厅关于调整水利工程计价依据增值税计算标准的通知》（办财务函[2019]448号）；</w:t>
      </w:r>
    </w:p>
    <w:p>
      <w:pPr>
        <w:widowControl w:val="0"/>
        <w:spacing w:line="360" w:lineRule="auto"/>
        <w:ind w:firstLine="480" w:firstLineChars="200"/>
        <w:rPr>
          <w:rFonts w:ascii="Times New Roman" w:hAnsi="Times New Roman" w:eastAsia="仿宋" w:cs="Times New Roman"/>
          <w:color w:val="auto"/>
          <w:sz w:val="24"/>
          <w:szCs w:val="24"/>
        </w:rPr>
      </w:pPr>
      <w:r>
        <w:rPr>
          <w:rFonts w:ascii="Times New Roman" w:hAnsi="Times New Roman" w:eastAsia="仿宋" w:cs="Times New Roman"/>
          <w:color w:val="auto"/>
          <w:sz w:val="24"/>
          <w:szCs w:val="24"/>
        </w:rPr>
        <w:t>8）《四川省水利厅关于印发«增值税税率调整后&lt;四川省水利水电工程设计概(估)算编制规定&gt;相应调整办法»的通知（川水函〔2019〕610号）；</w:t>
      </w:r>
    </w:p>
    <w:p>
      <w:pPr>
        <w:widowControl w:val="0"/>
        <w:spacing w:line="360" w:lineRule="auto"/>
        <w:ind w:firstLine="480" w:firstLineChars="200"/>
        <w:rPr>
          <w:rFonts w:ascii="Times New Roman" w:hAnsi="Times New Roman" w:eastAsia="仿宋" w:cs="Times New Roman"/>
          <w:color w:val="auto"/>
          <w:sz w:val="24"/>
        </w:rPr>
      </w:pPr>
      <w:r>
        <w:rPr>
          <w:rFonts w:ascii="Times New Roman" w:hAnsi="Times New Roman" w:eastAsia="仿宋" w:cs="Times New Roman"/>
          <w:color w:val="auto"/>
          <w:sz w:val="24"/>
          <w:szCs w:val="24"/>
        </w:rPr>
        <w:t>9)主体工程设计资料。</w:t>
      </w:r>
    </w:p>
    <w:p>
      <w:pPr>
        <w:pStyle w:val="58"/>
        <w:spacing w:before="120" w:beforeLines="50" w:after="120" w:afterLines="50"/>
        <w:rPr>
          <w:color w:val="auto"/>
        </w:rPr>
      </w:pPr>
      <w:bookmarkStart w:id="263" w:name="_Toc5720822"/>
      <w:bookmarkStart w:id="264" w:name="_Toc5698837"/>
      <w:bookmarkStart w:id="265" w:name="_Toc5725783"/>
      <w:r>
        <w:rPr>
          <w:color w:val="auto"/>
        </w:rPr>
        <w:t>7.1.2编制说明与估算成果</w:t>
      </w:r>
      <w:bookmarkEnd w:id="263"/>
      <w:bookmarkEnd w:id="264"/>
      <w:bookmarkEnd w:id="265"/>
    </w:p>
    <w:p>
      <w:pPr>
        <w:pStyle w:val="7"/>
        <w:keepNext w:val="0"/>
        <w:keepLines w:val="0"/>
        <w:widowControl w:val="0"/>
        <w:spacing w:before="120" w:beforeLines="50" w:after="120" w:afterLines="50"/>
        <w:rPr>
          <w:rFonts w:cs="Times New Roman"/>
          <w:color w:val="auto"/>
        </w:rPr>
      </w:pPr>
      <w:r>
        <w:rPr>
          <w:rFonts w:cs="Times New Roman"/>
          <w:color w:val="auto"/>
        </w:rPr>
        <w:t>7.1.2.1编制说明</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（1）人工概算单价</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与主体工程人工单价保持一致，取12.25元/工时。</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（2）材料概算价格</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本项目水保方案需要用到的主要材料、其它材料均为主体工程所需材料的一部分，因此，直接采用主体工程材料预算单价。</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（3）施工电、风、水概算价格</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1）施工用电全部考虑电网供电，价格：0.8444元/KW•h。</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2）施工用水价格按3.5元/m</w:t>
      </w:r>
      <w:r>
        <w:rPr>
          <w:rFonts w:ascii="Times New Roman" w:hAnsi="Times New Roman" w:eastAsia="仿宋_GB2312" w:cs="Times New Roman"/>
          <w:color w:val="auto"/>
          <w:sz w:val="24"/>
          <w:vertAlign w:val="superscript"/>
        </w:rPr>
        <w:t>3</w:t>
      </w:r>
      <w:r>
        <w:rPr>
          <w:rFonts w:ascii="Times New Roman" w:hAnsi="Times New Roman" w:eastAsia="仿宋_GB2312" w:cs="Times New Roman"/>
          <w:color w:val="auto"/>
          <w:sz w:val="24"/>
        </w:rPr>
        <w:t>计算。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3）施工用风价格按0.12元/m</w:t>
      </w:r>
      <w:r>
        <w:rPr>
          <w:rFonts w:ascii="Times New Roman" w:hAnsi="Times New Roman" w:eastAsia="仿宋_GB2312" w:cs="Times New Roman"/>
          <w:color w:val="auto"/>
          <w:sz w:val="24"/>
          <w:vertAlign w:val="superscript"/>
        </w:rPr>
        <w:t>3</w:t>
      </w:r>
      <w:r>
        <w:rPr>
          <w:rFonts w:ascii="Times New Roman" w:hAnsi="Times New Roman" w:eastAsia="仿宋_GB2312" w:cs="Times New Roman"/>
          <w:color w:val="auto"/>
          <w:sz w:val="24"/>
        </w:rPr>
        <w:t>计算。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（4）施工机械使用费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施工机械使用费采用《水土保持工程概算定额》中的施工机械台时费定额计算。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（5）定额及取费标准</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措施单价由直接工程费、间接费、企业利润、税金组成，费率计取依据《四川省水利水电工程设计概（估）算编制规定》；不足部分依据《水利工程设计概（估）算编制规定》。</w:t>
      </w:r>
    </w:p>
    <w:p>
      <w:pPr>
        <w:widowControl w:val="0"/>
        <w:jc w:val="center"/>
        <w:rPr>
          <w:rFonts w:ascii="Times New Roman" w:hAnsi="Times New Roman" w:eastAsia="仿宋_GB2312" w:cs="Times New Roman"/>
          <w:b/>
          <w:color w:val="auto"/>
          <w:sz w:val="24"/>
          <w:szCs w:val="21"/>
        </w:rPr>
      </w:pPr>
      <w:r>
        <w:rPr>
          <w:rFonts w:ascii="Times New Roman" w:hAnsi="Times New Roman" w:eastAsia="仿宋_GB2312" w:cs="Times New Roman"/>
          <w:b/>
          <w:color w:val="auto"/>
          <w:sz w:val="24"/>
          <w:szCs w:val="21"/>
        </w:rPr>
        <w:fldChar w:fldCharType="begin">
          <w:fldData xml:space="preserve">XwBjAHAAXwBBAFcAYQBjADUAdgBLAHAALwBiAG8AZQAxADUAVgBGAHAAbgBiAFIAcgBoAEcAZABX
ADIANgBTAHgAYgByAGwAUgBkAEYAcABCAE0ARABKADkATgBoAHoAOQB6AHUAaQB3AHQAWQBpAHIA
QQA9AD0A
</w:fldData>
        </w:fldChar>
      </w:r>
      <w:r>
        <w:rPr>
          <w:rFonts w:ascii="Times New Roman" w:hAnsi="Times New Roman" w:eastAsia="仿宋_GB2312" w:cs="Times New Roman"/>
          <w:b/>
          <w:color w:val="auto"/>
          <w:sz w:val="24"/>
          <w:szCs w:val="21"/>
        </w:rPr>
        <w:instrText xml:space="preserve">ADDIN _cp_ \* MERGEFORMAT</w:instrText>
      </w:r>
      <w:r>
        <w:rPr>
          <w:rFonts w:ascii="Times New Roman" w:hAnsi="Times New Roman" w:eastAsia="仿宋_GB2312" w:cs="Times New Roman"/>
          <w:b/>
          <w:color w:val="auto"/>
          <w:sz w:val="24"/>
          <w:szCs w:val="21"/>
        </w:rPr>
        <w:fldChar w:fldCharType="separate"/>
      </w:r>
      <w:r>
        <w:rPr>
          <w:rFonts w:ascii="Times New Roman" w:hAnsi="Times New Roman" w:eastAsia="仿宋_GB2312" w:cs="Times New Roman"/>
          <w:b/>
          <w:color w:val="auto"/>
          <w:sz w:val="24"/>
          <w:szCs w:val="21"/>
        </w:rPr>
        <w:t>表7.1-1</w:t>
      </w:r>
      <w:r>
        <w:rPr>
          <w:rFonts w:ascii="Times New Roman" w:hAnsi="Times New Roman" w:eastAsia="仿宋_GB2312" w:cs="Times New Roman"/>
          <w:b/>
          <w:color w:val="auto"/>
          <w:sz w:val="24"/>
          <w:szCs w:val="21"/>
        </w:rPr>
        <w:fldChar w:fldCharType="end"/>
      </w:r>
      <w:r>
        <w:rPr>
          <w:rFonts w:ascii="Times New Roman" w:hAnsi="Times New Roman" w:eastAsia="仿宋_GB2312" w:cs="Times New Roman"/>
          <w:b/>
          <w:color w:val="auto"/>
          <w:sz w:val="24"/>
          <w:szCs w:val="21"/>
        </w:rPr>
        <w:t>水土保持措施计费标准表（单位：%）</w:t>
      </w:r>
    </w:p>
    <w:tbl>
      <w:tblPr>
        <w:tblStyle w:val="39"/>
        <w:tblW w:w="88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43"/>
        <w:gridCol w:w="1253"/>
        <w:gridCol w:w="1255"/>
        <w:gridCol w:w="1401"/>
        <w:gridCol w:w="1109"/>
        <w:gridCol w:w="1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dxa"/>
            <w:vAlign w:val="center"/>
          </w:tcPr>
          <w:p>
            <w:pPr>
              <w:pStyle w:val="199"/>
              <w:widowControl w:val="0"/>
              <w:rPr>
                <w:b/>
                <w:color w:val="auto"/>
              </w:rPr>
            </w:pPr>
            <w:r>
              <w:rPr>
                <w:b/>
                <w:color w:val="auto"/>
              </w:rPr>
              <w:t>序号</w:t>
            </w:r>
          </w:p>
        </w:tc>
        <w:tc>
          <w:tcPr>
            <w:tcW w:w="1843" w:type="dxa"/>
            <w:vAlign w:val="center"/>
          </w:tcPr>
          <w:p>
            <w:pPr>
              <w:pStyle w:val="199"/>
              <w:widowControl w:val="0"/>
              <w:rPr>
                <w:b/>
                <w:color w:val="auto"/>
              </w:rPr>
            </w:pPr>
            <w:r>
              <w:rPr>
                <w:b/>
                <w:color w:val="auto"/>
              </w:rPr>
              <w:t>费率名称</w:t>
            </w:r>
          </w:p>
        </w:tc>
        <w:tc>
          <w:tcPr>
            <w:tcW w:w="1253" w:type="dxa"/>
            <w:vAlign w:val="center"/>
          </w:tcPr>
          <w:p>
            <w:pPr>
              <w:pStyle w:val="199"/>
              <w:widowControl w:val="0"/>
              <w:rPr>
                <w:b/>
                <w:color w:val="auto"/>
              </w:rPr>
            </w:pPr>
            <w:r>
              <w:rPr>
                <w:b/>
                <w:color w:val="auto"/>
              </w:rPr>
              <w:t>土石方工程</w:t>
            </w:r>
          </w:p>
        </w:tc>
        <w:tc>
          <w:tcPr>
            <w:tcW w:w="1255" w:type="dxa"/>
            <w:vAlign w:val="center"/>
          </w:tcPr>
          <w:p>
            <w:pPr>
              <w:pStyle w:val="199"/>
              <w:widowControl w:val="0"/>
              <w:rPr>
                <w:b/>
                <w:color w:val="auto"/>
              </w:rPr>
            </w:pPr>
            <w:r>
              <w:rPr>
                <w:b/>
                <w:color w:val="auto"/>
              </w:rPr>
              <w:t>混凝土工程</w:t>
            </w:r>
          </w:p>
        </w:tc>
        <w:tc>
          <w:tcPr>
            <w:tcW w:w="1401" w:type="dxa"/>
            <w:vAlign w:val="center"/>
          </w:tcPr>
          <w:p>
            <w:pPr>
              <w:pStyle w:val="199"/>
              <w:widowControl w:val="0"/>
              <w:rPr>
                <w:b/>
                <w:color w:val="auto"/>
              </w:rPr>
            </w:pPr>
            <w:r>
              <w:rPr>
                <w:b/>
                <w:color w:val="auto"/>
              </w:rPr>
              <w:t>基础处理工程</w:t>
            </w:r>
          </w:p>
        </w:tc>
        <w:tc>
          <w:tcPr>
            <w:tcW w:w="1109" w:type="dxa"/>
            <w:vAlign w:val="center"/>
          </w:tcPr>
          <w:p>
            <w:pPr>
              <w:pStyle w:val="199"/>
              <w:widowControl w:val="0"/>
              <w:rPr>
                <w:b/>
                <w:color w:val="auto"/>
              </w:rPr>
            </w:pPr>
            <w:r>
              <w:rPr>
                <w:b/>
                <w:color w:val="auto"/>
              </w:rPr>
              <w:t>其他工程</w:t>
            </w:r>
          </w:p>
        </w:tc>
        <w:tc>
          <w:tcPr>
            <w:tcW w:w="1251" w:type="dxa"/>
            <w:vAlign w:val="center"/>
          </w:tcPr>
          <w:p>
            <w:pPr>
              <w:pStyle w:val="199"/>
              <w:widowControl w:val="0"/>
              <w:rPr>
                <w:b/>
                <w:color w:val="auto"/>
              </w:rPr>
            </w:pPr>
            <w:r>
              <w:rPr>
                <w:b/>
                <w:color w:val="auto"/>
              </w:rPr>
              <w:t>植物措施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dxa"/>
            <w:vAlign w:val="center"/>
          </w:tcPr>
          <w:p>
            <w:pPr>
              <w:pStyle w:val="199"/>
              <w:widowControl w:val="0"/>
              <w:rPr>
                <w:color w:val="auto"/>
              </w:rPr>
            </w:pPr>
            <w:r>
              <w:rPr>
                <w:color w:val="auto"/>
              </w:rPr>
              <w:t>1</w:t>
            </w:r>
          </w:p>
        </w:tc>
        <w:tc>
          <w:tcPr>
            <w:tcW w:w="1843" w:type="dxa"/>
            <w:vAlign w:val="center"/>
          </w:tcPr>
          <w:p>
            <w:pPr>
              <w:pStyle w:val="199"/>
              <w:widowControl w:val="0"/>
              <w:rPr>
                <w:color w:val="auto"/>
              </w:rPr>
            </w:pPr>
            <w:r>
              <w:rPr>
                <w:color w:val="auto"/>
              </w:rPr>
              <w:t>其他直接费率</w:t>
            </w:r>
          </w:p>
        </w:tc>
        <w:tc>
          <w:tcPr>
            <w:tcW w:w="1253" w:type="dxa"/>
            <w:vAlign w:val="center"/>
          </w:tcPr>
          <w:p>
            <w:pPr>
              <w:pStyle w:val="199"/>
              <w:widowControl w:val="0"/>
              <w:rPr>
                <w:color w:val="auto"/>
              </w:rPr>
            </w:pPr>
            <w:r>
              <w:rPr>
                <w:color w:val="auto"/>
              </w:rPr>
              <w:t>2.0</w:t>
            </w:r>
          </w:p>
        </w:tc>
        <w:tc>
          <w:tcPr>
            <w:tcW w:w="1255" w:type="dxa"/>
            <w:vAlign w:val="center"/>
          </w:tcPr>
          <w:p>
            <w:pPr>
              <w:pStyle w:val="199"/>
              <w:widowControl w:val="0"/>
              <w:rPr>
                <w:color w:val="auto"/>
              </w:rPr>
            </w:pPr>
            <w:r>
              <w:rPr>
                <w:color w:val="auto"/>
              </w:rPr>
              <w:t>2.0</w:t>
            </w:r>
          </w:p>
        </w:tc>
        <w:tc>
          <w:tcPr>
            <w:tcW w:w="1401" w:type="dxa"/>
            <w:vAlign w:val="center"/>
          </w:tcPr>
          <w:p>
            <w:pPr>
              <w:pStyle w:val="199"/>
              <w:widowControl w:val="0"/>
              <w:rPr>
                <w:color w:val="auto"/>
              </w:rPr>
            </w:pPr>
            <w:r>
              <w:rPr>
                <w:color w:val="auto"/>
              </w:rPr>
              <w:t>2.0</w:t>
            </w:r>
          </w:p>
        </w:tc>
        <w:tc>
          <w:tcPr>
            <w:tcW w:w="1109" w:type="dxa"/>
            <w:vAlign w:val="center"/>
          </w:tcPr>
          <w:p>
            <w:pPr>
              <w:pStyle w:val="199"/>
              <w:widowControl w:val="0"/>
              <w:rPr>
                <w:color w:val="auto"/>
              </w:rPr>
            </w:pPr>
            <w:r>
              <w:rPr>
                <w:color w:val="auto"/>
              </w:rPr>
              <w:t>2.0</w:t>
            </w:r>
          </w:p>
        </w:tc>
        <w:tc>
          <w:tcPr>
            <w:tcW w:w="1251" w:type="dxa"/>
            <w:vAlign w:val="center"/>
          </w:tcPr>
          <w:p>
            <w:pPr>
              <w:pStyle w:val="199"/>
              <w:widowControl w:val="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dxa"/>
            <w:vAlign w:val="center"/>
          </w:tcPr>
          <w:p>
            <w:pPr>
              <w:pStyle w:val="199"/>
              <w:widowControl w:val="0"/>
              <w:rPr>
                <w:color w:val="auto"/>
              </w:rPr>
            </w:pPr>
            <w:r>
              <w:rPr>
                <w:color w:val="auto"/>
              </w:rPr>
              <w:t>2</w:t>
            </w:r>
          </w:p>
        </w:tc>
        <w:tc>
          <w:tcPr>
            <w:tcW w:w="1843" w:type="dxa"/>
            <w:vAlign w:val="center"/>
          </w:tcPr>
          <w:p>
            <w:pPr>
              <w:pStyle w:val="199"/>
              <w:widowControl w:val="0"/>
              <w:rPr>
                <w:color w:val="auto"/>
              </w:rPr>
            </w:pPr>
            <w:r>
              <w:rPr>
                <w:color w:val="auto"/>
              </w:rPr>
              <w:t>间接费率</w:t>
            </w:r>
          </w:p>
        </w:tc>
        <w:tc>
          <w:tcPr>
            <w:tcW w:w="1253" w:type="dxa"/>
            <w:vAlign w:val="center"/>
          </w:tcPr>
          <w:p>
            <w:pPr>
              <w:pStyle w:val="199"/>
              <w:widowControl w:val="0"/>
              <w:rPr>
                <w:color w:val="auto"/>
              </w:rPr>
            </w:pPr>
            <w:r>
              <w:rPr>
                <w:color w:val="auto"/>
              </w:rPr>
              <w:t>5.5</w:t>
            </w:r>
          </w:p>
        </w:tc>
        <w:tc>
          <w:tcPr>
            <w:tcW w:w="1255" w:type="dxa"/>
            <w:vAlign w:val="center"/>
          </w:tcPr>
          <w:p>
            <w:pPr>
              <w:pStyle w:val="199"/>
              <w:widowControl w:val="0"/>
              <w:rPr>
                <w:color w:val="auto"/>
              </w:rPr>
            </w:pPr>
            <w:r>
              <w:rPr>
                <w:color w:val="auto"/>
              </w:rPr>
              <w:t>4.3</w:t>
            </w:r>
          </w:p>
        </w:tc>
        <w:tc>
          <w:tcPr>
            <w:tcW w:w="1401" w:type="dxa"/>
            <w:vAlign w:val="center"/>
          </w:tcPr>
          <w:p>
            <w:pPr>
              <w:pStyle w:val="199"/>
              <w:widowControl w:val="0"/>
              <w:rPr>
                <w:color w:val="auto"/>
              </w:rPr>
            </w:pPr>
            <w:r>
              <w:rPr>
                <w:color w:val="auto"/>
              </w:rPr>
              <w:t>6.5</w:t>
            </w:r>
          </w:p>
        </w:tc>
        <w:tc>
          <w:tcPr>
            <w:tcW w:w="1109" w:type="dxa"/>
            <w:vAlign w:val="center"/>
          </w:tcPr>
          <w:p>
            <w:pPr>
              <w:pStyle w:val="199"/>
              <w:widowControl w:val="0"/>
              <w:rPr>
                <w:color w:val="auto"/>
              </w:rPr>
            </w:pPr>
            <w:r>
              <w:rPr>
                <w:color w:val="auto"/>
              </w:rPr>
              <w:t>4.4</w:t>
            </w:r>
          </w:p>
        </w:tc>
        <w:tc>
          <w:tcPr>
            <w:tcW w:w="1251" w:type="dxa"/>
            <w:vAlign w:val="center"/>
          </w:tcPr>
          <w:p>
            <w:pPr>
              <w:pStyle w:val="199"/>
              <w:widowControl w:val="0"/>
              <w:rPr>
                <w:color w:val="auto"/>
              </w:rPr>
            </w:pPr>
            <w:r>
              <w:rPr>
                <w:color w:val="auto"/>
              </w:rPr>
              <w:t>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dxa"/>
            <w:vAlign w:val="center"/>
          </w:tcPr>
          <w:p>
            <w:pPr>
              <w:pStyle w:val="199"/>
              <w:widowControl w:val="0"/>
              <w:rPr>
                <w:color w:val="auto"/>
              </w:rPr>
            </w:pPr>
            <w:r>
              <w:rPr>
                <w:color w:val="auto"/>
              </w:rPr>
              <w:t>3</w:t>
            </w:r>
          </w:p>
        </w:tc>
        <w:tc>
          <w:tcPr>
            <w:tcW w:w="1843" w:type="dxa"/>
            <w:vAlign w:val="center"/>
          </w:tcPr>
          <w:p>
            <w:pPr>
              <w:pStyle w:val="199"/>
              <w:widowControl w:val="0"/>
              <w:rPr>
                <w:color w:val="auto"/>
              </w:rPr>
            </w:pPr>
            <w:r>
              <w:rPr>
                <w:color w:val="auto"/>
              </w:rPr>
              <w:t>企业利润</w:t>
            </w:r>
          </w:p>
        </w:tc>
        <w:tc>
          <w:tcPr>
            <w:tcW w:w="1253" w:type="dxa"/>
            <w:vAlign w:val="center"/>
          </w:tcPr>
          <w:p>
            <w:pPr>
              <w:pStyle w:val="199"/>
              <w:widowControl w:val="0"/>
              <w:rPr>
                <w:color w:val="auto"/>
              </w:rPr>
            </w:pPr>
            <w:r>
              <w:rPr>
                <w:color w:val="auto"/>
              </w:rPr>
              <w:t>7</w:t>
            </w:r>
          </w:p>
        </w:tc>
        <w:tc>
          <w:tcPr>
            <w:tcW w:w="1255" w:type="dxa"/>
            <w:vAlign w:val="center"/>
          </w:tcPr>
          <w:p>
            <w:pPr>
              <w:pStyle w:val="199"/>
              <w:widowControl w:val="0"/>
              <w:rPr>
                <w:color w:val="auto"/>
              </w:rPr>
            </w:pPr>
            <w:r>
              <w:rPr>
                <w:color w:val="auto"/>
              </w:rPr>
              <w:t>7</w:t>
            </w:r>
          </w:p>
        </w:tc>
        <w:tc>
          <w:tcPr>
            <w:tcW w:w="1401" w:type="dxa"/>
            <w:vAlign w:val="center"/>
          </w:tcPr>
          <w:p>
            <w:pPr>
              <w:pStyle w:val="199"/>
              <w:widowControl w:val="0"/>
              <w:rPr>
                <w:color w:val="auto"/>
              </w:rPr>
            </w:pPr>
            <w:r>
              <w:rPr>
                <w:color w:val="auto"/>
              </w:rPr>
              <w:t>7</w:t>
            </w:r>
          </w:p>
        </w:tc>
        <w:tc>
          <w:tcPr>
            <w:tcW w:w="1109" w:type="dxa"/>
            <w:vAlign w:val="center"/>
          </w:tcPr>
          <w:p>
            <w:pPr>
              <w:pStyle w:val="199"/>
              <w:widowControl w:val="0"/>
              <w:rPr>
                <w:color w:val="auto"/>
              </w:rPr>
            </w:pPr>
            <w:r>
              <w:rPr>
                <w:color w:val="auto"/>
              </w:rPr>
              <w:t>7</w:t>
            </w:r>
          </w:p>
        </w:tc>
        <w:tc>
          <w:tcPr>
            <w:tcW w:w="1251" w:type="dxa"/>
            <w:vAlign w:val="center"/>
          </w:tcPr>
          <w:p>
            <w:pPr>
              <w:pStyle w:val="199"/>
              <w:widowControl w:val="0"/>
              <w:rPr>
                <w:color w:val="auto"/>
              </w:rPr>
            </w:pPr>
            <w:r>
              <w:rPr>
                <w:color w:val="auto"/>
              </w:rPr>
              <w:t>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dxa"/>
            <w:vAlign w:val="center"/>
          </w:tcPr>
          <w:p>
            <w:pPr>
              <w:pStyle w:val="199"/>
              <w:widowControl w:val="0"/>
              <w:rPr>
                <w:color w:val="auto"/>
              </w:rPr>
            </w:pPr>
            <w:r>
              <w:rPr>
                <w:color w:val="auto"/>
              </w:rPr>
              <w:t>4</w:t>
            </w:r>
          </w:p>
        </w:tc>
        <w:tc>
          <w:tcPr>
            <w:tcW w:w="1843" w:type="dxa"/>
            <w:vAlign w:val="center"/>
          </w:tcPr>
          <w:p>
            <w:pPr>
              <w:pStyle w:val="199"/>
              <w:widowControl w:val="0"/>
              <w:rPr>
                <w:color w:val="auto"/>
              </w:rPr>
            </w:pPr>
            <w:r>
              <w:rPr>
                <w:color w:val="auto"/>
              </w:rPr>
              <w:t>税金</w:t>
            </w:r>
          </w:p>
        </w:tc>
        <w:tc>
          <w:tcPr>
            <w:tcW w:w="1253" w:type="dxa"/>
            <w:vAlign w:val="center"/>
          </w:tcPr>
          <w:p>
            <w:pPr>
              <w:pStyle w:val="199"/>
              <w:widowControl w:val="0"/>
              <w:rPr>
                <w:color w:val="auto"/>
              </w:rPr>
            </w:pPr>
            <w:r>
              <w:rPr>
                <w:color w:val="auto"/>
              </w:rPr>
              <w:t>9</w:t>
            </w:r>
          </w:p>
        </w:tc>
        <w:tc>
          <w:tcPr>
            <w:tcW w:w="1255" w:type="dxa"/>
            <w:vAlign w:val="center"/>
          </w:tcPr>
          <w:p>
            <w:pPr>
              <w:pStyle w:val="199"/>
              <w:widowControl w:val="0"/>
              <w:rPr>
                <w:color w:val="auto"/>
              </w:rPr>
            </w:pPr>
            <w:r>
              <w:rPr>
                <w:color w:val="auto"/>
              </w:rPr>
              <w:t>9</w:t>
            </w:r>
          </w:p>
        </w:tc>
        <w:tc>
          <w:tcPr>
            <w:tcW w:w="1401" w:type="dxa"/>
            <w:vAlign w:val="center"/>
          </w:tcPr>
          <w:p>
            <w:pPr>
              <w:pStyle w:val="199"/>
              <w:widowControl w:val="0"/>
              <w:rPr>
                <w:color w:val="auto"/>
              </w:rPr>
            </w:pPr>
            <w:r>
              <w:rPr>
                <w:color w:val="auto"/>
              </w:rPr>
              <w:t>9</w:t>
            </w:r>
          </w:p>
        </w:tc>
        <w:tc>
          <w:tcPr>
            <w:tcW w:w="1109" w:type="dxa"/>
            <w:vAlign w:val="center"/>
          </w:tcPr>
          <w:p>
            <w:pPr>
              <w:pStyle w:val="199"/>
              <w:widowControl w:val="0"/>
              <w:rPr>
                <w:color w:val="auto"/>
              </w:rPr>
            </w:pPr>
            <w:r>
              <w:rPr>
                <w:color w:val="auto"/>
              </w:rPr>
              <w:t>9</w:t>
            </w:r>
          </w:p>
        </w:tc>
        <w:tc>
          <w:tcPr>
            <w:tcW w:w="1251" w:type="dxa"/>
            <w:vAlign w:val="center"/>
          </w:tcPr>
          <w:p>
            <w:pPr>
              <w:pStyle w:val="199"/>
              <w:widowControl w:val="0"/>
              <w:rPr>
                <w:color w:val="auto"/>
              </w:rPr>
            </w:pPr>
            <w:r>
              <w:rPr>
                <w:color w:val="auto"/>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5" w:type="dxa"/>
            <w:vAlign w:val="center"/>
          </w:tcPr>
          <w:p>
            <w:pPr>
              <w:pStyle w:val="199"/>
              <w:widowControl w:val="0"/>
              <w:rPr>
                <w:color w:val="auto"/>
              </w:rPr>
            </w:pPr>
            <w:r>
              <w:rPr>
                <w:color w:val="auto"/>
              </w:rPr>
              <w:t>5</w:t>
            </w:r>
          </w:p>
        </w:tc>
        <w:tc>
          <w:tcPr>
            <w:tcW w:w="1843" w:type="dxa"/>
            <w:vAlign w:val="center"/>
          </w:tcPr>
          <w:p>
            <w:pPr>
              <w:pStyle w:val="199"/>
              <w:widowControl w:val="0"/>
              <w:rPr>
                <w:color w:val="auto"/>
              </w:rPr>
            </w:pPr>
            <w:r>
              <w:rPr>
                <w:color w:val="auto"/>
              </w:rPr>
              <w:t>扩大系数</w:t>
            </w:r>
          </w:p>
        </w:tc>
        <w:tc>
          <w:tcPr>
            <w:tcW w:w="1253" w:type="dxa"/>
            <w:vAlign w:val="center"/>
          </w:tcPr>
          <w:p>
            <w:pPr>
              <w:pStyle w:val="199"/>
              <w:widowControl w:val="0"/>
              <w:rPr>
                <w:color w:val="auto"/>
              </w:rPr>
            </w:pPr>
            <w:r>
              <w:rPr>
                <w:color w:val="auto"/>
              </w:rPr>
              <w:t>10</w:t>
            </w:r>
          </w:p>
        </w:tc>
        <w:tc>
          <w:tcPr>
            <w:tcW w:w="1255" w:type="dxa"/>
            <w:vAlign w:val="center"/>
          </w:tcPr>
          <w:p>
            <w:pPr>
              <w:pStyle w:val="199"/>
              <w:widowControl w:val="0"/>
              <w:rPr>
                <w:color w:val="auto"/>
              </w:rPr>
            </w:pPr>
            <w:r>
              <w:rPr>
                <w:color w:val="auto"/>
              </w:rPr>
              <w:t>10</w:t>
            </w:r>
          </w:p>
        </w:tc>
        <w:tc>
          <w:tcPr>
            <w:tcW w:w="1401" w:type="dxa"/>
            <w:vAlign w:val="center"/>
          </w:tcPr>
          <w:p>
            <w:pPr>
              <w:pStyle w:val="199"/>
              <w:widowControl w:val="0"/>
              <w:rPr>
                <w:color w:val="auto"/>
              </w:rPr>
            </w:pPr>
            <w:r>
              <w:rPr>
                <w:color w:val="auto"/>
              </w:rPr>
              <w:t>10</w:t>
            </w:r>
          </w:p>
        </w:tc>
        <w:tc>
          <w:tcPr>
            <w:tcW w:w="1109" w:type="dxa"/>
            <w:vAlign w:val="center"/>
          </w:tcPr>
          <w:p>
            <w:pPr>
              <w:pStyle w:val="199"/>
              <w:widowControl w:val="0"/>
              <w:rPr>
                <w:color w:val="auto"/>
              </w:rPr>
            </w:pPr>
            <w:r>
              <w:rPr>
                <w:color w:val="auto"/>
              </w:rPr>
              <w:t>10</w:t>
            </w:r>
          </w:p>
        </w:tc>
        <w:tc>
          <w:tcPr>
            <w:tcW w:w="1251" w:type="dxa"/>
            <w:vAlign w:val="center"/>
          </w:tcPr>
          <w:p>
            <w:pPr>
              <w:pStyle w:val="199"/>
              <w:widowControl w:val="0"/>
              <w:rPr>
                <w:color w:val="auto"/>
              </w:rPr>
            </w:pPr>
            <w:r>
              <w:rPr>
                <w:color w:val="auto"/>
              </w:rPr>
              <w:t>10</w:t>
            </w:r>
          </w:p>
        </w:tc>
      </w:tr>
    </w:tbl>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（6）费用构成</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1）工程措施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工程措施费=工程量×工程单价；</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工程措施单价以水总[2003]67号为定额基础计算，并根据川水函[2019]610号及川水发[2015]9号进行相关费率调整。</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2）植物措施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植物措施费=工程量×工程单价；</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植物措施单价以水总[2003]67号为定额基础计算，并根据川水函[2019]610号及川水发[2015]9号进行相关费率调整。</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3）监测措施</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本项目不计列监测措施费。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4）施工临时工程</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hint="eastAsia" w:ascii="宋体" w:hAnsi="宋体" w:eastAsia="宋体" w:cs="宋体"/>
          <w:color w:val="auto"/>
          <w:sz w:val="24"/>
        </w:rPr>
        <w:t>①</w:t>
      </w:r>
      <w:r>
        <w:rPr>
          <w:rFonts w:ascii="Times New Roman" w:hAnsi="Times New Roman" w:eastAsia="仿宋_GB2312" w:cs="Times New Roman"/>
          <w:color w:val="auto"/>
          <w:sz w:val="24"/>
        </w:rPr>
        <w:t>临时防护工程</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临时防护措施费=临时防护措施工程量×工程单价；</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临时措施单价以水总[2003]67号为定额基础计算，并根据川水函[2019]610号及川水发[2015]9号进行相关费率调整。</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hint="eastAsia" w:ascii="宋体" w:hAnsi="宋体" w:eastAsia="宋体" w:cs="宋体"/>
          <w:color w:val="auto"/>
          <w:sz w:val="24"/>
        </w:rPr>
        <w:t>②</w:t>
      </w:r>
      <w:r>
        <w:rPr>
          <w:rFonts w:ascii="Times New Roman" w:hAnsi="Times New Roman" w:eastAsia="仿宋_GB2312" w:cs="Times New Roman"/>
          <w:color w:val="auto"/>
          <w:sz w:val="24"/>
        </w:rPr>
        <w:t>其他临时工程</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按水土保持方案设计的工程措施、植物措施和监测措施合计的2.0%计算。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5）独立费用</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hint="eastAsia" w:ascii="宋体" w:hAnsi="宋体" w:eastAsia="宋体" w:cs="宋体"/>
          <w:color w:val="auto"/>
          <w:sz w:val="24"/>
        </w:rPr>
        <w:t>①</w:t>
      </w:r>
      <w:r>
        <w:rPr>
          <w:rFonts w:ascii="Times New Roman" w:hAnsi="Times New Roman" w:eastAsia="仿宋_GB2312" w:cs="Times New Roman"/>
          <w:color w:val="auto"/>
          <w:sz w:val="24"/>
        </w:rPr>
        <w:t>建设管理费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按新增工程措施、植物措施、监测措施和施工临时工程费用之和的1.0%计列。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hint="eastAsia" w:ascii="宋体" w:hAnsi="宋体" w:eastAsia="宋体" w:cs="宋体"/>
          <w:color w:val="auto"/>
          <w:sz w:val="24"/>
        </w:rPr>
        <w:t>②</w:t>
      </w:r>
      <w:r>
        <w:rPr>
          <w:rFonts w:ascii="Times New Roman" w:hAnsi="Times New Roman" w:eastAsia="仿宋_GB2312" w:cs="Times New Roman"/>
          <w:color w:val="auto"/>
          <w:sz w:val="24"/>
        </w:rPr>
        <w:t>科研勘测设计费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根据《四川省水利厅关于发布&lt;四川省水利水电工程概（估）算编制规定&gt;的通知》（川水发[2015]9号）的相关说明并结合市场价格进行计算。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fldChar w:fldCharType="begin"/>
      </w:r>
      <w:r>
        <w:rPr>
          <w:rFonts w:ascii="Times New Roman" w:hAnsi="Times New Roman" w:eastAsia="仿宋_GB2312" w:cs="Times New Roman"/>
          <w:color w:val="auto"/>
          <w:sz w:val="24"/>
        </w:rPr>
        <w:instrText xml:space="preserve"> = 3 \* GB3 </w:instrText>
      </w:r>
      <w:r>
        <w:rPr>
          <w:rFonts w:ascii="Times New Roman" w:hAnsi="Times New Roman" w:eastAsia="仿宋_GB2312" w:cs="Times New Roman"/>
          <w:color w:val="auto"/>
          <w:sz w:val="24"/>
        </w:rPr>
        <w:fldChar w:fldCharType="separate"/>
      </w:r>
      <w:r>
        <w:rPr>
          <w:rFonts w:hint="eastAsia" w:ascii="宋体" w:hAnsi="宋体" w:eastAsia="宋体" w:cs="宋体"/>
          <w:color w:val="auto"/>
          <w:sz w:val="24"/>
        </w:rPr>
        <w:t>③</w:t>
      </w:r>
      <w:r>
        <w:rPr>
          <w:rFonts w:ascii="Times New Roman" w:hAnsi="Times New Roman" w:eastAsia="仿宋_GB2312" w:cs="Times New Roman"/>
          <w:color w:val="auto"/>
          <w:sz w:val="24"/>
        </w:rPr>
        <w:fldChar w:fldCharType="end"/>
      </w:r>
      <w:r>
        <w:rPr>
          <w:rFonts w:ascii="Times New Roman" w:hAnsi="Times New Roman" w:eastAsia="仿宋_GB2312" w:cs="Times New Roman"/>
          <w:color w:val="auto"/>
          <w:sz w:val="24"/>
        </w:rPr>
        <w:t>水土保持监理费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根据川水发[2015]9号，兼顾项目实际工作量及项目区市场价格进行调整。</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fldChar w:fldCharType="begin"/>
      </w:r>
      <w:r>
        <w:rPr>
          <w:rFonts w:ascii="Times New Roman" w:hAnsi="Times New Roman" w:eastAsia="仿宋_GB2312" w:cs="Times New Roman"/>
          <w:color w:val="auto"/>
          <w:sz w:val="24"/>
        </w:rPr>
        <w:instrText xml:space="preserve"> = 4 \* GB3 </w:instrText>
      </w:r>
      <w:r>
        <w:rPr>
          <w:rFonts w:ascii="Times New Roman" w:hAnsi="Times New Roman" w:eastAsia="仿宋_GB2312" w:cs="Times New Roman"/>
          <w:color w:val="auto"/>
          <w:sz w:val="24"/>
        </w:rPr>
        <w:fldChar w:fldCharType="separate"/>
      </w:r>
      <w:r>
        <w:rPr>
          <w:rFonts w:hint="eastAsia" w:ascii="宋体" w:hAnsi="宋体" w:eastAsia="宋体" w:cs="宋体"/>
          <w:color w:val="auto"/>
          <w:sz w:val="24"/>
        </w:rPr>
        <w:t>④</w:t>
      </w:r>
      <w:r>
        <w:rPr>
          <w:rFonts w:ascii="Times New Roman" w:hAnsi="Times New Roman" w:eastAsia="仿宋_GB2312" w:cs="Times New Roman"/>
          <w:color w:val="auto"/>
          <w:sz w:val="24"/>
        </w:rPr>
        <w:fldChar w:fldCharType="end"/>
      </w:r>
      <w:r>
        <w:rPr>
          <w:rFonts w:ascii="Times New Roman" w:hAnsi="Times New Roman" w:eastAsia="仿宋_GB2312" w:cs="Times New Roman"/>
          <w:color w:val="auto"/>
          <w:sz w:val="24"/>
        </w:rPr>
        <w:t>水土保持设施验收报告编制费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根据《四川省水利厅关于发布&lt;四川省水利水电工程概（估）算编制规定&gt;的通知》（川水发[2015]9号）的相关说明并结合市场价格进行计算。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fldChar w:fldCharType="begin"/>
      </w:r>
      <w:r>
        <w:rPr>
          <w:rFonts w:ascii="Times New Roman" w:hAnsi="Times New Roman" w:eastAsia="仿宋_GB2312" w:cs="Times New Roman"/>
          <w:color w:val="auto"/>
          <w:sz w:val="24"/>
        </w:rPr>
        <w:instrText xml:space="preserve"> = 5 \* GB3 </w:instrText>
      </w:r>
      <w:r>
        <w:rPr>
          <w:rFonts w:ascii="Times New Roman" w:hAnsi="Times New Roman" w:eastAsia="仿宋_GB2312" w:cs="Times New Roman"/>
          <w:color w:val="auto"/>
          <w:sz w:val="24"/>
        </w:rPr>
        <w:fldChar w:fldCharType="separate"/>
      </w:r>
      <w:r>
        <w:rPr>
          <w:rFonts w:hint="eastAsia" w:ascii="宋体" w:hAnsi="宋体" w:eastAsia="宋体" w:cs="宋体"/>
          <w:color w:val="auto"/>
          <w:sz w:val="24"/>
        </w:rPr>
        <w:t>⑤</w:t>
      </w:r>
      <w:r>
        <w:rPr>
          <w:rFonts w:ascii="Times New Roman" w:hAnsi="Times New Roman" w:eastAsia="仿宋_GB2312" w:cs="Times New Roman"/>
          <w:color w:val="auto"/>
          <w:sz w:val="24"/>
        </w:rPr>
        <w:fldChar w:fldCharType="end"/>
      </w:r>
      <w:r>
        <w:rPr>
          <w:rFonts w:ascii="Times New Roman" w:hAnsi="Times New Roman" w:eastAsia="仿宋_GB2312" w:cs="Times New Roman"/>
          <w:color w:val="auto"/>
          <w:sz w:val="24"/>
        </w:rPr>
        <w:t>招标代理服务费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水土保持工程和主体工程一并招标，本方案不再计列。</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fldChar w:fldCharType="begin"/>
      </w:r>
      <w:r>
        <w:rPr>
          <w:rFonts w:ascii="Times New Roman" w:hAnsi="Times New Roman" w:eastAsia="仿宋_GB2312" w:cs="Times New Roman"/>
          <w:color w:val="auto"/>
          <w:sz w:val="24"/>
        </w:rPr>
        <w:instrText xml:space="preserve"> = 6 \* GB3 </w:instrText>
      </w:r>
      <w:r>
        <w:rPr>
          <w:rFonts w:ascii="Times New Roman" w:hAnsi="Times New Roman" w:eastAsia="仿宋_GB2312" w:cs="Times New Roman"/>
          <w:color w:val="auto"/>
          <w:sz w:val="24"/>
        </w:rPr>
        <w:fldChar w:fldCharType="separate"/>
      </w:r>
      <w:r>
        <w:rPr>
          <w:rFonts w:hint="eastAsia" w:ascii="宋体" w:hAnsi="宋体" w:eastAsia="宋体" w:cs="宋体"/>
          <w:color w:val="auto"/>
          <w:sz w:val="24"/>
        </w:rPr>
        <w:t>⑥</w:t>
      </w:r>
      <w:r>
        <w:rPr>
          <w:rFonts w:ascii="Times New Roman" w:hAnsi="Times New Roman" w:eastAsia="仿宋_GB2312" w:cs="Times New Roman"/>
          <w:color w:val="auto"/>
          <w:sz w:val="24"/>
        </w:rPr>
        <w:fldChar w:fldCharType="end"/>
      </w:r>
      <w:r>
        <w:rPr>
          <w:rFonts w:ascii="Times New Roman" w:hAnsi="Times New Roman" w:eastAsia="仿宋_GB2312" w:cs="Times New Roman"/>
          <w:color w:val="auto"/>
          <w:sz w:val="24"/>
        </w:rPr>
        <w:t>经济技术咨询费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本方案不计列此项费用。</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6）基本预备费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基本预备费费率按10%计取；</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7）价差预备费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价差预备费按照《国家计委关于加强对基本建设大中型项目概算中“价差预备费”管理有关问题的通知》精神，暂不计价差预备费。</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8）扩大系数</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可研阶段扩大系数为10%。</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9）水土保持补偿费</w:t>
      </w:r>
    </w:p>
    <w:p>
      <w:pPr>
        <w:widowControl w:val="0"/>
        <w:adjustRightInd w:val="0"/>
        <w:snapToGrid w:val="0"/>
        <w:spacing w:line="408" w:lineRule="auto"/>
        <w:ind w:firstLine="480" w:firstLineChars="200"/>
        <w:rPr>
          <w:rFonts w:ascii="Times New Roman" w:hAnsi="Times New Roman" w:eastAsia="仿宋_GB2312" w:cs="Times New Roman"/>
          <w:color w:val="auto"/>
          <w:sz w:val="24"/>
          <w:highlight w:val="none"/>
        </w:rPr>
      </w:pPr>
      <w:r>
        <w:rPr>
          <w:rFonts w:ascii="Times New Roman" w:hAnsi="Times New Roman" w:eastAsia="仿宋_GB2312" w:cs="Times New Roman"/>
          <w:color w:val="auto"/>
          <w:sz w:val="24"/>
          <w:highlight w:val="none"/>
        </w:rPr>
        <w:t>本方案水土保持补偿费根据《四川省发展改革委员会四川省财政厅关于制定水土保持补偿费收费标准的通知》（川发改价格〔2017〕347号），按照征占用土地面积每平方米1.30元一次性计征。本项目实际征占地面积</w:t>
      </w:r>
      <w:r>
        <w:rPr>
          <w:rFonts w:hint="eastAsia" w:ascii="Times New Roman" w:hAnsi="Times New Roman" w:eastAsia="仿宋_GB2312" w:cs="Times New Roman"/>
          <w:color w:val="auto"/>
          <w:sz w:val="24"/>
          <w:szCs w:val="24"/>
          <w:highlight w:val="none"/>
          <w:lang w:val="en-US" w:eastAsia="zh-CN"/>
        </w:rPr>
        <w:t>1.76</w:t>
      </w:r>
      <w:r>
        <w:rPr>
          <w:rFonts w:hint="eastAsia" w:ascii="Times New Roman" w:hAnsi="Times New Roman" w:eastAsia="仿宋_GB2312" w:cs="Times New Roman"/>
          <w:color w:val="auto"/>
          <w:sz w:val="24"/>
          <w:szCs w:val="24"/>
          <w:highlight w:val="none"/>
          <w:lang w:eastAsia="zh-CN"/>
        </w:rPr>
        <w:t>hm</w:t>
      </w:r>
      <w:r>
        <w:rPr>
          <w:rFonts w:hint="eastAsia" w:ascii="Times New Roman" w:hAnsi="Times New Roman" w:eastAsia="仿宋_GB2312" w:cs="Times New Roman"/>
          <w:color w:val="auto"/>
          <w:sz w:val="24"/>
          <w:szCs w:val="24"/>
          <w:highlight w:val="none"/>
          <w:vertAlign w:val="superscript"/>
          <w:lang w:eastAsia="zh-CN"/>
        </w:rPr>
        <w:t>2</w:t>
      </w:r>
      <w:r>
        <w:rPr>
          <w:rFonts w:ascii="Times New Roman" w:hAnsi="Times New Roman" w:eastAsia="仿宋_GB2312" w:cs="Times New Roman"/>
          <w:color w:val="auto"/>
          <w:sz w:val="24"/>
          <w:highlight w:val="none"/>
        </w:rPr>
        <w:t>，则本项目应缴水土保持补偿费</w:t>
      </w:r>
      <w:r>
        <w:rPr>
          <w:rFonts w:hint="eastAsia" w:ascii="Times New Roman" w:hAnsi="Times New Roman" w:eastAsia="仿宋_GB2312" w:cs="Times New Roman"/>
          <w:color w:val="auto"/>
          <w:sz w:val="24"/>
          <w:highlight w:val="none"/>
          <w:lang w:val="en-US" w:eastAsia="zh-CN"/>
        </w:rPr>
        <w:t>2.29</w:t>
      </w:r>
      <w:r>
        <w:rPr>
          <w:rFonts w:ascii="Times New Roman" w:hAnsi="Times New Roman" w:eastAsia="仿宋_GB2312" w:cs="Times New Roman"/>
          <w:color w:val="auto"/>
          <w:sz w:val="24"/>
          <w:highlight w:val="none"/>
        </w:rPr>
        <w:t>万元（</w:t>
      </w:r>
      <w:r>
        <w:rPr>
          <w:rFonts w:hint="eastAsia" w:ascii="Times New Roman" w:hAnsi="Times New Roman" w:eastAsia="仿宋_GB2312" w:cs="Times New Roman"/>
          <w:color w:val="auto"/>
          <w:sz w:val="24"/>
          <w:highlight w:val="none"/>
          <w:lang w:val="en-US" w:eastAsia="zh-CN"/>
        </w:rPr>
        <w:t>22880</w:t>
      </w:r>
      <w:r>
        <w:rPr>
          <w:rFonts w:ascii="Times New Roman" w:hAnsi="Times New Roman" w:eastAsia="仿宋_GB2312" w:cs="Times New Roman"/>
          <w:color w:val="auto"/>
          <w:sz w:val="24"/>
          <w:highlight w:val="none"/>
        </w:rPr>
        <w:t>元）。</w:t>
      </w:r>
    </w:p>
    <w:p>
      <w:pPr>
        <w:pStyle w:val="7"/>
        <w:keepNext w:val="0"/>
        <w:keepLines w:val="0"/>
        <w:widowControl w:val="0"/>
        <w:spacing w:before="120" w:beforeLines="50" w:after="120" w:afterLines="50"/>
        <w:rPr>
          <w:rFonts w:ascii="Times New Roman" w:hAnsi="Times New Roman" w:cs="Times New Roman"/>
          <w:color w:val="auto"/>
        </w:rPr>
      </w:pPr>
      <w:r>
        <w:rPr>
          <w:rFonts w:ascii="Times New Roman" w:hAnsi="Times New Roman" w:cs="Times New Roman"/>
          <w:color w:val="auto"/>
        </w:rPr>
        <w:t>7.1.2.2估算成果</w:t>
      </w:r>
    </w:p>
    <w:p>
      <w:pPr>
        <w:widowControl w:val="0"/>
        <w:adjustRightInd w:val="0"/>
        <w:snapToGrid w:val="0"/>
        <w:spacing w:line="360" w:lineRule="auto"/>
        <w:ind w:firstLine="480" w:firstLineChars="200"/>
        <w:rPr>
          <w:rFonts w:ascii="Times New Roman" w:hAnsi="Times New Roman" w:eastAsia="仿宋_GB2312" w:cs="Times New Roman"/>
          <w:color w:val="auto"/>
          <w:sz w:val="24"/>
        </w:rPr>
      </w:pPr>
      <w:r>
        <w:rPr>
          <w:rFonts w:ascii="Times New Roman" w:hAnsi="Times New Roman" w:eastAsia="仿宋_GB2312" w:cs="Times New Roman"/>
          <w:color w:val="auto"/>
          <w:sz w:val="24"/>
        </w:rPr>
        <w:t>本方案水土保持工程总投资为</w:t>
      </w:r>
      <w:r>
        <w:rPr>
          <w:rFonts w:hint="eastAsia" w:ascii="Times New Roman" w:hAnsi="Times New Roman" w:eastAsia="仿宋_GB2312" w:cs="Times New Roman"/>
          <w:color w:val="auto"/>
          <w:sz w:val="24"/>
          <w:lang w:val="en-US" w:eastAsia="zh-CN"/>
        </w:rPr>
        <w:t>71.57</w:t>
      </w:r>
      <w:r>
        <w:rPr>
          <w:rFonts w:ascii="Times New Roman" w:hAnsi="Times New Roman" w:eastAsia="仿宋_GB2312" w:cs="Times New Roman"/>
          <w:color w:val="auto"/>
          <w:sz w:val="24"/>
        </w:rPr>
        <w:t>万元，主体工程已列水保专项投资</w:t>
      </w:r>
      <w:r>
        <w:rPr>
          <w:rFonts w:hint="eastAsia" w:ascii="Times New Roman" w:hAnsi="Times New Roman" w:eastAsia="仿宋_GB2312" w:cs="Times New Roman"/>
          <w:color w:val="auto"/>
          <w:sz w:val="24"/>
          <w:lang w:val="en-US" w:eastAsia="zh-CN"/>
        </w:rPr>
        <w:t>36.5</w:t>
      </w:r>
      <w:r>
        <w:rPr>
          <w:rFonts w:ascii="Times New Roman" w:hAnsi="Times New Roman" w:eastAsia="仿宋_GB2312" w:cs="Times New Roman"/>
          <w:color w:val="auto"/>
          <w:sz w:val="24"/>
        </w:rPr>
        <w:t>万元，本方案新增水土保持措施投资</w:t>
      </w:r>
      <w:r>
        <w:rPr>
          <w:rFonts w:hint="eastAsia" w:ascii="Times New Roman" w:hAnsi="Times New Roman" w:eastAsia="仿宋_GB2312" w:cs="Times New Roman"/>
          <w:color w:val="auto"/>
          <w:sz w:val="24"/>
          <w:lang w:val="en-US" w:eastAsia="zh-CN"/>
        </w:rPr>
        <w:t>35.07</w:t>
      </w:r>
      <w:r>
        <w:rPr>
          <w:rFonts w:ascii="Times New Roman" w:hAnsi="Times New Roman" w:eastAsia="仿宋_GB2312" w:cs="Times New Roman"/>
          <w:color w:val="auto"/>
          <w:sz w:val="24"/>
        </w:rPr>
        <w:t>万元。水土保持投资中，工程措施费</w:t>
      </w:r>
      <w:r>
        <w:rPr>
          <w:rFonts w:hint="eastAsia" w:ascii="Times New Roman" w:hAnsi="Times New Roman" w:eastAsia="仿宋_GB2312" w:cs="Times New Roman"/>
          <w:color w:val="auto"/>
          <w:sz w:val="24"/>
          <w:lang w:val="en-US" w:eastAsia="zh-CN"/>
        </w:rPr>
        <w:t>30.14</w:t>
      </w:r>
      <w:r>
        <w:rPr>
          <w:rFonts w:ascii="Times New Roman" w:hAnsi="Times New Roman" w:eastAsia="仿宋_GB2312" w:cs="Times New Roman"/>
          <w:color w:val="auto"/>
          <w:sz w:val="24"/>
        </w:rPr>
        <w:t>万元，植物措施费</w:t>
      </w:r>
      <w:r>
        <w:rPr>
          <w:rFonts w:hint="eastAsia" w:ascii="Times New Roman" w:hAnsi="Times New Roman" w:eastAsia="仿宋_GB2312" w:cs="Times New Roman"/>
          <w:color w:val="auto"/>
          <w:sz w:val="24"/>
          <w:lang w:val="en-US" w:eastAsia="zh-CN"/>
        </w:rPr>
        <w:t>0.21</w:t>
      </w:r>
      <w:r>
        <w:rPr>
          <w:rFonts w:ascii="Times New Roman" w:hAnsi="Times New Roman" w:eastAsia="仿宋_GB2312" w:cs="Times New Roman"/>
          <w:color w:val="auto"/>
          <w:sz w:val="24"/>
        </w:rPr>
        <w:t>万元，施工临时工程措施</w:t>
      </w:r>
      <w:r>
        <w:rPr>
          <w:rFonts w:hint="eastAsia" w:ascii="Times New Roman" w:hAnsi="Times New Roman" w:eastAsia="仿宋_GB2312" w:cs="Times New Roman"/>
          <w:color w:val="auto"/>
          <w:sz w:val="24"/>
          <w:lang w:val="en-US" w:eastAsia="zh-CN"/>
        </w:rPr>
        <w:t>20.8</w:t>
      </w:r>
      <w:r>
        <w:rPr>
          <w:rFonts w:ascii="Times New Roman" w:hAnsi="Times New Roman" w:eastAsia="仿宋_GB2312" w:cs="Times New Roman"/>
          <w:color w:val="auto"/>
          <w:sz w:val="24"/>
        </w:rPr>
        <w:t>万元，独立费用</w:t>
      </w:r>
      <w:r>
        <w:rPr>
          <w:rFonts w:hint="eastAsia" w:ascii="Times New Roman" w:hAnsi="Times New Roman" w:eastAsia="仿宋_GB2312" w:cs="Times New Roman"/>
          <w:color w:val="auto"/>
          <w:sz w:val="24"/>
          <w:lang w:val="en-US" w:eastAsia="zh-CN"/>
        </w:rPr>
        <w:t>15.15</w:t>
      </w:r>
      <w:r>
        <w:rPr>
          <w:rFonts w:ascii="Times New Roman" w:hAnsi="Times New Roman" w:eastAsia="仿宋_GB2312" w:cs="Times New Roman"/>
          <w:color w:val="auto"/>
          <w:sz w:val="24"/>
        </w:rPr>
        <w:t>万元，基本预备费</w:t>
      </w:r>
      <w:r>
        <w:rPr>
          <w:rFonts w:hint="eastAsia" w:ascii="Times New Roman" w:hAnsi="Times New Roman" w:eastAsia="仿宋_GB2312" w:cs="Times New Roman"/>
          <w:color w:val="auto"/>
          <w:sz w:val="24"/>
          <w:lang w:val="en-US" w:eastAsia="zh-CN"/>
        </w:rPr>
        <w:t>2.98</w:t>
      </w:r>
      <w:r>
        <w:rPr>
          <w:rFonts w:ascii="Times New Roman" w:hAnsi="Times New Roman" w:eastAsia="仿宋_GB2312" w:cs="Times New Roman"/>
          <w:color w:val="auto"/>
          <w:sz w:val="24"/>
        </w:rPr>
        <w:t>万元，水土保持补偿费</w:t>
      </w:r>
      <w:r>
        <w:rPr>
          <w:rFonts w:hint="eastAsia" w:ascii="Times New Roman" w:hAnsi="Times New Roman" w:eastAsia="仿宋_GB2312" w:cs="Times New Roman"/>
          <w:color w:val="auto"/>
          <w:sz w:val="24"/>
          <w:lang w:val="en-US" w:eastAsia="zh-CN"/>
        </w:rPr>
        <w:t>2.29</w:t>
      </w:r>
      <w:r>
        <w:rPr>
          <w:rFonts w:ascii="Times New Roman" w:hAnsi="Times New Roman" w:eastAsia="仿宋_GB2312" w:cs="Times New Roman"/>
          <w:color w:val="auto"/>
          <w:sz w:val="24"/>
        </w:rPr>
        <w:t>万元（</w:t>
      </w:r>
      <w:r>
        <w:rPr>
          <w:rFonts w:hint="eastAsia" w:ascii="Times New Roman" w:hAnsi="Times New Roman" w:eastAsia="仿宋_GB2312" w:cs="Times New Roman"/>
          <w:color w:val="auto"/>
          <w:sz w:val="24"/>
          <w:lang w:val="en-US" w:eastAsia="zh-CN"/>
        </w:rPr>
        <w:t>22880</w:t>
      </w:r>
      <w:r>
        <w:rPr>
          <w:rFonts w:ascii="Times New Roman" w:hAnsi="Times New Roman" w:eastAsia="仿宋_GB2312" w:cs="Times New Roman"/>
          <w:color w:val="auto"/>
          <w:sz w:val="24"/>
        </w:rPr>
        <w:t>元）。水土保持投资估算见表7.1-2至7.1-8。</w:t>
      </w:r>
    </w:p>
    <w:p>
      <w:pPr>
        <w:widowControl w:val="0"/>
        <w:jc w:val="center"/>
        <w:rPr>
          <w:rFonts w:ascii="Times New Roman" w:hAnsi="Times New Roman" w:eastAsia="仿宋_GB2312" w:cs="Times New Roman"/>
          <w:b/>
          <w:color w:val="auto"/>
        </w:rPr>
      </w:pPr>
      <w:r>
        <w:rPr>
          <w:rFonts w:ascii="Times New Roman" w:hAnsi="Times New Roman" w:eastAsia="仿宋_GB2312" w:cs="Times New Roman"/>
          <w:b/>
          <w:color w:val="auto"/>
        </w:rPr>
        <w:t>表7.1-2 水土保持措施估算总表</w:t>
      </w:r>
    </w:p>
    <w:tbl>
      <w:tblPr>
        <w:tblStyle w:val="11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0"/>
        <w:gridCol w:w="1804"/>
        <w:gridCol w:w="824"/>
        <w:gridCol w:w="824"/>
        <w:gridCol w:w="681"/>
        <w:gridCol w:w="824"/>
        <w:gridCol w:w="824"/>
        <w:gridCol w:w="677"/>
        <w:gridCol w:w="688"/>
        <w:gridCol w:w="6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72" w:type="pct"/>
            <w:vMerge w:val="restar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序号</w:t>
            </w:r>
          </w:p>
        </w:tc>
        <w:tc>
          <w:tcPr>
            <w:tcW w:w="1021" w:type="pct"/>
            <w:vMerge w:val="restar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工程或费用名称</w:t>
            </w:r>
          </w:p>
        </w:tc>
        <w:tc>
          <w:tcPr>
            <w:tcW w:w="1317" w:type="pct"/>
            <w:gridSpan w:val="3"/>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主体已有投资</w:t>
            </w:r>
          </w:p>
        </w:tc>
        <w:tc>
          <w:tcPr>
            <w:tcW w:w="1704" w:type="pct"/>
            <w:gridSpan w:val="4"/>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方案新增投资</w:t>
            </w:r>
          </w:p>
        </w:tc>
        <w:tc>
          <w:tcPr>
            <w:tcW w:w="383" w:type="pct"/>
            <w:vMerge w:val="restar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72" w:type="pct"/>
            <w:vMerge w:val="continue"/>
            <w:vAlign w:val="center"/>
          </w:tcPr>
          <w:p>
            <w:pPr>
              <w:adjustRightInd w:val="0"/>
              <w:snapToGrid w:val="0"/>
              <w:jc w:val="center"/>
              <w:rPr>
                <w:rFonts w:ascii="Times New Roman" w:hAnsi="Times New Roman" w:eastAsia="仿宋" w:cs="Times New Roman"/>
                <w:color w:val="auto"/>
                <w:kern w:val="0"/>
                <w:sz w:val="18"/>
                <w:szCs w:val="18"/>
              </w:rPr>
            </w:pPr>
          </w:p>
        </w:tc>
        <w:tc>
          <w:tcPr>
            <w:tcW w:w="1021" w:type="pct"/>
            <w:vMerge w:val="continue"/>
            <w:vAlign w:val="center"/>
          </w:tcPr>
          <w:p>
            <w:pPr>
              <w:adjustRightInd w:val="0"/>
              <w:snapToGrid w:val="0"/>
              <w:jc w:val="center"/>
              <w:rPr>
                <w:rFonts w:ascii="Times New Roman" w:hAnsi="Times New Roman" w:eastAsia="仿宋" w:cs="Times New Roman"/>
                <w:color w:val="auto"/>
                <w:kern w:val="0"/>
                <w:sz w:val="18"/>
                <w:szCs w:val="18"/>
              </w:rPr>
            </w:pPr>
          </w:p>
        </w:tc>
        <w:tc>
          <w:tcPr>
            <w:tcW w:w="466"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建  安</w:t>
            </w:r>
          </w:p>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工程费</w:t>
            </w:r>
          </w:p>
        </w:tc>
        <w:tc>
          <w:tcPr>
            <w:tcW w:w="466"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  草</w:t>
            </w:r>
          </w:p>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工程费</w:t>
            </w:r>
          </w:p>
        </w:tc>
        <w:tc>
          <w:tcPr>
            <w:tcW w:w="384" w:type="pc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小计</w:t>
            </w:r>
          </w:p>
        </w:tc>
        <w:tc>
          <w:tcPr>
            <w:tcW w:w="466"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建  安</w:t>
            </w:r>
          </w:p>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工程费</w:t>
            </w:r>
          </w:p>
        </w:tc>
        <w:tc>
          <w:tcPr>
            <w:tcW w:w="466"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林  草</w:t>
            </w:r>
          </w:p>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工程费</w:t>
            </w:r>
          </w:p>
        </w:tc>
        <w:tc>
          <w:tcPr>
            <w:tcW w:w="383"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其他</w:t>
            </w:r>
          </w:p>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费用</w:t>
            </w:r>
          </w:p>
        </w:tc>
        <w:tc>
          <w:tcPr>
            <w:tcW w:w="388" w:type="pc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小计</w:t>
            </w:r>
          </w:p>
        </w:tc>
        <w:tc>
          <w:tcPr>
            <w:tcW w:w="383" w:type="pct"/>
            <w:vMerge w:val="continue"/>
            <w:vAlign w:val="center"/>
          </w:tcPr>
          <w:p>
            <w:pPr>
              <w:adjustRightInd w:val="0"/>
              <w:snapToGrid w:val="0"/>
              <w:jc w:val="center"/>
              <w:rPr>
                <w:rFonts w:ascii="Times New Roman" w:hAnsi="Times New Roman" w:eastAsia="仿宋" w:cs="Times New Roman"/>
                <w:color w:val="auto"/>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第一部分</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工程措施</w:t>
            </w:r>
          </w:p>
        </w:tc>
        <w:tc>
          <w:tcPr>
            <w:tcW w:w="824"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20.75</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20.75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82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9.39</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i w:val="0"/>
                <w:iCs w:val="0"/>
                <w:color w:val="auto"/>
                <w:kern w:val="0"/>
                <w:sz w:val="18"/>
                <w:szCs w:val="18"/>
                <w:u w:val="none"/>
                <w:lang w:val="en-US" w:eastAsia="zh-CN" w:bidi="ar"/>
              </w:rPr>
              <w:t>9.39</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77"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bidi="ar"/>
              </w:rPr>
            </w:pPr>
            <w:r>
              <w:rPr>
                <w:rFonts w:hint="eastAsia" w:ascii="Times New Roman" w:hAnsi="Times New Roman" w:eastAsia="宋体" w:cs="Times New Roman"/>
                <w:i w:val="0"/>
                <w:iCs w:val="0"/>
                <w:color w:val="auto"/>
                <w:kern w:val="0"/>
                <w:sz w:val="18"/>
                <w:szCs w:val="18"/>
                <w:u w:val="none"/>
                <w:lang w:val="en-US" w:eastAsia="zh-CN" w:bidi="ar"/>
              </w:rPr>
              <w:t>30.14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第二部分</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植物措施</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0.21</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0.21</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77"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bidi="ar"/>
              </w:rPr>
            </w:pPr>
            <w:r>
              <w:rPr>
                <w:rFonts w:hint="eastAsia" w:ascii="Times New Roman" w:hAnsi="Times New Roman" w:eastAsia="宋体" w:cs="Times New Roman"/>
                <w:i w:val="0"/>
                <w:iCs w:val="0"/>
                <w:color w:val="auto"/>
                <w:kern w:val="0"/>
                <w:sz w:val="18"/>
                <w:szCs w:val="18"/>
                <w:u w:val="none"/>
                <w:lang w:val="en-US" w:eastAsia="zh-CN" w:bidi="ar"/>
              </w:rPr>
              <w:t>0.21</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第</w:t>
            </w:r>
            <w:r>
              <w:rPr>
                <w:rFonts w:hint="eastAsia" w:ascii="Times New Roman" w:hAnsi="Times New Roman" w:eastAsia="仿宋" w:cs="Times New Roman"/>
                <w:color w:val="auto"/>
                <w:kern w:val="0"/>
                <w:sz w:val="18"/>
                <w:szCs w:val="18"/>
                <w:lang w:val="en-US" w:eastAsia="zh-CN"/>
              </w:rPr>
              <w:t>三</w:t>
            </w:r>
            <w:r>
              <w:rPr>
                <w:rFonts w:ascii="Times New Roman" w:hAnsi="Times New Roman" w:eastAsia="仿宋" w:cs="Times New Roman"/>
                <w:color w:val="auto"/>
                <w:kern w:val="0"/>
                <w:sz w:val="18"/>
                <w:szCs w:val="18"/>
              </w:rPr>
              <w:t>部分</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施工临时工程</w:t>
            </w:r>
          </w:p>
        </w:tc>
        <w:tc>
          <w:tcPr>
            <w:tcW w:w="82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15.54</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15.54</w:t>
            </w:r>
          </w:p>
        </w:tc>
        <w:tc>
          <w:tcPr>
            <w:tcW w:w="82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5.26</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bidi="ar"/>
              </w:rPr>
            </w:pPr>
            <w:r>
              <w:rPr>
                <w:rFonts w:hint="eastAsia" w:ascii="Times New Roman" w:hAnsi="Times New Roman" w:eastAsia="宋体" w:cs="Times New Roman"/>
                <w:i w:val="0"/>
                <w:iCs w:val="0"/>
                <w:color w:val="auto"/>
                <w:kern w:val="0"/>
                <w:sz w:val="18"/>
                <w:szCs w:val="18"/>
                <w:u w:val="none"/>
                <w:lang w:val="en-US" w:eastAsia="zh-CN" w:bidi="ar"/>
              </w:rPr>
              <w:t>5.26</w:t>
            </w:r>
          </w:p>
        </w:tc>
        <w:tc>
          <w:tcPr>
            <w:tcW w:w="677"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i w:val="0"/>
                <w:iCs w:val="0"/>
                <w:color w:val="auto"/>
                <w:kern w:val="0"/>
                <w:sz w:val="18"/>
                <w:szCs w:val="18"/>
                <w:u w:val="none"/>
                <w:lang w:val="en-US" w:eastAsia="zh-CN" w:bidi="ar"/>
              </w:rPr>
              <w:t>20.8</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noWrap/>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第</w:t>
            </w:r>
            <w:r>
              <w:rPr>
                <w:rFonts w:hint="eastAsia" w:ascii="Times New Roman" w:hAnsi="Times New Roman" w:eastAsia="仿宋" w:cs="Times New Roman"/>
                <w:color w:val="auto"/>
                <w:kern w:val="0"/>
                <w:sz w:val="18"/>
                <w:szCs w:val="18"/>
                <w:lang w:val="en-US" w:eastAsia="zh-CN"/>
              </w:rPr>
              <w:t>四</w:t>
            </w:r>
            <w:r>
              <w:rPr>
                <w:rFonts w:ascii="Times New Roman" w:hAnsi="Times New Roman" w:eastAsia="仿宋" w:cs="Times New Roman"/>
                <w:color w:val="auto"/>
                <w:kern w:val="0"/>
                <w:sz w:val="18"/>
                <w:szCs w:val="18"/>
              </w:rPr>
              <w:t>部分</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独立费用</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1"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15.15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88"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i w:val="0"/>
                <w:iCs w:val="0"/>
                <w:color w:val="auto"/>
                <w:kern w:val="0"/>
                <w:sz w:val="18"/>
                <w:szCs w:val="18"/>
                <w:u w:val="none"/>
                <w:lang w:val="en-US" w:eastAsia="zh-CN" w:bidi="ar"/>
              </w:rPr>
              <w:t>15.15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77"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i w:val="0"/>
                <w:iCs w:val="0"/>
                <w:color w:val="auto"/>
                <w:kern w:val="0"/>
                <w:sz w:val="18"/>
                <w:szCs w:val="18"/>
                <w:u w:val="none"/>
                <w:lang w:val="en-US" w:eastAsia="zh-CN" w:bidi="ar"/>
              </w:rPr>
              <w:t>15.15</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宋体" w:cs="Times New Roman"/>
                <w:color w:val="auto"/>
                <w:kern w:val="0"/>
                <w:sz w:val="18"/>
                <w:szCs w:val="18"/>
              </w:rPr>
              <w:t>Ⅰ</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第一至</w:t>
            </w:r>
            <w:r>
              <w:rPr>
                <w:rFonts w:hint="eastAsia" w:ascii="Times New Roman" w:hAnsi="Times New Roman" w:eastAsia="仿宋" w:cs="Times New Roman"/>
                <w:color w:val="auto"/>
                <w:kern w:val="0"/>
                <w:sz w:val="18"/>
                <w:szCs w:val="18"/>
                <w:lang w:val="en-US" w:eastAsia="zh-CN"/>
              </w:rPr>
              <w:t>四</w:t>
            </w:r>
            <w:r>
              <w:rPr>
                <w:rFonts w:ascii="Times New Roman" w:hAnsi="Times New Roman" w:eastAsia="仿宋" w:cs="Times New Roman"/>
                <w:color w:val="auto"/>
                <w:kern w:val="0"/>
                <w:sz w:val="18"/>
                <w:szCs w:val="18"/>
              </w:rPr>
              <w:t>部分合计</w:t>
            </w:r>
          </w:p>
        </w:tc>
        <w:tc>
          <w:tcPr>
            <w:tcW w:w="824"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36.29</w:t>
            </w:r>
          </w:p>
        </w:tc>
        <w:tc>
          <w:tcPr>
            <w:tcW w:w="824"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0.21</w:t>
            </w:r>
          </w:p>
        </w:tc>
        <w:tc>
          <w:tcPr>
            <w:tcW w:w="6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36.5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824"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14.65</w:t>
            </w:r>
          </w:p>
        </w:tc>
        <w:tc>
          <w:tcPr>
            <w:tcW w:w="824" w:type="dxa"/>
            <w:noWrap/>
            <w:vAlign w:val="center"/>
          </w:tcPr>
          <w:p>
            <w:pPr>
              <w:keepNext w:val="0"/>
              <w:keepLines w:val="0"/>
              <w:widowControl/>
              <w:suppressLineNumbers w:val="0"/>
              <w:adjustRightInd w:val="0"/>
              <w:snapToGrid w:val="0"/>
              <w:jc w:val="both"/>
              <w:textAlignment w:val="center"/>
              <w:rPr>
                <w:rFonts w:hint="default" w:ascii="Times New Roman" w:hAnsi="Times New Roman" w:eastAsia="宋体" w:cs="Times New Roman"/>
                <w:color w:val="auto"/>
                <w:kern w:val="0"/>
                <w:sz w:val="18"/>
                <w:szCs w:val="18"/>
                <w:lang w:val="en-US" w:eastAsia="zh-CN" w:bidi="ar"/>
              </w:rPr>
            </w:pPr>
          </w:p>
        </w:tc>
        <w:tc>
          <w:tcPr>
            <w:tcW w:w="677"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15.15</w:t>
            </w:r>
          </w:p>
        </w:tc>
        <w:tc>
          <w:tcPr>
            <w:tcW w:w="688"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bidi="ar"/>
              </w:rPr>
            </w:pPr>
            <w:r>
              <w:rPr>
                <w:rFonts w:hint="eastAsia" w:ascii="Times New Roman" w:hAnsi="Times New Roman" w:eastAsia="宋体" w:cs="Times New Roman"/>
                <w:i w:val="0"/>
                <w:iCs w:val="0"/>
                <w:color w:val="auto"/>
                <w:kern w:val="0"/>
                <w:sz w:val="18"/>
                <w:szCs w:val="18"/>
                <w:u w:val="none"/>
                <w:lang w:val="en-US" w:eastAsia="zh-CN" w:bidi="ar"/>
              </w:rPr>
              <w:t>29.8</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77"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i w:val="0"/>
                <w:iCs w:val="0"/>
                <w:color w:val="auto"/>
                <w:kern w:val="0"/>
                <w:sz w:val="18"/>
                <w:szCs w:val="18"/>
                <w:u w:val="none"/>
                <w:lang w:val="en-US" w:eastAsia="zh-CN" w:bidi="ar"/>
              </w:rPr>
              <w:t>66.30</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宋体" w:cs="Times New Roman"/>
                <w:color w:val="auto"/>
                <w:kern w:val="0"/>
                <w:sz w:val="18"/>
                <w:szCs w:val="18"/>
              </w:rPr>
              <w:t>Ⅱ</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基本预备费</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1"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2.98</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677"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宋体" w:cs="Times New Roman"/>
                <w:color w:val="auto"/>
                <w:kern w:val="0"/>
                <w:sz w:val="18"/>
                <w:szCs w:val="18"/>
              </w:rPr>
              <w:t>Ⅲ</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价差预备费</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1"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宋体" w:cs="Times New Roman"/>
                <w:color w:val="auto"/>
                <w:kern w:val="0"/>
                <w:sz w:val="18"/>
                <w:szCs w:val="18"/>
              </w:rPr>
              <w:t>Ⅳ</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水土保持补偿费</w:t>
            </w: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1" w:type="dxa"/>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2.29</w:t>
            </w:r>
          </w:p>
        </w:tc>
        <w:tc>
          <w:tcPr>
            <w:tcW w:w="677"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2.29</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2"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宋体" w:cs="Times New Roman"/>
                <w:color w:val="auto"/>
                <w:kern w:val="0"/>
                <w:sz w:val="18"/>
                <w:szCs w:val="18"/>
              </w:rPr>
              <w:t>Ⅴ</w:t>
            </w:r>
          </w:p>
        </w:tc>
        <w:tc>
          <w:tcPr>
            <w:tcW w:w="1021" w:type="pct"/>
            <w:vAlign w:val="center"/>
          </w:tcPr>
          <w:p>
            <w:pPr>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工程投资合计</w:t>
            </w:r>
          </w:p>
        </w:tc>
        <w:tc>
          <w:tcPr>
            <w:tcW w:w="824" w:type="dxa"/>
            <w:vAlign w:val="center"/>
          </w:tcPr>
          <w:p>
            <w:pPr>
              <w:adjustRightInd w:val="0"/>
              <w:snapToGrid w:val="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36.29</w:t>
            </w:r>
          </w:p>
        </w:tc>
        <w:tc>
          <w:tcPr>
            <w:tcW w:w="824" w:type="dxa"/>
            <w:vAlign w:val="center"/>
          </w:tcPr>
          <w:p>
            <w:pPr>
              <w:adjustRightInd w:val="0"/>
              <w:snapToGrid w:val="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0.21</w:t>
            </w:r>
          </w:p>
        </w:tc>
        <w:tc>
          <w:tcPr>
            <w:tcW w:w="681" w:type="dxa"/>
            <w:vAlign w:val="center"/>
          </w:tcPr>
          <w:p>
            <w:pPr>
              <w:adjustRightInd w:val="0"/>
              <w:snapToGrid w:val="0"/>
              <w:jc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36.5</w:t>
            </w: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824"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77" w:type="dxa"/>
            <w:noWrap/>
            <w:vAlign w:val="center"/>
          </w:tcPr>
          <w:p>
            <w:pPr>
              <w:adjustRightInd w:val="0"/>
              <w:snapToGrid w:val="0"/>
              <w:jc w:val="center"/>
              <w:rPr>
                <w:rFonts w:ascii="Times New Roman" w:hAnsi="Times New Roman" w:eastAsia="宋体" w:cs="Times New Roman"/>
                <w:color w:val="auto"/>
                <w:kern w:val="0"/>
                <w:sz w:val="18"/>
                <w:szCs w:val="18"/>
                <w:lang w:bidi="ar"/>
              </w:rPr>
            </w:pPr>
          </w:p>
        </w:tc>
        <w:tc>
          <w:tcPr>
            <w:tcW w:w="688"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5"/>
                <w:szCs w:val="15"/>
                <w:lang w:val="en-US" w:eastAsia="zh-CN" w:bidi="ar"/>
              </w:rPr>
            </w:pPr>
            <w:r>
              <w:rPr>
                <w:rFonts w:hint="eastAsia" w:ascii="Times New Roman" w:hAnsi="Times New Roman" w:eastAsia="宋体" w:cs="Times New Roman"/>
                <w:color w:val="auto"/>
                <w:kern w:val="0"/>
                <w:sz w:val="18"/>
                <w:szCs w:val="18"/>
                <w:lang w:val="en-US" w:eastAsia="zh-CN" w:bidi="ar"/>
              </w:rPr>
              <w:t>35.07</w:t>
            </w:r>
          </w:p>
        </w:tc>
        <w:tc>
          <w:tcPr>
            <w:tcW w:w="677" w:type="dxa"/>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lang w:bidi="ar"/>
              </w:rPr>
            </w:pPr>
            <w:r>
              <w:rPr>
                <w:rFonts w:hint="eastAsia" w:ascii="Times New Roman" w:hAnsi="Times New Roman" w:eastAsia="宋体" w:cs="Times New Roman"/>
                <w:i w:val="0"/>
                <w:iCs w:val="0"/>
                <w:color w:val="auto"/>
                <w:kern w:val="0"/>
                <w:sz w:val="18"/>
                <w:szCs w:val="18"/>
                <w:u w:val="none"/>
                <w:lang w:val="en-US" w:eastAsia="zh-CN" w:bidi="ar"/>
              </w:rPr>
              <w:t>71.57</w:t>
            </w:r>
            <w:r>
              <w:rPr>
                <w:rFonts w:hint="default" w:ascii="Times New Roman" w:hAnsi="Times New Roman" w:eastAsia="宋体" w:cs="Times New Roman"/>
                <w:i w:val="0"/>
                <w:iCs w:val="0"/>
                <w:color w:val="auto"/>
                <w:kern w:val="0"/>
                <w:sz w:val="18"/>
                <w:szCs w:val="18"/>
                <w:u w:val="none"/>
                <w:lang w:val="en-US" w:eastAsia="zh-CN" w:bidi="ar"/>
              </w:rPr>
              <w:t xml:space="preserve"> </w:t>
            </w:r>
          </w:p>
        </w:tc>
      </w:tr>
    </w:tbl>
    <w:p>
      <w:pPr>
        <w:widowControl w:val="0"/>
        <w:jc w:val="both"/>
        <w:rPr>
          <w:rFonts w:ascii="Times New Roman" w:hAnsi="Times New Roman" w:eastAsia="仿宋" w:cs="Times New Roman"/>
          <w:b/>
          <w:color w:val="auto"/>
          <w:sz w:val="24"/>
        </w:rPr>
      </w:pPr>
    </w:p>
    <w:p>
      <w:pPr>
        <w:widowControl w:val="0"/>
        <w:spacing w:line="360" w:lineRule="auto"/>
        <w:jc w:val="center"/>
        <w:rPr>
          <w:rFonts w:ascii="Times New Roman" w:hAnsi="Times New Roman" w:eastAsia="仿宋" w:cs="Times New Roman"/>
          <w:b/>
          <w:color w:val="auto"/>
          <w:szCs w:val="21"/>
          <w:highlight w:val="none"/>
        </w:rPr>
      </w:pPr>
      <w:r>
        <w:rPr>
          <w:rFonts w:ascii="Times New Roman" w:hAnsi="Times New Roman" w:eastAsia="仿宋" w:cs="Times New Roman"/>
          <w:b/>
          <w:color w:val="auto"/>
          <w:szCs w:val="21"/>
          <w:highlight w:val="none"/>
        </w:rPr>
        <w:t>表7.1-3 主体已有措施投资估算表</w:t>
      </w:r>
    </w:p>
    <w:tbl>
      <w:tblPr>
        <w:tblStyle w:val="115"/>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67"/>
        <w:gridCol w:w="876"/>
        <w:gridCol w:w="1306"/>
        <w:gridCol w:w="953"/>
        <w:gridCol w:w="595"/>
        <w:gridCol w:w="467"/>
        <w:gridCol w:w="729"/>
        <w:gridCol w:w="880"/>
        <w:gridCol w:w="1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50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项目组成</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措施类型</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措施名称</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工程量指标</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单位</w:t>
            </w: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单价/元</w:t>
            </w:r>
          </w:p>
        </w:tc>
        <w:tc>
          <w:tcPr>
            <w:tcW w:w="507"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投资/万元</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措施布置位置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井场及配</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套设施区</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表土剥离</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剥离数量</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4500</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10.28</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4.63 </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占用耕地</w:t>
            </w:r>
            <w:r>
              <w:rPr>
                <w:rFonts w:hint="eastAsia" w:ascii="Times New Roman" w:hAnsi="Times New Roman" w:eastAsia="仿宋" w:cs="Times New Roman"/>
                <w:color w:val="auto"/>
                <w:kern w:val="0"/>
                <w:sz w:val="18"/>
                <w:szCs w:val="18"/>
                <w:highlight w:val="none"/>
                <w:lang w:eastAsia="zh-CN"/>
              </w:rPr>
              <w:t>、</w:t>
            </w:r>
            <w:r>
              <w:rPr>
                <w:rFonts w:hint="eastAsia" w:ascii="Times New Roman" w:hAnsi="Times New Roman" w:eastAsia="仿宋" w:cs="Times New Roman"/>
                <w:color w:val="auto"/>
                <w:kern w:val="0"/>
                <w:sz w:val="18"/>
                <w:szCs w:val="18"/>
                <w:highlight w:val="none"/>
                <w:lang w:val="en-US" w:eastAsia="zh-CN"/>
              </w:rPr>
              <w:t>林地</w:t>
            </w:r>
            <w:r>
              <w:rPr>
                <w:rFonts w:ascii="Times New Roman" w:hAnsi="Times New Roman" w:eastAsia="仿宋" w:cs="Times New Roman"/>
                <w:color w:val="auto"/>
                <w:kern w:val="0"/>
                <w:sz w:val="18"/>
                <w:szCs w:val="18"/>
                <w:highlight w:val="none"/>
              </w:rPr>
              <w:t>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 w:cs="Times New Roman"/>
                <w:color w:val="auto"/>
                <w:kern w:val="0"/>
                <w:sz w:val="18"/>
                <w:szCs w:val="18"/>
                <w:highlight w:val="none"/>
                <w:lang w:val="en-US" w:eastAsia="zh-CN"/>
              </w:rPr>
              <w:t>砖砌</w:t>
            </w:r>
            <w:r>
              <w:rPr>
                <w:rFonts w:ascii="Times New Roman" w:hAnsi="Times New Roman" w:eastAsia="仿宋" w:cs="Times New Roman"/>
                <w:color w:val="auto"/>
                <w:kern w:val="0"/>
                <w:sz w:val="18"/>
                <w:szCs w:val="18"/>
                <w:highlight w:val="none"/>
              </w:rPr>
              <w:t>排水沟</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长度</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718</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148.64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10.67 </w:t>
            </w:r>
          </w:p>
        </w:tc>
        <w:tc>
          <w:tcPr>
            <w:tcW w:w="1150"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bidi="ar-SA"/>
              </w:rPr>
            </w:pPr>
            <w:r>
              <w:rPr>
                <w:rFonts w:ascii="Times New Roman" w:hAnsi="Times New Roman" w:eastAsia="仿宋" w:cs="Times New Roman"/>
                <w:color w:val="auto"/>
                <w:kern w:val="0"/>
                <w:sz w:val="18"/>
                <w:szCs w:val="18"/>
                <w:highlight w:val="none"/>
              </w:rPr>
              <w:t>井场内部</w:t>
            </w:r>
            <w:r>
              <w:rPr>
                <w:rFonts w:hint="eastAsia" w:ascii="Times New Roman" w:hAnsi="Times New Roman" w:eastAsia="仿宋" w:cs="Times New Roman"/>
                <w:color w:val="auto"/>
                <w:kern w:val="0"/>
                <w:sz w:val="18"/>
                <w:szCs w:val="18"/>
                <w:highlight w:val="none"/>
                <w:lang w:val="en-US" w:eastAsia="zh-CN"/>
              </w:rPr>
              <w:t>排水沟及场外排水沟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植物措施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 w:cs="Times New Roman"/>
                <w:color w:val="auto"/>
                <w:kern w:val="0"/>
                <w:sz w:val="18"/>
                <w:szCs w:val="18"/>
                <w:highlight w:val="none"/>
                <w:lang w:val="en-US" w:eastAsia="zh-CN"/>
              </w:rPr>
              <w:t>播撒草籽</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面积</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900</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2.32</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0.21 </w:t>
            </w:r>
          </w:p>
        </w:tc>
        <w:tc>
          <w:tcPr>
            <w:tcW w:w="1150" w:type="pct"/>
            <w:noWrap/>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挖方边坡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6"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15.51</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restar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施工临时生活区</w:t>
            </w:r>
          </w:p>
        </w:tc>
        <w:tc>
          <w:tcPr>
            <w:tcW w:w="505"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工程措施</w:t>
            </w:r>
          </w:p>
        </w:tc>
        <w:tc>
          <w:tcPr>
            <w:tcW w:w="753"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排水沟</w:t>
            </w:r>
          </w:p>
        </w:tc>
        <w:tc>
          <w:tcPr>
            <w:tcW w:w="549" w:type="pct"/>
            <w:vAlign w:val="center"/>
          </w:tcPr>
          <w:p>
            <w:pPr>
              <w:adjustRightInd w:val="0"/>
              <w:snapToGrid w:val="0"/>
              <w:jc w:val="center"/>
              <w:rPr>
                <w:rFonts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长度</w:t>
            </w:r>
          </w:p>
        </w:tc>
        <w:tc>
          <w:tcPr>
            <w:tcW w:w="343" w:type="pct"/>
            <w:vAlign w:val="center"/>
          </w:tcPr>
          <w:p>
            <w:pPr>
              <w:adjustRightInd w:val="0"/>
              <w:snapToGrid w:val="0"/>
              <w:jc w:val="center"/>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rPr>
              <w:t>m</w:t>
            </w:r>
          </w:p>
        </w:tc>
        <w:tc>
          <w:tcPr>
            <w:tcW w:w="269" w:type="pct"/>
            <w:vAlign w:val="center"/>
          </w:tcPr>
          <w:p>
            <w:pPr>
              <w:adjustRightInd w:val="0"/>
              <w:snapToGrid w:val="0"/>
              <w:jc w:val="center"/>
              <w:rPr>
                <w:rFonts w:hint="eastAsia" w:ascii="Times New Roman" w:hAnsi="Times New Roman" w:eastAsia="仿宋_GB2312" w:cs="Times New Roman"/>
                <w:color w:val="auto"/>
                <w:kern w:val="0"/>
                <w:sz w:val="18"/>
                <w:szCs w:val="18"/>
                <w:highlight w:val="none"/>
                <w:lang w:val="en-US" w:eastAsia="zh-CN" w:bidi="ar-SA"/>
              </w:rPr>
            </w:pPr>
            <w:r>
              <w:rPr>
                <w:rFonts w:hint="eastAsia" w:ascii="Times New Roman" w:hAnsi="Times New Roman" w:eastAsia="仿宋_GB2312" w:cs="Times New Roman"/>
                <w:color w:val="auto"/>
                <w:kern w:val="0"/>
                <w:sz w:val="18"/>
                <w:szCs w:val="18"/>
                <w:highlight w:val="none"/>
                <w:lang w:val="en-US" w:eastAsia="zh-CN"/>
              </w:rPr>
              <w:t>135</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148.64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2.01</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2.01</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堆放场</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临时措施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播撒草籽</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面积</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2</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1490</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2.32</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0.35 </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堆土边坡及顶面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9"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5"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临时措施</w:t>
            </w:r>
          </w:p>
        </w:tc>
        <w:tc>
          <w:tcPr>
            <w:tcW w:w="753"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土袋拦挡</w:t>
            </w:r>
          </w:p>
        </w:tc>
        <w:tc>
          <w:tcPr>
            <w:tcW w:w="549"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ascii="Times New Roman" w:hAnsi="Times New Roman" w:eastAsia="仿宋" w:cs="Times New Roman"/>
                <w:color w:val="auto"/>
                <w:kern w:val="0"/>
                <w:sz w:val="18"/>
                <w:szCs w:val="18"/>
                <w:highlight w:val="none"/>
              </w:rPr>
              <w:t>数量</w:t>
            </w:r>
          </w:p>
        </w:tc>
        <w:tc>
          <w:tcPr>
            <w:tcW w:w="343"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562.5</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276.34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15.54 </w:t>
            </w:r>
          </w:p>
        </w:tc>
        <w:tc>
          <w:tcPr>
            <w:tcW w:w="1150"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堆土坡底外侧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15.89</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500" w:type="pct"/>
            <w:vMerge w:val="restar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道路</w:t>
            </w:r>
          </w:p>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w:t>
            </w:r>
          </w:p>
        </w:tc>
        <w:tc>
          <w:tcPr>
            <w:tcW w:w="505"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工程措施</w:t>
            </w:r>
          </w:p>
        </w:tc>
        <w:tc>
          <w:tcPr>
            <w:tcW w:w="75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hint="eastAsia" w:ascii="Times New Roman" w:hAnsi="Times New Roman" w:eastAsia="仿宋_GB2312" w:cs="Times New Roman"/>
                <w:color w:val="auto"/>
                <w:kern w:val="0"/>
                <w:sz w:val="18"/>
                <w:szCs w:val="18"/>
                <w:highlight w:val="none"/>
                <w:lang w:val="en-US" w:eastAsia="zh-CN"/>
              </w:rPr>
              <w:t>排水沟</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长度</w:t>
            </w: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m</w:t>
            </w:r>
          </w:p>
        </w:tc>
        <w:tc>
          <w:tcPr>
            <w:tcW w:w="269"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_GB2312" w:cs="Times New Roman"/>
                <w:color w:val="auto"/>
                <w:kern w:val="0"/>
                <w:sz w:val="18"/>
                <w:szCs w:val="18"/>
                <w:highlight w:val="none"/>
                <w:lang w:val="en-US" w:eastAsia="zh-CN"/>
              </w:rPr>
              <w:t>208</w:t>
            </w:r>
          </w:p>
        </w:tc>
        <w:tc>
          <w:tcPr>
            <w:tcW w:w="420" w:type="pct"/>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148.64</w:t>
            </w: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3.09 </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占用耕地</w:t>
            </w:r>
            <w:r>
              <w:rPr>
                <w:rFonts w:hint="eastAsia" w:ascii="Times New Roman" w:hAnsi="Times New Roman" w:eastAsia="仿宋" w:cs="Times New Roman"/>
                <w:color w:val="auto"/>
                <w:kern w:val="0"/>
                <w:sz w:val="18"/>
                <w:szCs w:val="18"/>
                <w:highlight w:val="none"/>
                <w:lang w:eastAsia="zh-CN"/>
              </w:rPr>
              <w:t>、</w:t>
            </w:r>
            <w:r>
              <w:rPr>
                <w:rFonts w:hint="eastAsia" w:ascii="Times New Roman" w:hAnsi="Times New Roman" w:eastAsia="仿宋" w:cs="Times New Roman"/>
                <w:color w:val="auto"/>
                <w:kern w:val="0"/>
                <w:sz w:val="18"/>
                <w:szCs w:val="18"/>
                <w:highlight w:val="none"/>
                <w:lang w:val="en-US" w:eastAsia="zh-CN"/>
              </w:rPr>
              <w:t>林地</w:t>
            </w:r>
            <w:r>
              <w:rPr>
                <w:rFonts w:ascii="Times New Roman" w:hAnsi="Times New Roman" w:eastAsia="仿宋" w:cs="Times New Roman"/>
                <w:color w:val="auto"/>
                <w:kern w:val="0"/>
                <w:sz w:val="18"/>
                <w:szCs w:val="18"/>
                <w:highlight w:val="none"/>
              </w:rPr>
              <w:t>区域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500" w:type="pct"/>
            <w:vMerge w:val="continue"/>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258" w:type="pct"/>
            <w:gridSpan w:val="2"/>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小计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3.09</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758" w:type="pct"/>
            <w:gridSpan w:val="3"/>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合计</w:t>
            </w:r>
          </w:p>
        </w:tc>
        <w:tc>
          <w:tcPr>
            <w:tcW w:w="54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343"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269"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42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507"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36.5</w:t>
            </w:r>
          </w:p>
        </w:tc>
        <w:tc>
          <w:tcPr>
            <w:tcW w:w="1150" w:type="pct"/>
            <w:vAlign w:val="center"/>
          </w:tcPr>
          <w:p>
            <w:pPr>
              <w:adjustRightInd w:val="0"/>
              <w:snapToGrid w:val="0"/>
              <w:jc w:val="center"/>
              <w:rPr>
                <w:rFonts w:ascii="Times New Roman" w:hAnsi="Times New Roman" w:eastAsia="仿宋" w:cs="Times New Roman"/>
                <w:color w:val="auto"/>
                <w:kern w:val="0"/>
                <w:sz w:val="18"/>
                <w:szCs w:val="18"/>
                <w:highlight w:val="none"/>
              </w:rPr>
            </w:pPr>
          </w:p>
        </w:tc>
      </w:tr>
    </w:tbl>
    <w:p>
      <w:pPr>
        <w:widowControl w:val="0"/>
        <w:spacing w:line="360" w:lineRule="auto"/>
        <w:jc w:val="center"/>
        <w:textAlignment w:val="baseline"/>
        <w:rPr>
          <w:rFonts w:ascii="Times New Roman" w:hAnsi="Times New Roman" w:eastAsia="仿宋" w:cs="Times New Roman"/>
          <w:b/>
          <w:color w:val="auto"/>
          <w:position w:val="-2"/>
          <w:szCs w:val="21"/>
        </w:rPr>
      </w:pPr>
      <w:r>
        <w:rPr>
          <w:rFonts w:ascii="Times New Roman" w:hAnsi="Times New Roman" w:eastAsia="仿宋" w:cs="Times New Roman"/>
          <w:b/>
          <w:color w:val="auto"/>
          <w:position w:val="-2"/>
          <w:szCs w:val="21"/>
        </w:rPr>
        <w:t>表7.1-4新增分区措施投资估算表</w:t>
      </w:r>
    </w:p>
    <w:tbl>
      <w:tblPr>
        <w:tblStyle w:val="11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2"/>
        <w:gridCol w:w="2533"/>
        <w:gridCol w:w="657"/>
        <w:gridCol w:w="1198"/>
        <w:gridCol w:w="1256"/>
        <w:gridCol w:w="16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blHeader/>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序号</w:t>
            </w:r>
          </w:p>
        </w:tc>
        <w:tc>
          <w:tcPr>
            <w:tcW w:w="1434"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工程或费用名称</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单位</w:t>
            </w: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数量</w:t>
            </w: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单价（元）</w:t>
            </w:r>
          </w:p>
        </w:tc>
        <w:tc>
          <w:tcPr>
            <w:tcW w:w="95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合计（万元）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第一部分 工程措施</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rPr>
                <w:rFonts w:ascii="Times New Roman" w:hAnsi="Times New Roman" w:eastAsia="仿宋_GB2312"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9.39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井场及附属工程区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_GB2312"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6.82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土地整治</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1.13</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2405.79</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表土回铺</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4400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11.03</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4.85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3</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复耕</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1.13</w:t>
            </w:r>
          </w:p>
        </w:tc>
        <w:tc>
          <w:tcPr>
            <w:tcW w:w="711"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15000</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1.70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二</w:t>
            </w:r>
          </w:p>
        </w:tc>
        <w:tc>
          <w:tcPr>
            <w:tcW w:w="1434"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ascii="Times New Roman" w:hAnsi="Times New Roman" w:eastAsia="仿宋" w:cs="Times New Roman"/>
                <w:color w:val="auto"/>
                <w:kern w:val="0"/>
                <w:sz w:val="18"/>
                <w:szCs w:val="18"/>
                <w:highlight w:val="none"/>
              </w:rPr>
              <w:t>施工</w:t>
            </w:r>
            <w:r>
              <w:rPr>
                <w:rFonts w:hint="eastAsia" w:ascii="Times New Roman" w:hAnsi="Times New Roman" w:eastAsia="仿宋" w:cs="Times New Roman"/>
                <w:color w:val="auto"/>
                <w:kern w:val="0"/>
                <w:sz w:val="18"/>
                <w:szCs w:val="18"/>
                <w:highlight w:val="none"/>
                <w:lang w:eastAsia="zh-CN"/>
              </w:rPr>
              <w:t>临时生活区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0.30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土地整治</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0.23</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2405.79</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复耕</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0.16</w:t>
            </w:r>
          </w:p>
        </w:tc>
        <w:tc>
          <w:tcPr>
            <w:tcW w:w="711"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15000</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三</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表土堆放场区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土地整治</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2405.79</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复耕</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0.10</w:t>
            </w:r>
          </w:p>
        </w:tc>
        <w:tc>
          <w:tcPr>
            <w:tcW w:w="711"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15000</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四</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道路工程区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表土回铺</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1000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11.03</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1.10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0"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2</w:t>
            </w:r>
          </w:p>
        </w:tc>
        <w:tc>
          <w:tcPr>
            <w:tcW w:w="1434" w:type="pct"/>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表土剥离</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lang w:val="en-US" w:eastAsia="zh-CN" w:bidi="ar-SA"/>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仿宋" w:cs="Times New Roman"/>
                <w:color w:val="auto"/>
                <w:kern w:val="0"/>
                <w:sz w:val="18"/>
                <w:szCs w:val="18"/>
                <w:highlight w:val="none"/>
                <w:lang w:val="en-US" w:eastAsia="zh-CN" w:bidi="ar-SA"/>
              </w:rPr>
            </w:pPr>
            <w:r>
              <w:rPr>
                <w:rFonts w:hint="eastAsia" w:ascii="Times New Roman" w:hAnsi="Times New Roman" w:eastAsia="宋体" w:cs="Times New Roman"/>
                <w:i w:val="0"/>
                <w:iCs w:val="0"/>
                <w:color w:val="auto"/>
                <w:kern w:val="0"/>
                <w:sz w:val="18"/>
                <w:szCs w:val="18"/>
                <w:highlight w:val="none"/>
                <w:u w:val="none"/>
                <w:lang w:val="en-US" w:eastAsia="zh-CN" w:bidi="ar"/>
              </w:rPr>
              <w:t>900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10.28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0.93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土地整治</w:t>
            </w:r>
          </w:p>
        </w:tc>
        <w:tc>
          <w:tcPr>
            <w:tcW w:w="372"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eastAsia="zh-CN"/>
              </w:rPr>
              <w:t>hm</w:t>
            </w:r>
            <w:r>
              <w:rPr>
                <w:rFonts w:hint="eastAsia" w:ascii="Times New Roman" w:hAnsi="Times New Roman" w:eastAsia="仿宋" w:cs="Times New Roman"/>
                <w:color w:val="auto"/>
                <w:kern w:val="0"/>
                <w:sz w:val="18"/>
                <w:szCs w:val="18"/>
                <w:highlight w:val="none"/>
                <w:vertAlign w:val="superscript"/>
                <w:lang w:eastAsia="zh-CN"/>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0.30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2405.79</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第二部分 植物措施</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井场及附属工程区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二</w:t>
            </w:r>
          </w:p>
        </w:tc>
        <w:tc>
          <w:tcPr>
            <w:tcW w:w="1434"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ascii="Times New Roman" w:hAnsi="Times New Roman" w:eastAsia="仿宋" w:cs="Times New Roman"/>
                <w:color w:val="auto"/>
                <w:kern w:val="0"/>
                <w:sz w:val="18"/>
                <w:szCs w:val="18"/>
                <w:highlight w:val="none"/>
              </w:rPr>
              <w:t>施工</w:t>
            </w:r>
            <w:r>
              <w:rPr>
                <w:rFonts w:hint="eastAsia" w:ascii="Times New Roman" w:hAnsi="Times New Roman" w:eastAsia="仿宋" w:cs="Times New Roman"/>
                <w:color w:val="auto"/>
                <w:kern w:val="0"/>
                <w:sz w:val="18"/>
                <w:szCs w:val="18"/>
                <w:highlight w:val="none"/>
                <w:lang w:eastAsia="zh-CN"/>
              </w:rPr>
              <w:t>临时生活区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p>
        </w:tc>
        <w:tc>
          <w:tcPr>
            <w:tcW w:w="711"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三</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表土堆放场区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四</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道路工程区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hint="default" w:ascii="Times New Roman" w:hAnsi="Times New Roman" w:eastAsia="仿宋" w:cs="Times New Roman"/>
                <w:color w:val="auto"/>
                <w:kern w:val="0"/>
                <w:sz w:val="18"/>
                <w:szCs w:val="18"/>
                <w:highlight w:val="none"/>
                <w:lang w:val="en-US" w:eastAsia="zh-CN"/>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第</w:t>
            </w:r>
            <w:r>
              <w:rPr>
                <w:rFonts w:hint="eastAsia" w:ascii="Times New Roman" w:hAnsi="Times New Roman" w:eastAsia="仿宋" w:cs="Times New Roman"/>
                <w:color w:val="auto"/>
                <w:kern w:val="0"/>
                <w:sz w:val="18"/>
                <w:szCs w:val="18"/>
                <w:highlight w:val="none"/>
                <w:lang w:val="en-US" w:eastAsia="zh-CN"/>
              </w:rPr>
              <w:t>三</w:t>
            </w:r>
            <w:r>
              <w:rPr>
                <w:rFonts w:ascii="Times New Roman" w:hAnsi="Times New Roman" w:eastAsia="仿宋" w:cs="Times New Roman"/>
                <w:color w:val="auto"/>
                <w:kern w:val="0"/>
                <w:sz w:val="18"/>
                <w:szCs w:val="18"/>
                <w:highlight w:val="none"/>
              </w:rPr>
              <w:t>部分 施工临时工程</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井场及附属工程区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1.25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土质排水沟</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435</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13.86</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0.60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土方开挖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cs="Times New Roman"/>
                <w:color w:val="auto"/>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58.73</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45.99</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铺土工布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522</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6.38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0.33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土质沉沙池</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个</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4</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342.63</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土方开挖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21.28</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56.01</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铺土工布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28</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6.38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3</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临时遮盖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900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铺防雨布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900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0.51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二</w:t>
            </w:r>
          </w:p>
        </w:tc>
        <w:tc>
          <w:tcPr>
            <w:tcW w:w="1434"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ascii="Times New Roman" w:hAnsi="Times New Roman" w:eastAsia="仿宋" w:cs="Times New Roman"/>
                <w:color w:val="auto"/>
                <w:kern w:val="0"/>
                <w:sz w:val="18"/>
                <w:szCs w:val="18"/>
                <w:highlight w:val="none"/>
              </w:rPr>
              <w:t>施工</w:t>
            </w:r>
            <w:r>
              <w:rPr>
                <w:rFonts w:hint="eastAsia" w:ascii="Times New Roman" w:hAnsi="Times New Roman" w:eastAsia="仿宋" w:cs="Times New Roman"/>
                <w:color w:val="auto"/>
                <w:kern w:val="0"/>
                <w:sz w:val="18"/>
                <w:szCs w:val="18"/>
                <w:highlight w:val="none"/>
                <w:lang w:eastAsia="zh-CN"/>
              </w:rPr>
              <w:t>临时生活区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土质沉沙池</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个</w:t>
            </w:r>
          </w:p>
        </w:tc>
        <w:tc>
          <w:tcPr>
            <w:tcW w:w="678"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w:t>
            </w:r>
          </w:p>
        </w:tc>
        <w:tc>
          <w:tcPr>
            <w:tcW w:w="1256" w:type="dxa"/>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342.63</w:t>
            </w:r>
          </w:p>
        </w:tc>
        <w:tc>
          <w:tcPr>
            <w:tcW w:w="16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土方开挖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5.32</w:t>
            </w:r>
          </w:p>
        </w:tc>
        <w:tc>
          <w:tcPr>
            <w:tcW w:w="1256" w:type="dxa"/>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56.01</w:t>
            </w:r>
          </w:p>
        </w:tc>
        <w:tc>
          <w:tcPr>
            <w:tcW w:w="16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铺土工布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7</w:t>
            </w:r>
          </w:p>
        </w:tc>
        <w:tc>
          <w:tcPr>
            <w:tcW w:w="1256" w:type="dxa"/>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6.38</w:t>
            </w:r>
          </w:p>
        </w:tc>
        <w:tc>
          <w:tcPr>
            <w:tcW w:w="16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铺垫土工布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1130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6.38</w:t>
            </w:r>
          </w:p>
        </w:tc>
        <w:tc>
          <w:tcPr>
            <w:tcW w:w="16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0.72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三</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表土堆放场区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临时遮盖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1490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铺防雨布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1490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0.85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_GB2312" w:cs="Times New Roman"/>
                <w:color w:val="auto"/>
                <w:kern w:val="0"/>
                <w:sz w:val="18"/>
                <w:szCs w:val="18"/>
                <w:highlight w:val="none"/>
                <w:lang w:val="en-US" w:eastAsia="zh-CN"/>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填土编织袋拆除</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m</w:t>
            </w:r>
            <w:r>
              <w:rPr>
                <w:rFonts w:ascii="Times New Roman" w:hAnsi="Times New Roman" w:eastAsia="仿宋_GB2312"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562.5</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36.6</w:t>
            </w:r>
          </w:p>
        </w:tc>
        <w:tc>
          <w:tcPr>
            <w:tcW w:w="1682" w:type="dxa"/>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2.06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四</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道路工程区</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土质沉砂池</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个</w:t>
            </w:r>
          </w:p>
        </w:tc>
        <w:tc>
          <w:tcPr>
            <w:tcW w:w="678"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2</w:t>
            </w:r>
          </w:p>
        </w:tc>
        <w:tc>
          <w:tcPr>
            <w:tcW w:w="1256" w:type="dxa"/>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342.63</w:t>
            </w:r>
          </w:p>
        </w:tc>
        <w:tc>
          <w:tcPr>
            <w:tcW w:w="952" w:type="pct"/>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（1）</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土方开挖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3</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10.64</w:t>
            </w:r>
          </w:p>
        </w:tc>
        <w:tc>
          <w:tcPr>
            <w:tcW w:w="1256" w:type="dxa"/>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56.01</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铺土工布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14</w:t>
            </w:r>
          </w:p>
        </w:tc>
        <w:tc>
          <w:tcPr>
            <w:tcW w:w="1256" w:type="dxa"/>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eastAsia" w:ascii="Times New Roman" w:hAnsi="Times New Roman" w:eastAsia="宋体" w:cs="Times New Roman"/>
                <w:i w:val="0"/>
                <w:iCs w:val="0"/>
                <w:color w:val="auto"/>
                <w:kern w:val="0"/>
                <w:sz w:val="18"/>
                <w:szCs w:val="18"/>
                <w:highlight w:val="none"/>
                <w:u w:val="none"/>
                <w:lang w:val="en-US" w:eastAsia="zh-CN" w:bidi="ar"/>
              </w:rPr>
              <w:t>6.38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eastAsia="zh-CN"/>
              </w:rPr>
            </w:pPr>
            <w:r>
              <w:rPr>
                <w:rFonts w:hint="eastAsia" w:ascii="Times New Roman" w:hAnsi="Times New Roman" w:eastAsia="仿宋" w:cs="Times New Roman"/>
                <w:color w:val="auto"/>
                <w:kern w:val="0"/>
                <w:sz w:val="18"/>
                <w:szCs w:val="18"/>
                <w:highlight w:val="none"/>
                <w:lang w:val="en-US" w:eastAsia="zh-CN"/>
              </w:rPr>
              <w:t>2</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临时遮盖</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400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铺防雨布</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m</w:t>
            </w:r>
            <w:r>
              <w:rPr>
                <w:rFonts w:ascii="Times New Roman" w:hAnsi="Times New Roman" w:eastAsia="仿宋" w:cs="Times New Roman"/>
                <w:color w:val="auto"/>
                <w:kern w:val="0"/>
                <w:sz w:val="18"/>
                <w:szCs w:val="18"/>
                <w:highlight w:val="none"/>
                <w:vertAlign w:val="superscript"/>
              </w:rPr>
              <w:t>2</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400</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5.68</w:t>
            </w:r>
          </w:p>
        </w:tc>
        <w:tc>
          <w:tcPr>
            <w:tcW w:w="1682" w:type="dxa"/>
            <w:noWrap/>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i w:val="0"/>
                <w:iCs w:val="0"/>
                <w:color w:val="auto"/>
                <w:kern w:val="0"/>
                <w:sz w:val="18"/>
                <w:szCs w:val="18"/>
                <w:highlight w:val="none"/>
                <w:u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 xml:space="preserve">0.23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第</w:t>
            </w:r>
            <w:r>
              <w:rPr>
                <w:rFonts w:hint="eastAsia" w:ascii="Times New Roman" w:hAnsi="Times New Roman" w:eastAsia="仿宋" w:cs="Times New Roman"/>
                <w:color w:val="auto"/>
                <w:kern w:val="0"/>
                <w:sz w:val="18"/>
                <w:szCs w:val="18"/>
                <w:highlight w:val="none"/>
                <w:lang w:val="en-US" w:eastAsia="zh-CN"/>
              </w:rPr>
              <w:t>四</w:t>
            </w:r>
            <w:r>
              <w:rPr>
                <w:rFonts w:ascii="Times New Roman" w:hAnsi="Times New Roman" w:eastAsia="仿宋" w:cs="Times New Roman"/>
                <w:color w:val="auto"/>
                <w:kern w:val="0"/>
                <w:sz w:val="18"/>
                <w:szCs w:val="18"/>
                <w:highlight w:val="none"/>
              </w:rPr>
              <w:t>部分 独立费用</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15.15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一</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建设管理费</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678"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仿宋" w:cs="Times New Roman"/>
                <w:color w:val="auto"/>
                <w:kern w:val="0"/>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1465</w:t>
            </w: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highlight w:val="none"/>
                <w:lang w:val="en-US" w:bidi="ar"/>
              </w:rPr>
            </w:pPr>
            <w:r>
              <w:rPr>
                <w:rFonts w:hint="eastAsia" w:ascii="Times New Roman" w:hAnsi="Times New Roman" w:eastAsia="宋体" w:cs="Times New Roman"/>
                <w:i w:val="0"/>
                <w:iCs w:val="0"/>
                <w:color w:val="auto"/>
                <w:kern w:val="0"/>
                <w:sz w:val="18"/>
                <w:szCs w:val="18"/>
                <w:highlight w:val="none"/>
                <w:u w:val="none"/>
                <w:lang w:val="en-US" w:eastAsia="zh-CN" w:bidi="ar"/>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二</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科研勘测设计费</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678"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11"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50000</w:t>
            </w:r>
          </w:p>
        </w:tc>
        <w:tc>
          <w:tcPr>
            <w:tcW w:w="952" w:type="pct"/>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83"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bidi="ar-SA"/>
              </w:rPr>
            </w:pPr>
            <w:r>
              <w:rPr>
                <w:rFonts w:hint="eastAsia" w:ascii="Times New Roman" w:hAnsi="Times New Roman" w:eastAsia="仿宋" w:cs="Times New Roman"/>
                <w:color w:val="auto"/>
                <w:kern w:val="0"/>
                <w:sz w:val="18"/>
                <w:szCs w:val="18"/>
                <w:highlight w:val="none"/>
                <w:lang w:val="en-US" w:eastAsia="zh-CN"/>
              </w:rPr>
              <w:t>三</w:t>
            </w:r>
          </w:p>
        </w:tc>
        <w:tc>
          <w:tcPr>
            <w:tcW w:w="1434"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bidi="ar-SA"/>
              </w:rPr>
            </w:pPr>
            <w:r>
              <w:rPr>
                <w:rFonts w:ascii="Times New Roman" w:hAnsi="Times New Roman" w:eastAsia="仿宋" w:cs="Times New Roman"/>
                <w:color w:val="auto"/>
                <w:kern w:val="0"/>
                <w:sz w:val="18"/>
                <w:szCs w:val="18"/>
                <w:highlight w:val="none"/>
              </w:rPr>
              <w:t>工程建设监理费</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678"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11"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45000</w:t>
            </w: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四</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水保设施验收报告编制费</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678"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11"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55000</w:t>
            </w:r>
          </w:p>
        </w:tc>
        <w:tc>
          <w:tcPr>
            <w:tcW w:w="952" w:type="pct"/>
            <w:noWrap/>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kern w:val="0"/>
                <w:sz w:val="18"/>
                <w:szCs w:val="18"/>
                <w:highlight w:val="none"/>
                <w:lang w:bidi="ar"/>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90"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五</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招标代理服务费</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678"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adjustRightInd w:val="0"/>
              <w:snapToGrid w:val="0"/>
              <w:jc w:val="center"/>
              <w:rPr>
                <w:rFonts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hint="eastAsia" w:ascii="Times New Roman" w:hAnsi="Times New Roman" w:eastAsia="仿宋" w:cs="Times New Roman"/>
                <w:color w:val="auto"/>
                <w:kern w:val="0"/>
                <w:sz w:val="18"/>
                <w:szCs w:val="18"/>
                <w:highlight w:val="none"/>
                <w:lang w:val="en-US" w:eastAsia="zh-CN"/>
              </w:rPr>
            </w:pPr>
            <w:r>
              <w:rPr>
                <w:rFonts w:hint="eastAsia" w:ascii="Times New Roman" w:hAnsi="Times New Roman" w:eastAsia="仿宋" w:cs="Times New Roman"/>
                <w:color w:val="auto"/>
                <w:kern w:val="0"/>
                <w:sz w:val="18"/>
                <w:szCs w:val="18"/>
                <w:highlight w:val="none"/>
                <w:lang w:val="en-US" w:eastAsia="zh-CN"/>
              </w:rPr>
              <w:t>六</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经济技术咨询费</w:t>
            </w:r>
          </w:p>
        </w:tc>
        <w:tc>
          <w:tcPr>
            <w:tcW w:w="372"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678" w:type="pct"/>
            <w:noWrap/>
            <w:vAlign w:val="center"/>
          </w:tcPr>
          <w:p>
            <w:pPr>
              <w:keepNext w:val="0"/>
              <w:keepLines w:val="0"/>
              <w:widowControl/>
              <w:suppressLineNumbers w:val="0"/>
              <w:adjustRightInd w:val="0"/>
              <w:snapToGrid w:val="0"/>
              <w:jc w:val="center"/>
              <w:textAlignment w:val="center"/>
              <w:rPr>
                <w:rFonts w:ascii="Times New Roman" w:hAnsi="Times New Roman" w:eastAsia="仿宋" w:cs="Times New Roman"/>
                <w:color w:val="auto"/>
                <w:kern w:val="0"/>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adjustRightInd w:val="0"/>
              <w:snapToGrid w:val="0"/>
              <w:jc w:val="center"/>
              <w:rPr>
                <w:rFonts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Ⅰ</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第一至</w:t>
            </w:r>
            <w:r>
              <w:rPr>
                <w:rFonts w:hint="eastAsia" w:ascii="Times New Roman" w:hAnsi="Times New Roman" w:eastAsia="仿宋" w:cs="Times New Roman"/>
                <w:color w:val="auto"/>
                <w:kern w:val="0"/>
                <w:sz w:val="18"/>
                <w:szCs w:val="18"/>
                <w:highlight w:val="none"/>
                <w:lang w:val="en-US" w:eastAsia="zh-CN"/>
              </w:rPr>
              <w:t>四</w:t>
            </w:r>
            <w:r>
              <w:rPr>
                <w:rFonts w:ascii="Times New Roman" w:hAnsi="Times New Roman" w:eastAsia="仿宋" w:cs="Times New Roman"/>
                <w:color w:val="auto"/>
                <w:kern w:val="0"/>
                <w:sz w:val="18"/>
                <w:szCs w:val="18"/>
                <w:highlight w:val="none"/>
              </w:rPr>
              <w:t>部分合计</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Ⅱ</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基本预备费</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2.98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宋体" w:cs="Times New Roman"/>
                <w:color w:val="auto"/>
                <w:kern w:val="0"/>
                <w:sz w:val="18"/>
                <w:szCs w:val="18"/>
                <w:highlight w:val="none"/>
              </w:rPr>
              <w:t>Ⅲ</w:t>
            </w: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价差预备费</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adjustRightInd w:val="0"/>
              <w:snapToGrid w:val="0"/>
              <w:jc w:val="center"/>
              <w:rPr>
                <w:rFonts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1434" w:type="pct"/>
            <w:vAlign w:val="center"/>
          </w:tcPr>
          <w:p>
            <w:pPr>
              <w:adjustRightInd w:val="0"/>
              <w:snapToGrid w:val="0"/>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建设期融资利息</w:t>
            </w:r>
          </w:p>
        </w:tc>
        <w:tc>
          <w:tcPr>
            <w:tcW w:w="372"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678"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711" w:type="pct"/>
            <w:noWrap/>
            <w:vAlign w:val="center"/>
          </w:tcPr>
          <w:p>
            <w:pPr>
              <w:adjustRightInd w:val="0"/>
              <w:snapToGrid w:val="0"/>
              <w:jc w:val="center"/>
              <w:rPr>
                <w:rFonts w:ascii="Times New Roman" w:hAnsi="Times New Roman" w:eastAsia="仿宋" w:cs="Times New Roman"/>
                <w:color w:val="auto"/>
                <w:kern w:val="0"/>
                <w:sz w:val="18"/>
                <w:szCs w:val="18"/>
                <w:highlight w:val="none"/>
              </w:rPr>
            </w:pPr>
          </w:p>
        </w:tc>
        <w:tc>
          <w:tcPr>
            <w:tcW w:w="952" w:type="pct"/>
            <w:noWrap/>
            <w:vAlign w:val="center"/>
          </w:tcPr>
          <w:p>
            <w:pPr>
              <w:adjustRightInd w:val="0"/>
              <w:snapToGrid w:val="0"/>
              <w:jc w:val="center"/>
              <w:rPr>
                <w:rFonts w:ascii="Times New Roman" w:hAnsi="Times New Roman" w:eastAsia="宋体" w:cs="Times New Roman"/>
                <w:color w:val="auto"/>
                <w:sz w:val="18"/>
                <w:szCs w:val="18"/>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2" w:hRule="atLeast"/>
        </w:trPr>
        <w:tc>
          <w:tcPr>
            <w:tcW w:w="850" w:type="pct"/>
            <w:vAlign w:val="center"/>
          </w:tcPr>
          <w:p>
            <w:pPr>
              <w:adjustRightInd w:val="0"/>
              <w:snapToGrid w:val="0"/>
              <w:jc w:val="center"/>
              <w:textAlignment w:val="center"/>
              <w:rPr>
                <w:rFonts w:ascii="Times New Roman" w:hAnsi="Times New Roman" w:eastAsia="宋体" w:cs="Times New Roman"/>
                <w:color w:val="auto"/>
                <w:kern w:val="0"/>
                <w:sz w:val="18"/>
                <w:szCs w:val="18"/>
                <w:highlight w:val="none"/>
                <w:lang w:bidi="ar"/>
              </w:rPr>
            </w:pPr>
            <w:r>
              <w:rPr>
                <w:rFonts w:ascii="Times New Roman" w:hAnsi="Times New Roman" w:eastAsia="宋体" w:cs="Times New Roman"/>
                <w:color w:val="auto"/>
                <w:kern w:val="0"/>
                <w:sz w:val="18"/>
                <w:szCs w:val="18"/>
                <w:highlight w:val="none"/>
                <w:lang w:bidi="ar"/>
              </w:rPr>
              <w:t>Ⅳ</w:t>
            </w:r>
          </w:p>
        </w:tc>
        <w:tc>
          <w:tcPr>
            <w:tcW w:w="1434" w:type="pct"/>
            <w:vAlign w:val="center"/>
          </w:tcPr>
          <w:p>
            <w:pPr>
              <w:adjustRightInd w:val="0"/>
              <w:snapToGrid w:val="0"/>
              <w:jc w:val="center"/>
              <w:textAlignment w:val="center"/>
              <w:rPr>
                <w:rFonts w:ascii="Times New Roman" w:hAnsi="Times New Roman" w:eastAsia="宋体" w:cs="Times New Roman"/>
                <w:color w:val="auto"/>
                <w:kern w:val="0"/>
                <w:sz w:val="18"/>
                <w:szCs w:val="18"/>
                <w:highlight w:val="none"/>
                <w:lang w:bidi="ar"/>
              </w:rPr>
            </w:pPr>
            <w:r>
              <w:rPr>
                <w:rFonts w:ascii="Times New Roman" w:hAnsi="Times New Roman" w:eastAsia="仿宋" w:cs="Times New Roman"/>
                <w:color w:val="auto"/>
                <w:kern w:val="0"/>
                <w:sz w:val="18"/>
                <w:szCs w:val="18"/>
                <w:highlight w:val="none"/>
              </w:rPr>
              <w:t>水土保持补偿费</w:t>
            </w:r>
          </w:p>
        </w:tc>
        <w:tc>
          <w:tcPr>
            <w:tcW w:w="372" w:type="pct"/>
            <w:noWrap/>
            <w:vAlign w:val="center"/>
          </w:tcPr>
          <w:p>
            <w:pPr>
              <w:adjustRightInd w:val="0"/>
              <w:snapToGrid w:val="0"/>
              <w:jc w:val="center"/>
              <w:textAlignment w:val="center"/>
              <w:rPr>
                <w:rFonts w:ascii="Times New Roman" w:hAnsi="Times New Roman" w:eastAsia="宋体" w:cs="Times New Roman"/>
                <w:color w:val="auto"/>
                <w:kern w:val="0"/>
                <w:sz w:val="18"/>
                <w:szCs w:val="18"/>
                <w:highlight w:val="none"/>
                <w:lang w:bidi="ar"/>
              </w:rPr>
            </w:pPr>
          </w:p>
        </w:tc>
        <w:tc>
          <w:tcPr>
            <w:tcW w:w="678" w:type="pct"/>
            <w:noWrap/>
            <w:vAlign w:val="center"/>
          </w:tcPr>
          <w:p>
            <w:pPr>
              <w:adjustRightInd w:val="0"/>
              <w:snapToGrid w:val="0"/>
              <w:jc w:val="center"/>
              <w:rPr>
                <w:rFonts w:ascii="Times New Roman" w:hAnsi="Times New Roman" w:eastAsia="宋体" w:cs="Times New Roman"/>
                <w:color w:val="auto"/>
                <w:kern w:val="0"/>
                <w:sz w:val="18"/>
                <w:szCs w:val="18"/>
                <w:highlight w:val="none"/>
                <w:lang w:bidi="ar"/>
              </w:rPr>
            </w:pPr>
          </w:p>
        </w:tc>
        <w:tc>
          <w:tcPr>
            <w:tcW w:w="711" w:type="pct"/>
            <w:noWrap/>
            <w:vAlign w:val="center"/>
          </w:tcPr>
          <w:p>
            <w:pPr>
              <w:adjustRightInd w:val="0"/>
              <w:snapToGrid w:val="0"/>
              <w:jc w:val="center"/>
              <w:rPr>
                <w:rFonts w:ascii="Times New Roman" w:hAnsi="Times New Roman" w:eastAsia="宋体" w:cs="Times New Roman"/>
                <w:color w:val="auto"/>
                <w:kern w:val="0"/>
                <w:sz w:val="18"/>
                <w:szCs w:val="18"/>
                <w:highlight w:val="none"/>
                <w:lang w:bidi="ar"/>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2.29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50" w:type="pct"/>
            <w:vAlign w:val="center"/>
          </w:tcPr>
          <w:p>
            <w:pPr>
              <w:adjustRightInd w:val="0"/>
              <w:snapToGrid w:val="0"/>
              <w:jc w:val="center"/>
              <w:textAlignment w:val="center"/>
              <w:rPr>
                <w:rFonts w:ascii="Times New Roman" w:hAnsi="Times New Roman" w:eastAsia="宋体" w:cs="Times New Roman"/>
                <w:color w:val="auto"/>
                <w:kern w:val="0"/>
                <w:sz w:val="18"/>
                <w:szCs w:val="18"/>
                <w:highlight w:val="none"/>
                <w:lang w:bidi="ar"/>
              </w:rPr>
            </w:pPr>
            <w:r>
              <w:rPr>
                <w:rFonts w:ascii="Times New Roman" w:hAnsi="Times New Roman" w:eastAsia="宋体" w:cs="Times New Roman"/>
                <w:color w:val="auto"/>
                <w:kern w:val="0"/>
                <w:sz w:val="18"/>
                <w:szCs w:val="18"/>
                <w:highlight w:val="none"/>
                <w:lang w:bidi="ar"/>
              </w:rPr>
              <w:t>Ⅴ</w:t>
            </w:r>
          </w:p>
        </w:tc>
        <w:tc>
          <w:tcPr>
            <w:tcW w:w="1434" w:type="pct"/>
            <w:vAlign w:val="center"/>
          </w:tcPr>
          <w:p>
            <w:pPr>
              <w:adjustRightInd w:val="0"/>
              <w:snapToGrid w:val="0"/>
              <w:jc w:val="center"/>
              <w:textAlignment w:val="center"/>
              <w:rPr>
                <w:rFonts w:ascii="Times New Roman" w:hAnsi="Times New Roman" w:eastAsia="宋体" w:cs="Times New Roman"/>
                <w:color w:val="auto"/>
                <w:kern w:val="0"/>
                <w:sz w:val="18"/>
                <w:szCs w:val="18"/>
                <w:highlight w:val="none"/>
                <w:lang w:bidi="ar"/>
              </w:rPr>
            </w:pPr>
            <w:r>
              <w:rPr>
                <w:rFonts w:ascii="Times New Roman" w:hAnsi="Times New Roman" w:eastAsia="仿宋" w:cs="Times New Roman"/>
                <w:color w:val="auto"/>
                <w:kern w:val="0"/>
                <w:sz w:val="18"/>
                <w:szCs w:val="18"/>
                <w:highlight w:val="none"/>
              </w:rPr>
              <w:t>工程投资合计</w:t>
            </w:r>
          </w:p>
        </w:tc>
        <w:tc>
          <w:tcPr>
            <w:tcW w:w="372" w:type="pct"/>
            <w:noWrap/>
            <w:vAlign w:val="center"/>
          </w:tcPr>
          <w:p>
            <w:pPr>
              <w:adjustRightInd w:val="0"/>
              <w:snapToGrid w:val="0"/>
              <w:jc w:val="center"/>
              <w:textAlignment w:val="center"/>
              <w:rPr>
                <w:rFonts w:ascii="Times New Roman" w:hAnsi="Times New Roman" w:eastAsia="宋体" w:cs="Times New Roman"/>
                <w:color w:val="auto"/>
                <w:kern w:val="0"/>
                <w:sz w:val="18"/>
                <w:szCs w:val="18"/>
                <w:highlight w:val="none"/>
                <w:lang w:bidi="ar"/>
              </w:rPr>
            </w:pPr>
          </w:p>
        </w:tc>
        <w:tc>
          <w:tcPr>
            <w:tcW w:w="678" w:type="pct"/>
            <w:noWrap/>
            <w:vAlign w:val="center"/>
          </w:tcPr>
          <w:p>
            <w:pPr>
              <w:adjustRightInd w:val="0"/>
              <w:snapToGrid w:val="0"/>
              <w:jc w:val="center"/>
              <w:rPr>
                <w:rFonts w:ascii="Times New Roman" w:hAnsi="Times New Roman" w:eastAsia="宋体" w:cs="Times New Roman"/>
                <w:color w:val="auto"/>
                <w:kern w:val="0"/>
                <w:sz w:val="18"/>
                <w:szCs w:val="18"/>
                <w:highlight w:val="none"/>
                <w:lang w:bidi="ar"/>
              </w:rPr>
            </w:pPr>
          </w:p>
        </w:tc>
        <w:tc>
          <w:tcPr>
            <w:tcW w:w="711" w:type="pct"/>
            <w:noWrap/>
            <w:vAlign w:val="center"/>
          </w:tcPr>
          <w:p>
            <w:pPr>
              <w:adjustRightInd w:val="0"/>
              <w:snapToGrid w:val="0"/>
              <w:jc w:val="center"/>
              <w:rPr>
                <w:rFonts w:ascii="Times New Roman" w:hAnsi="Times New Roman" w:eastAsia="宋体" w:cs="Times New Roman"/>
                <w:color w:val="auto"/>
                <w:kern w:val="0"/>
                <w:sz w:val="18"/>
                <w:szCs w:val="18"/>
                <w:highlight w:val="none"/>
                <w:lang w:bidi="ar"/>
              </w:rPr>
            </w:pPr>
          </w:p>
        </w:tc>
        <w:tc>
          <w:tcPr>
            <w:tcW w:w="952" w:type="pct"/>
            <w:noWrap/>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bidi="ar"/>
              </w:rPr>
            </w:pPr>
            <w:r>
              <w:rPr>
                <w:rFonts w:hint="eastAsia" w:ascii="Times New Roman" w:hAnsi="Times New Roman" w:eastAsia="宋体" w:cs="Times New Roman"/>
                <w:i w:val="0"/>
                <w:iCs w:val="0"/>
                <w:color w:val="auto"/>
                <w:kern w:val="0"/>
                <w:sz w:val="18"/>
                <w:szCs w:val="18"/>
                <w:highlight w:val="none"/>
                <w:u w:val="none"/>
                <w:lang w:val="en-US" w:eastAsia="zh-CN" w:bidi="ar"/>
              </w:rPr>
              <w:t>35.07</w:t>
            </w:r>
          </w:p>
        </w:tc>
      </w:tr>
    </w:tbl>
    <w:p>
      <w:pPr>
        <w:widowControl w:val="0"/>
        <w:textAlignment w:val="baseline"/>
        <w:rPr>
          <w:rFonts w:ascii="Times New Roman" w:hAnsi="Times New Roman" w:eastAsia="仿宋" w:cs="Times New Roman"/>
          <w:b/>
          <w:color w:val="auto"/>
          <w:position w:val="-2"/>
          <w:sz w:val="24"/>
          <w:szCs w:val="24"/>
          <w:highlight w:val="none"/>
        </w:rPr>
      </w:pPr>
    </w:p>
    <w:p>
      <w:pPr>
        <w:widowControl w:val="0"/>
        <w:spacing w:line="360" w:lineRule="auto"/>
        <w:jc w:val="center"/>
        <w:rPr>
          <w:rFonts w:ascii="Times New Roman" w:hAnsi="Times New Roman" w:eastAsia="仿宋" w:cs="Times New Roman"/>
          <w:b/>
          <w:color w:val="auto"/>
          <w:szCs w:val="21"/>
          <w:highlight w:val="none"/>
        </w:rPr>
      </w:pPr>
      <w:r>
        <w:rPr>
          <w:rFonts w:ascii="Times New Roman" w:hAnsi="Times New Roman" w:eastAsia="仿宋" w:cs="Times New Roman"/>
          <w:b/>
          <w:color w:val="auto"/>
          <w:szCs w:val="21"/>
          <w:highlight w:val="none"/>
        </w:rPr>
        <w:t>表7.1-5独立费用计算表 单位：万元</w:t>
      </w:r>
    </w:p>
    <w:tbl>
      <w:tblPr>
        <w:tblStyle w:val="115"/>
        <w:tblW w:w="88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2693"/>
        <w:gridCol w:w="1164"/>
        <w:gridCol w:w="1281"/>
        <w:gridCol w:w="1281"/>
        <w:gridCol w:w="13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序号</w:t>
            </w:r>
          </w:p>
        </w:tc>
        <w:tc>
          <w:tcPr>
            <w:tcW w:w="2693"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工程及费用名称</w:t>
            </w:r>
          </w:p>
        </w:tc>
        <w:tc>
          <w:tcPr>
            <w:tcW w:w="1164"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单位</w:t>
            </w:r>
          </w:p>
        </w:tc>
        <w:tc>
          <w:tcPr>
            <w:tcW w:w="128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数量</w:t>
            </w:r>
          </w:p>
        </w:tc>
        <w:tc>
          <w:tcPr>
            <w:tcW w:w="128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单价(元)</w:t>
            </w:r>
          </w:p>
        </w:tc>
        <w:tc>
          <w:tcPr>
            <w:tcW w:w="1327"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合计(万元)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p>
        </w:tc>
        <w:tc>
          <w:tcPr>
            <w:tcW w:w="2693"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_GB2312" w:cs="Times New Roman"/>
                <w:color w:val="auto"/>
                <w:kern w:val="0"/>
                <w:sz w:val="18"/>
                <w:szCs w:val="18"/>
                <w:highlight w:val="none"/>
              </w:rPr>
              <w:t>第五部分 独立费用</w:t>
            </w:r>
          </w:p>
        </w:tc>
        <w:tc>
          <w:tcPr>
            <w:tcW w:w="1164"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p>
        </w:tc>
        <w:tc>
          <w:tcPr>
            <w:tcW w:w="1281" w:type="dxa"/>
            <w:vAlign w:val="center"/>
          </w:tcPr>
          <w:p>
            <w:pPr>
              <w:widowControl w:val="0"/>
              <w:adjustRightInd w:val="0"/>
              <w:snapToGrid w:val="0"/>
              <w:jc w:val="center"/>
              <w:rPr>
                <w:rFonts w:ascii="Times New Roman" w:hAnsi="Times New Roman" w:eastAsia="仿宋_GB2312" w:cs="Times New Roman"/>
                <w:color w:val="auto"/>
                <w:kern w:val="0"/>
                <w:sz w:val="18"/>
                <w:szCs w:val="18"/>
                <w:highlight w:val="none"/>
              </w:rPr>
            </w:pPr>
          </w:p>
        </w:tc>
        <w:tc>
          <w:tcPr>
            <w:tcW w:w="1281" w:type="dxa"/>
            <w:vAlign w:val="center"/>
          </w:tcPr>
          <w:p>
            <w:pPr>
              <w:adjustRightInd w:val="0"/>
              <w:snapToGrid w:val="0"/>
              <w:jc w:val="center"/>
              <w:rPr>
                <w:rFonts w:ascii="Times New Roman" w:hAnsi="Times New Roman" w:eastAsia="宋体" w:cs="Times New Roman"/>
                <w:color w:val="auto"/>
                <w:sz w:val="18"/>
                <w:szCs w:val="18"/>
                <w:highlight w:val="none"/>
              </w:rPr>
            </w:pPr>
          </w:p>
        </w:tc>
        <w:tc>
          <w:tcPr>
            <w:tcW w:w="1327"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i w:val="0"/>
                <w:iCs w:val="0"/>
                <w:color w:val="auto"/>
                <w:kern w:val="0"/>
                <w:sz w:val="18"/>
                <w:szCs w:val="18"/>
                <w:highlight w:val="none"/>
                <w:u w:val="none"/>
                <w:lang w:val="en-US" w:eastAsia="zh-CN" w:bidi="ar"/>
              </w:rPr>
              <w:t>15.15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 w:cs="Times New Roman"/>
                <w:color w:val="auto"/>
                <w:kern w:val="0"/>
                <w:sz w:val="18"/>
                <w:szCs w:val="18"/>
                <w:highlight w:val="none"/>
              </w:rPr>
              <w:t>一</w:t>
            </w:r>
          </w:p>
        </w:tc>
        <w:tc>
          <w:tcPr>
            <w:tcW w:w="269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 w:cs="Times New Roman"/>
                <w:color w:val="auto"/>
                <w:kern w:val="0"/>
                <w:sz w:val="18"/>
                <w:szCs w:val="18"/>
                <w:highlight w:val="none"/>
              </w:rPr>
              <w:t>建设管理费</w:t>
            </w:r>
          </w:p>
        </w:tc>
        <w:tc>
          <w:tcPr>
            <w:tcW w:w="1164"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281"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1465</w:t>
            </w:r>
          </w:p>
        </w:tc>
        <w:tc>
          <w:tcPr>
            <w:tcW w:w="1327" w:type="dxa"/>
            <w:vAlign w:val="center"/>
          </w:tcPr>
          <w:p>
            <w:pPr>
              <w:keepNext w:val="0"/>
              <w:keepLines w:val="0"/>
              <w:widowControl/>
              <w:suppressLineNumbers w:val="0"/>
              <w:adjustRightInd w:val="0"/>
              <w:snapToGrid w:val="0"/>
              <w:jc w:val="center"/>
              <w:textAlignment w:val="center"/>
              <w:rPr>
                <w:rFonts w:hint="default" w:ascii="Times New Roman" w:hAnsi="Times New Roman" w:eastAsia="宋体" w:cs="Times New Roman"/>
                <w:color w:val="auto"/>
                <w:sz w:val="18"/>
                <w:szCs w:val="18"/>
                <w:highlight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 w:cs="Times New Roman"/>
                <w:color w:val="auto"/>
                <w:kern w:val="0"/>
                <w:sz w:val="18"/>
                <w:szCs w:val="18"/>
                <w:highlight w:val="none"/>
              </w:rPr>
              <w:t>二</w:t>
            </w:r>
          </w:p>
        </w:tc>
        <w:tc>
          <w:tcPr>
            <w:tcW w:w="2693"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 w:cs="Times New Roman"/>
                <w:color w:val="auto"/>
                <w:kern w:val="0"/>
                <w:sz w:val="18"/>
                <w:szCs w:val="18"/>
                <w:highlight w:val="none"/>
              </w:rPr>
              <w:t>科研勘测设计费</w:t>
            </w:r>
          </w:p>
        </w:tc>
        <w:tc>
          <w:tcPr>
            <w:tcW w:w="1164" w:type="dxa"/>
            <w:vAlign w:val="center"/>
          </w:tcPr>
          <w:p>
            <w:pPr>
              <w:adjustRightInd w:val="0"/>
              <w:snapToGrid w:val="0"/>
              <w:jc w:val="center"/>
              <w:rPr>
                <w:rFonts w:ascii="Times New Roman" w:hAnsi="Times New Roman" w:eastAsia="仿宋_GB2312" w:cs="Times New Roman"/>
                <w:color w:val="auto"/>
                <w:kern w:val="0"/>
                <w:sz w:val="18"/>
                <w:szCs w:val="18"/>
                <w:highlight w:val="none"/>
              </w:rPr>
            </w:pPr>
            <w:r>
              <w:rPr>
                <w:rFonts w:ascii="Times New Roman" w:hAnsi="Times New Roman" w:eastAsia="仿宋" w:cs="Times New Roman"/>
                <w:color w:val="auto"/>
                <w:kern w:val="0"/>
                <w:sz w:val="18"/>
                <w:szCs w:val="18"/>
                <w:highlight w:val="none"/>
              </w:rPr>
              <w:t>项</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50000</w:t>
            </w:r>
          </w:p>
        </w:tc>
        <w:tc>
          <w:tcPr>
            <w:tcW w:w="1327" w:type="dxa"/>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pPr>
              <w:adjustRightInd w:val="0"/>
              <w:snapToGrid w:val="0"/>
              <w:jc w:val="center"/>
              <w:rPr>
                <w:rFonts w:hint="eastAsia" w:ascii="Times New Roman" w:hAnsi="Times New Roman" w:eastAsia="仿宋_GB2312" w:cs="Times New Roman"/>
                <w:color w:val="auto"/>
                <w:kern w:val="0"/>
                <w:sz w:val="18"/>
                <w:szCs w:val="18"/>
                <w:lang w:val="en-US" w:eastAsia="zh-CN"/>
              </w:rPr>
            </w:pPr>
            <w:r>
              <w:rPr>
                <w:rFonts w:hint="eastAsia" w:ascii="Times New Roman" w:hAnsi="Times New Roman" w:eastAsia="仿宋_GB2312" w:cs="Times New Roman"/>
                <w:color w:val="auto"/>
                <w:kern w:val="0"/>
                <w:sz w:val="18"/>
                <w:szCs w:val="18"/>
                <w:lang w:val="en-US" w:eastAsia="zh-CN"/>
              </w:rPr>
              <w:t>三</w:t>
            </w:r>
          </w:p>
        </w:tc>
        <w:tc>
          <w:tcPr>
            <w:tcW w:w="2693" w:type="dxa"/>
            <w:vAlign w:val="center"/>
          </w:tcPr>
          <w:p>
            <w:pPr>
              <w:adjustRightInd w:val="0"/>
              <w:snapToGrid w:val="0"/>
              <w:jc w:val="center"/>
              <w:rPr>
                <w:rFonts w:ascii="Times New Roman" w:hAnsi="Times New Roman" w:eastAsia="仿宋_GB2312" w:cs="Times New Roman"/>
                <w:color w:val="auto"/>
                <w:kern w:val="0"/>
                <w:sz w:val="18"/>
                <w:szCs w:val="18"/>
              </w:rPr>
            </w:pPr>
            <w:r>
              <w:rPr>
                <w:rFonts w:ascii="Times New Roman" w:hAnsi="Times New Roman" w:eastAsia="仿宋" w:cs="Times New Roman"/>
                <w:color w:val="auto"/>
                <w:kern w:val="0"/>
                <w:sz w:val="18"/>
                <w:szCs w:val="18"/>
              </w:rPr>
              <w:t>工程建设监理费</w:t>
            </w:r>
          </w:p>
        </w:tc>
        <w:tc>
          <w:tcPr>
            <w:tcW w:w="1164" w:type="dxa"/>
            <w:vAlign w:val="center"/>
          </w:tcPr>
          <w:p>
            <w:pPr>
              <w:adjustRightInd w:val="0"/>
              <w:snapToGrid w:val="0"/>
              <w:jc w:val="center"/>
              <w:rPr>
                <w:rFonts w:ascii="Times New Roman" w:hAnsi="Times New Roman" w:eastAsia="仿宋_GB2312" w:cs="Times New Roman"/>
                <w:color w:val="auto"/>
                <w:kern w:val="0"/>
                <w:sz w:val="18"/>
                <w:szCs w:val="18"/>
              </w:rPr>
            </w:pPr>
            <w:r>
              <w:rPr>
                <w:rFonts w:ascii="Times New Roman" w:hAnsi="Times New Roman" w:eastAsia="仿宋" w:cs="Times New Roman"/>
                <w:color w:val="auto"/>
                <w:kern w:val="0"/>
                <w:sz w:val="18"/>
                <w:szCs w:val="18"/>
              </w:rPr>
              <w:t>项</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45000</w:t>
            </w:r>
          </w:p>
        </w:tc>
        <w:tc>
          <w:tcPr>
            <w:tcW w:w="1327" w:type="dxa"/>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01" w:type="dxa"/>
            <w:vAlign w:val="center"/>
          </w:tcPr>
          <w:p>
            <w:pPr>
              <w:adjustRightInd w:val="0"/>
              <w:snapToGrid w:val="0"/>
              <w:jc w:val="center"/>
              <w:rPr>
                <w:rFonts w:ascii="Times New Roman" w:hAnsi="Times New Roman" w:eastAsia="仿宋_GB2312" w:cs="Times New Roman"/>
                <w:color w:val="auto"/>
                <w:kern w:val="0"/>
                <w:sz w:val="18"/>
                <w:szCs w:val="18"/>
              </w:rPr>
            </w:pPr>
            <w:r>
              <w:rPr>
                <w:rFonts w:ascii="Times New Roman" w:hAnsi="Times New Roman" w:eastAsia="仿宋" w:cs="Times New Roman"/>
                <w:color w:val="auto"/>
                <w:kern w:val="0"/>
                <w:sz w:val="18"/>
                <w:szCs w:val="18"/>
              </w:rPr>
              <w:t>四</w:t>
            </w:r>
          </w:p>
        </w:tc>
        <w:tc>
          <w:tcPr>
            <w:tcW w:w="2693" w:type="dxa"/>
            <w:vAlign w:val="center"/>
          </w:tcPr>
          <w:p>
            <w:pPr>
              <w:adjustRightInd w:val="0"/>
              <w:snapToGrid w:val="0"/>
              <w:jc w:val="center"/>
              <w:rPr>
                <w:rFonts w:ascii="Times New Roman" w:hAnsi="Times New Roman" w:eastAsia="仿宋_GB2312" w:cs="Times New Roman"/>
                <w:color w:val="auto"/>
                <w:kern w:val="0"/>
                <w:sz w:val="18"/>
                <w:szCs w:val="18"/>
              </w:rPr>
            </w:pPr>
            <w:r>
              <w:rPr>
                <w:rFonts w:ascii="Times New Roman" w:hAnsi="Times New Roman" w:eastAsia="仿宋" w:cs="Times New Roman"/>
                <w:color w:val="auto"/>
                <w:kern w:val="0"/>
                <w:sz w:val="18"/>
                <w:szCs w:val="18"/>
              </w:rPr>
              <w:t>水保设施验收报告编制费</w:t>
            </w:r>
          </w:p>
        </w:tc>
        <w:tc>
          <w:tcPr>
            <w:tcW w:w="1164" w:type="dxa"/>
            <w:vAlign w:val="center"/>
          </w:tcPr>
          <w:p>
            <w:pPr>
              <w:adjustRightInd w:val="0"/>
              <w:snapToGrid w:val="0"/>
              <w:jc w:val="center"/>
              <w:rPr>
                <w:rFonts w:ascii="Times New Roman" w:hAnsi="Times New Roman" w:eastAsia="仿宋_GB2312" w:cs="Times New Roman"/>
                <w:color w:val="auto"/>
                <w:kern w:val="0"/>
                <w:sz w:val="18"/>
                <w:szCs w:val="18"/>
              </w:rPr>
            </w:pPr>
            <w:r>
              <w:rPr>
                <w:rFonts w:ascii="Times New Roman" w:hAnsi="Times New Roman" w:eastAsia="仿宋" w:cs="Times New Roman"/>
                <w:color w:val="auto"/>
                <w:kern w:val="0"/>
                <w:sz w:val="18"/>
                <w:szCs w:val="18"/>
              </w:rPr>
              <w:t>项</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仿宋_GB2312"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w:t>
            </w:r>
          </w:p>
        </w:tc>
        <w:tc>
          <w:tcPr>
            <w:tcW w:w="1281" w:type="dxa"/>
            <w:vAlign w:val="center"/>
          </w:tcPr>
          <w:p>
            <w:pPr>
              <w:keepNext w:val="0"/>
              <w:keepLines w:val="0"/>
              <w:widowControl/>
              <w:suppressLineNumbers w:val="0"/>
              <w:adjustRightInd w:val="0"/>
              <w:snapToGrid w:val="0"/>
              <w:jc w:val="center"/>
              <w:textAlignment w:val="center"/>
              <w:rPr>
                <w:rFonts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55000</w:t>
            </w:r>
          </w:p>
        </w:tc>
        <w:tc>
          <w:tcPr>
            <w:tcW w:w="1327" w:type="dxa"/>
            <w:vAlign w:val="center"/>
          </w:tcPr>
          <w:p>
            <w:pPr>
              <w:keepNext w:val="0"/>
              <w:keepLines w:val="0"/>
              <w:widowControl/>
              <w:suppressLineNumbers w:val="0"/>
              <w:adjustRightInd w:val="0"/>
              <w:snapToGrid w:val="0"/>
              <w:jc w:val="center"/>
              <w:textAlignment w:val="center"/>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i w:val="0"/>
                <w:iCs w:val="0"/>
                <w:color w:val="auto"/>
                <w:kern w:val="0"/>
                <w:sz w:val="18"/>
                <w:szCs w:val="18"/>
                <w:u w:val="none"/>
                <w:lang w:val="en-US" w:eastAsia="zh-CN" w:bidi="ar"/>
              </w:rPr>
              <w:t>5.5</w:t>
            </w:r>
          </w:p>
        </w:tc>
      </w:tr>
    </w:tbl>
    <w:p>
      <w:pPr>
        <w:widowControl w:val="0"/>
        <w:spacing w:before="120" w:beforeLines="50" w:line="360" w:lineRule="auto"/>
        <w:jc w:val="center"/>
        <w:rPr>
          <w:rFonts w:ascii="Times New Roman" w:hAnsi="Times New Roman" w:eastAsia="仿宋" w:cs="Times New Roman"/>
          <w:b/>
          <w:color w:val="auto"/>
          <w:szCs w:val="21"/>
        </w:rPr>
      </w:pPr>
      <w:r>
        <w:rPr>
          <w:rFonts w:ascii="Times New Roman" w:hAnsi="Times New Roman" w:eastAsia="仿宋" w:cs="Times New Roman"/>
          <w:b/>
          <w:color w:val="auto"/>
          <w:szCs w:val="21"/>
        </w:rPr>
        <w:t>表7.1-6水土保持补偿费计算表 单位：万元</w:t>
      </w:r>
    </w:p>
    <w:tbl>
      <w:tblPr>
        <w:tblStyle w:val="39"/>
        <w:tblW w:w="8847" w:type="dxa"/>
        <w:tblInd w:w="0" w:type="dxa"/>
        <w:tblLayout w:type="fixed"/>
        <w:tblCellMar>
          <w:top w:w="0" w:type="dxa"/>
          <w:left w:w="108" w:type="dxa"/>
          <w:bottom w:w="0" w:type="dxa"/>
          <w:right w:w="108" w:type="dxa"/>
        </w:tblCellMar>
      </w:tblPr>
      <w:tblGrid>
        <w:gridCol w:w="1030"/>
        <w:gridCol w:w="2808"/>
        <w:gridCol w:w="2344"/>
        <w:gridCol w:w="2665"/>
      </w:tblGrid>
      <w:tr>
        <w:tblPrEx>
          <w:tblCellMar>
            <w:top w:w="0" w:type="dxa"/>
            <w:left w:w="108" w:type="dxa"/>
            <w:bottom w:w="0" w:type="dxa"/>
            <w:right w:w="108" w:type="dxa"/>
          </w:tblCellMar>
        </w:tblPrEx>
        <w:trPr>
          <w:trHeight w:val="340" w:hRule="atLeast"/>
        </w:trPr>
        <w:tc>
          <w:tcPr>
            <w:tcW w:w="1030" w:type="dxa"/>
            <w:tcBorders>
              <w:top w:val="single" w:color="auto" w:sz="12" w:space="0"/>
              <w:left w:val="nil"/>
              <w:bottom w:val="single" w:color="auto" w:sz="8" w:space="0"/>
              <w:right w:val="single" w:color="auto" w:sz="8" w:space="0"/>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行政区</w:t>
            </w:r>
          </w:p>
        </w:tc>
        <w:tc>
          <w:tcPr>
            <w:tcW w:w="2808" w:type="dxa"/>
            <w:tcBorders>
              <w:top w:val="single" w:color="auto" w:sz="12" w:space="0"/>
              <w:left w:val="nil"/>
              <w:bottom w:val="single" w:color="auto" w:sz="8" w:space="0"/>
              <w:right w:val="single" w:color="auto" w:sz="8" w:space="0"/>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工程扰动地表面积(m</w:t>
            </w:r>
            <w:r>
              <w:rPr>
                <w:rFonts w:hint="eastAsia" w:ascii="Times New Roman" w:hAnsi="Times New Roman" w:eastAsia="仿宋_GB2312" w:cs="Times New Roman"/>
                <w:color w:val="auto"/>
                <w:kern w:val="0"/>
                <w:sz w:val="18"/>
                <w:szCs w:val="18"/>
                <w:vertAlign w:val="superscript"/>
                <w:lang w:eastAsia="zh-CN"/>
              </w:rPr>
              <w:t>2</w:t>
            </w:r>
            <w:r>
              <w:rPr>
                <w:rFonts w:ascii="Times New Roman" w:hAnsi="Times New Roman" w:eastAsia="仿宋_GB2312" w:cs="Times New Roman"/>
                <w:color w:val="auto"/>
                <w:kern w:val="0"/>
                <w:sz w:val="18"/>
                <w:szCs w:val="18"/>
              </w:rPr>
              <w:t>)</w:t>
            </w:r>
          </w:p>
        </w:tc>
        <w:tc>
          <w:tcPr>
            <w:tcW w:w="2344" w:type="dxa"/>
            <w:tcBorders>
              <w:top w:val="single" w:color="auto" w:sz="12" w:space="0"/>
              <w:left w:val="nil"/>
              <w:bottom w:val="single" w:color="auto" w:sz="8" w:space="0"/>
              <w:right w:val="single" w:color="auto" w:sz="8" w:space="0"/>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征收标准（元/m</w:t>
            </w:r>
            <w:r>
              <w:rPr>
                <w:rFonts w:hint="eastAsia" w:ascii="Times New Roman" w:hAnsi="Times New Roman" w:eastAsia="仿宋_GB2312" w:cs="Times New Roman"/>
                <w:color w:val="auto"/>
                <w:kern w:val="0"/>
                <w:sz w:val="18"/>
                <w:szCs w:val="18"/>
                <w:vertAlign w:val="superscript"/>
                <w:lang w:eastAsia="zh-CN"/>
              </w:rPr>
              <w:t>2</w:t>
            </w:r>
            <w:r>
              <w:rPr>
                <w:rFonts w:ascii="Times New Roman" w:hAnsi="Times New Roman" w:eastAsia="仿宋_GB2312" w:cs="Times New Roman"/>
                <w:color w:val="auto"/>
                <w:kern w:val="0"/>
                <w:sz w:val="18"/>
                <w:szCs w:val="18"/>
              </w:rPr>
              <w:t>）</w:t>
            </w:r>
          </w:p>
        </w:tc>
        <w:tc>
          <w:tcPr>
            <w:tcW w:w="2665" w:type="dxa"/>
            <w:tcBorders>
              <w:top w:val="single" w:color="auto" w:sz="12" w:space="0"/>
              <w:left w:val="nil"/>
              <w:bottom w:val="single" w:color="auto" w:sz="8" w:space="0"/>
              <w:right w:val="nil"/>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水土保持补偿费(万元)</w:t>
            </w:r>
          </w:p>
        </w:tc>
      </w:tr>
      <w:tr>
        <w:tblPrEx>
          <w:tblCellMar>
            <w:top w:w="0" w:type="dxa"/>
            <w:left w:w="108" w:type="dxa"/>
            <w:bottom w:w="0" w:type="dxa"/>
            <w:right w:w="108" w:type="dxa"/>
          </w:tblCellMar>
        </w:tblPrEx>
        <w:trPr>
          <w:trHeight w:val="340" w:hRule="atLeast"/>
        </w:trPr>
        <w:tc>
          <w:tcPr>
            <w:tcW w:w="1030" w:type="dxa"/>
            <w:tcBorders>
              <w:top w:val="nil"/>
              <w:left w:val="nil"/>
              <w:bottom w:val="single" w:color="auto" w:sz="12" w:space="0"/>
              <w:right w:val="single" w:color="auto" w:sz="8" w:space="0"/>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en-US" w:eastAsia="zh-CN"/>
              </w:rPr>
              <w:t>仪陇</w:t>
            </w:r>
            <w:r>
              <w:rPr>
                <w:rFonts w:ascii="Times New Roman" w:hAnsi="Times New Roman" w:eastAsia="仿宋_GB2312" w:cs="Times New Roman"/>
                <w:color w:val="auto"/>
                <w:kern w:val="0"/>
                <w:sz w:val="18"/>
                <w:szCs w:val="18"/>
              </w:rPr>
              <w:t>县</w:t>
            </w:r>
          </w:p>
        </w:tc>
        <w:tc>
          <w:tcPr>
            <w:tcW w:w="2808" w:type="dxa"/>
            <w:tcBorders>
              <w:top w:val="nil"/>
              <w:left w:val="nil"/>
              <w:bottom w:val="single" w:color="auto" w:sz="12" w:space="0"/>
              <w:right w:val="single" w:color="auto" w:sz="8" w:space="0"/>
            </w:tcBorders>
            <w:shd w:val="clear" w:color="auto" w:fill="auto"/>
            <w:vAlign w:val="center"/>
          </w:tcPr>
          <w:p>
            <w:pPr>
              <w:widowControl w:val="0"/>
              <w:jc w:val="center"/>
              <w:rPr>
                <w:rFonts w:hint="default" w:ascii="Times New Roman" w:hAnsi="Times New Roman" w:eastAsia="仿宋_GB2312" w:cs="Times New Roman"/>
                <w:color w:val="auto"/>
                <w:kern w:val="0"/>
                <w:sz w:val="18"/>
                <w:szCs w:val="18"/>
                <w:lang w:val="en-US" w:eastAsia="zh-CN"/>
              </w:rPr>
            </w:pPr>
            <w:r>
              <w:rPr>
                <w:rFonts w:hint="eastAsia" w:ascii="Times New Roman" w:hAnsi="Times New Roman" w:eastAsia="仿宋_GB2312" w:cs="Times New Roman"/>
                <w:color w:val="auto"/>
                <w:kern w:val="0"/>
                <w:sz w:val="18"/>
                <w:szCs w:val="18"/>
                <w:lang w:val="en-US" w:eastAsia="zh-CN"/>
              </w:rPr>
              <w:t>17600</w:t>
            </w:r>
          </w:p>
        </w:tc>
        <w:tc>
          <w:tcPr>
            <w:tcW w:w="2344" w:type="dxa"/>
            <w:tcBorders>
              <w:top w:val="nil"/>
              <w:left w:val="nil"/>
              <w:bottom w:val="single" w:color="auto" w:sz="12" w:space="0"/>
              <w:right w:val="single" w:color="auto" w:sz="8" w:space="0"/>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1.3</w:t>
            </w:r>
          </w:p>
        </w:tc>
        <w:tc>
          <w:tcPr>
            <w:tcW w:w="2665" w:type="dxa"/>
            <w:tcBorders>
              <w:top w:val="nil"/>
              <w:left w:val="nil"/>
              <w:bottom w:val="single" w:color="auto" w:sz="12" w:space="0"/>
              <w:right w:val="nil"/>
            </w:tcBorders>
            <w:shd w:val="clear" w:color="auto" w:fill="auto"/>
            <w:vAlign w:val="center"/>
          </w:tcPr>
          <w:p>
            <w:pPr>
              <w:widowControl w:val="0"/>
              <w:jc w:val="center"/>
              <w:rPr>
                <w:rFonts w:ascii="Times New Roman" w:hAnsi="Times New Roman" w:eastAsia="仿宋_GB2312" w:cs="Times New Roman"/>
                <w:color w:val="auto"/>
                <w:kern w:val="0"/>
                <w:sz w:val="18"/>
                <w:szCs w:val="18"/>
              </w:rPr>
            </w:pPr>
            <w:r>
              <w:rPr>
                <w:rFonts w:hint="eastAsia" w:ascii="Times New Roman" w:hAnsi="Times New Roman" w:eastAsia="仿宋_GB2312" w:cs="Times New Roman"/>
                <w:color w:val="auto"/>
                <w:kern w:val="0"/>
                <w:sz w:val="18"/>
                <w:szCs w:val="18"/>
                <w:lang w:val="en-US" w:eastAsia="zh-CN"/>
              </w:rPr>
              <w:t>2.29</w:t>
            </w:r>
            <w:r>
              <w:rPr>
                <w:rFonts w:ascii="Times New Roman" w:hAnsi="Times New Roman" w:eastAsia="仿宋_GB2312" w:cs="Times New Roman"/>
                <w:color w:val="auto"/>
                <w:kern w:val="0"/>
                <w:sz w:val="18"/>
                <w:szCs w:val="18"/>
              </w:rPr>
              <w:t>（</w:t>
            </w:r>
            <w:r>
              <w:rPr>
                <w:rFonts w:hint="eastAsia" w:ascii="Times New Roman" w:hAnsi="Times New Roman" w:eastAsia="仿宋_GB2312" w:cs="Times New Roman"/>
                <w:color w:val="auto"/>
                <w:kern w:val="0"/>
                <w:sz w:val="18"/>
                <w:szCs w:val="18"/>
                <w:lang w:val="en-US" w:eastAsia="zh-CN"/>
              </w:rPr>
              <w:t>22880</w:t>
            </w:r>
            <w:r>
              <w:rPr>
                <w:rFonts w:ascii="Times New Roman" w:hAnsi="Times New Roman" w:eastAsia="仿宋_GB2312" w:cs="Times New Roman"/>
                <w:color w:val="auto"/>
                <w:kern w:val="0"/>
                <w:sz w:val="18"/>
                <w:szCs w:val="18"/>
              </w:rPr>
              <w:t>元）</w:t>
            </w:r>
          </w:p>
        </w:tc>
      </w:tr>
    </w:tbl>
    <w:p>
      <w:pPr>
        <w:widowControl w:val="0"/>
        <w:spacing w:before="120" w:beforeLines="50" w:line="360" w:lineRule="auto"/>
        <w:jc w:val="center"/>
        <w:textAlignment w:val="baseline"/>
        <w:rPr>
          <w:rFonts w:ascii="Times New Roman" w:hAnsi="Times New Roman" w:eastAsia="仿宋" w:cs="Times New Roman"/>
          <w:b/>
          <w:color w:val="auto"/>
          <w:position w:val="-2"/>
          <w:szCs w:val="21"/>
        </w:rPr>
      </w:pPr>
      <w:r>
        <w:rPr>
          <w:rFonts w:ascii="Times New Roman" w:hAnsi="Times New Roman" w:eastAsia="仿宋" w:cs="Times New Roman"/>
          <w:b/>
          <w:color w:val="auto"/>
          <w:position w:val="-2"/>
          <w:szCs w:val="21"/>
        </w:rPr>
        <w:t>表7.1-7工程单价汇总表</w:t>
      </w:r>
    </w:p>
    <w:tbl>
      <w:tblPr>
        <w:tblStyle w:val="115"/>
        <w:tblW w:w="874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97"/>
        <w:gridCol w:w="1064"/>
        <w:gridCol w:w="497"/>
        <w:gridCol w:w="699"/>
        <w:gridCol w:w="686"/>
        <w:gridCol w:w="686"/>
        <w:gridCol w:w="686"/>
        <w:gridCol w:w="686"/>
        <w:gridCol w:w="686"/>
        <w:gridCol w:w="687"/>
        <w:gridCol w:w="498"/>
        <w:gridCol w:w="687"/>
        <w:gridCol w:w="6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497" w:type="dxa"/>
            <w:vMerge w:val="restart"/>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序号</w:t>
            </w:r>
          </w:p>
        </w:tc>
        <w:tc>
          <w:tcPr>
            <w:tcW w:w="1064" w:type="dxa"/>
            <w:vMerge w:val="restart"/>
            <w:vAlign w:val="center"/>
          </w:tcPr>
          <w:p>
            <w:pPr>
              <w:widowControl w:val="0"/>
              <w:adjustRightInd/>
              <w:snapToGrid/>
              <w:jc w:val="center"/>
              <w:rPr>
                <w:rFonts w:hint="eastAsia" w:ascii="Times New Roman" w:hAnsi="Times New Roman" w:eastAsia="仿宋_GB2312" w:cs="Times New Roman"/>
                <w:b/>
                <w:color w:val="auto"/>
                <w:kern w:val="0"/>
                <w:sz w:val="18"/>
                <w:szCs w:val="18"/>
                <w:lang w:eastAsia="zh-CN"/>
              </w:rPr>
            </w:pPr>
            <w:r>
              <w:rPr>
                <w:rFonts w:ascii="Times New Roman" w:hAnsi="Times New Roman" w:eastAsia="仿宋_GB2312" w:cs="Times New Roman"/>
                <w:b/>
                <w:color w:val="auto"/>
                <w:kern w:val="0"/>
                <w:sz w:val="18"/>
                <w:szCs w:val="18"/>
              </w:rPr>
              <w:t>工程</w:t>
            </w:r>
          </w:p>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名称</w:t>
            </w:r>
          </w:p>
        </w:tc>
        <w:tc>
          <w:tcPr>
            <w:tcW w:w="497" w:type="dxa"/>
            <w:vMerge w:val="restart"/>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单位</w:t>
            </w:r>
          </w:p>
        </w:tc>
        <w:tc>
          <w:tcPr>
            <w:tcW w:w="699" w:type="dxa"/>
            <w:vMerge w:val="restart"/>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单价</w:t>
            </w:r>
          </w:p>
        </w:tc>
        <w:tc>
          <w:tcPr>
            <w:tcW w:w="5988" w:type="dxa"/>
            <w:gridSpan w:val="9"/>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其中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497" w:type="dxa"/>
            <w:vMerge w:val="continue"/>
            <w:vAlign w:val="center"/>
          </w:tcPr>
          <w:p>
            <w:pPr>
              <w:widowControl w:val="0"/>
              <w:adjustRightInd/>
              <w:snapToGrid/>
              <w:jc w:val="center"/>
              <w:rPr>
                <w:rFonts w:ascii="Times New Roman" w:hAnsi="Times New Roman" w:eastAsia="仿宋_GB2312" w:cs="Times New Roman"/>
                <w:b/>
                <w:color w:val="auto"/>
                <w:kern w:val="0"/>
                <w:sz w:val="18"/>
                <w:szCs w:val="18"/>
              </w:rPr>
            </w:pPr>
          </w:p>
        </w:tc>
        <w:tc>
          <w:tcPr>
            <w:tcW w:w="1064" w:type="dxa"/>
            <w:vMerge w:val="continue"/>
            <w:vAlign w:val="center"/>
          </w:tcPr>
          <w:p>
            <w:pPr>
              <w:widowControl w:val="0"/>
              <w:adjustRightInd/>
              <w:snapToGrid/>
              <w:jc w:val="center"/>
              <w:rPr>
                <w:rFonts w:ascii="Times New Roman" w:hAnsi="Times New Roman" w:eastAsia="仿宋_GB2312" w:cs="Times New Roman"/>
                <w:b/>
                <w:color w:val="auto"/>
                <w:kern w:val="0"/>
                <w:sz w:val="18"/>
                <w:szCs w:val="18"/>
              </w:rPr>
            </w:pPr>
          </w:p>
        </w:tc>
        <w:tc>
          <w:tcPr>
            <w:tcW w:w="497" w:type="dxa"/>
            <w:vMerge w:val="continue"/>
            <w:vAlign w:val="center"/>
          </w:tcPr>
          <w:p>
            <w:pPr>
              <w:widowControl w:val="0"/>
              <w:adjustRightInd/>
              <w:snapToGrid/>
              <w:jc w:val="center"/>
              <w:rPr>
                <w:rFonts w:ascii="Times New Roman" w:hAnsi="Times New Roman" w:eastAsia="仿宋_GB2312" w:cs="Times New Roman"/>
                <w:b/>
                <w:color w:val="auto"/>
                <w:kern w:val="0"/>
                <w:sz w:val="18"/>
                <w:szCs w:val="18"/>
              </w:rPr>
            </w:pPr>
          </w:p>
        </w:tc>
        <w:tc>
          <w:tcPr>
            <w:tcW w:w="699" w:type="dxa"/>
            <w:vMerge w:val="continue"/>
            <w:vAlign w:val="center"/>
          </w:tcPr>
          <w:p>
            <w:pPr>
              <w:widowControl w:val="0"/>
              <w:adjustRightInd/>
              <w:snapToGrid/>
              <w:jc w:val="center"/>
              <w:rPr>
                <w:rFonts w:ascii="Times New Roman" w:hAnsi="Times New Roman" w:eastAsia="仿宋_GB2312" w:cs="Times New Roman"/>
                <w:b/>
                <w:color w:val="auto"/>
                <w:kern w:val="0"/>
                <w:sz w:val="18"/>
                <w:szCs w:val="18"/>
              </w:rPr>
            </w:pPr>
          </w:p>
        </w:tc>
        <w:tc>
          <w:tcPr>
            <w:tcW w:w="686"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人工费</w:t>
            </w:r>
          </w:p>
        </w:tc>
        <w:tc>
          <w:tcPr>
            <w:tcW w:w="686"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材料费</w:t>
            </w:r>
          </w:p>
        </w:tc>
        <w:tc>
          <w:tcPr>
            <w:tcW w:w="686" w:type="dxa"/>
            <w:vAlign w:val="center"/>
          </w:tcPr>
          <w:p>
            <w:pPr>
              <w:widowControl w:val="0"/>
              <w:adjustRightInd/>
              <w:snapToGrid/>
              <w:jc w:val="center"/>
              <w:rPr>
                <w:rFonts w:hint="eastAsia" w:ascii="Times New Roman" w:hAnsi="Times New Roman" w:eastAsia="仿宋_GB2312" w:cs="Times New Roman"/>
                <w:b/>
                <w:color w:val="auto"/>
                <w:kern w:val="0"/>
                <w:sz w:val="18"/>
                <w:szCs w:val="18"/>
                <w:lang w:eastAsia="zh-CN"/>
              </w:rPr>
            </w:pPr>
            <w:r>
              <w:rPr>
                <w:rFonts w:ascii="Times New Roman" w:hAnsi="Times New Roman" w:eastAsia="仿宋_GB2312" w:cs="Times New Roman"/>
                <w:b/>
                <w:color w:val="auto"/>
                <w:kern w:val="0"/>
                <w:sz w:val="18"/>
                <w:szCs w:val="18"/>
              </w:rPr>
              <w:t>机械</w:t>
            </w:r>
          </w:p>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使用费</w:t>
            </w:r>
          </w:p>
        </w:tc>
        <w:tc>
          <w:tcPr>
            <w:tcW w:w="686" w:type="dxa"/>
            <w:vAlign w:val="center"/>
          </w:tcPr>
          <w:p>
            <w:pPr>
              <w:widowControl w:val="0"/>
              <w:adjustRightInd/>
              <w:snapToGrid/>
              <w:jc w:val="center"/>
              <w:rPr>
                <w:rFonts w:hint="eastAsia" w:ascii="Times New Roman" w:hAnsi="Times New Roman" w:eastAsia="仿宋_GB2312" w:cs="Times New Roman"/>
                <w:b/>
                <w:color w:val="auto"/>
                <w:kern w:val="0"/>
                <w:sz w:val="18"/>
                <w:szCs w:val="18"/>
                <w:lang w:eastAsia="zh-CN"/>
              </w:rPr>
            </w:pPr>
            <w:r>
              <w:rPr>
                <w:rFonts w:ascii="Times New Roman" w:hAnsi="Times New Roman" w:eastAsia="仿宋_GB2312" w:cs="Times New Roman"/>
                <w:b/>
                <w:color w:val="auto"/>
                <w:kern w:val="0"/>
                <w:sz w:val="18"/>
                <w:szCs w:val="18"/>
              </w:rPr>
              <w:t>其他</w:t>
            </w:r>
          </w:p>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直接费</w:t>
            </w:r>
          </w:p>
        </w:tc>
        <w:tc>
          <w:tcPr>
            <w:tcW w:w="686"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间接费</w:t>
            </w:r>
          </w:p>
        </w:tc>
        <w:tc>
          <w:tcPr>
            <w:tcW w:w="687"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利润</w:t>
            </w:r>
          </w:p>
        </w:tc>
        <w:tc>
          <w:tcPr>
            <w:tcW w:w="498"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价差</w:t>
            </w:r>
          </w:p>
        </w:tc>
        <w:tc>
          <w:tcPr>
            <w:tcW w:w="687"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税金</w:t>
            </w:r>
          </w:p>
        </w:tc>
        <w:tc>
          <w:tcPr>
            <w:tcW w:w="686" w:type="dxa"/>
            <w:noWrap/>
            <w:vAlign w:val="center"/>
          </w:tcPr>
          <w:p>
            <w:pPr>
              <w:widowControl w:val="0"/>
              <w:adjustRightInd/>
              <w:snapToGrid/>
              <w:jc w:val="center"/>
              <w:rPr>
                <w:rFonts w:ascii="Times New Roman" w:hAnsi="Times New Roman" w:eastAsia="仿宋_GB2312" w:cs="Times New Roman"/>
                <w:b/>
                <w:color w:val="auto"/>
                <w:kern w:val="0"/>
                <w:sz w:val="18"/>
                <w:szCs w:val="18"/>
              </w:rPr>
            </w:pPr>
            <w:r>
              <w:rPr>
                <w:rFonts w:ascii="Times New Roman" w:hAnsi="Times New Roman" w:eastAsia="仿宋_GB2312" w:cs="Times New Roman"/>
                <w:b/>
                <w:color w:val="auto"/>
                <w:kern w:val="0"/>
                <w:sz w:val="18"/>
                <w:szCs w:val="18"/>
              </w:rPr>
              <w:t>扩大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土地整治</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hm</w:t>
            </w:r>
            <w:r>
              <w:rPr>
                <w:rFonts w:ascii="Times New Roman" w:hAnsi="Times New Roman" w:eastAsia="仿宋_GB2312" w:cs="Times New Roman"/>
                <w:color w:val="auto"/>
                <w:kern w:val="0"/>
                <w:sz w:val="18"/>
                <w:szCs w:val="18"/>
                <w:vertAlign w:val="superscript"/>
              </w:rPr>
              <w:t>2</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2405.8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232.75</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678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679.69</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15.9</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53.01</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116.15</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231</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180.59</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218.71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表土回铺</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m</w:t>
            </w:r>
            <w:r>
              <w:rPr>
                <w:rFonts w:ascii="Times New Roman" w:hAnsi="Times New Roman" w:eastAsia="仿宋_GB2312" w:cs="Times New Roman"/>
                <w:color w:val="auto"/>
                <w:kern w:val="0"/>
                <w:sz w:val="18"/>
                <w:szCs w:val="18"/>
                <w:vertAlign w:val="superscript"/>
              </w:rPr>
              <w:t>3</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11.03</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0.31</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0.72</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6.22</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0.14</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0.41</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0.55</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0.85</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0.83</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表土剥离</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m</w:t>
            </w:r>
            <w:r>
              <w:rPr>
                <w:rFonts w:ascii="Times New Roman" w:hAnsi="Times New Roman" w:eastAsia="仿宋_GB2312" w:cs="Times New Roman"/>
                <w:color w:val="auto"/>
                <w:kern w:val="0"/>
                <w:sz w:val="18"/>
                <w:szCs w:val="18"/>
                <w:vertAlign w:val="superscript"/>
              </w:rPr>
              <w:t>3</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10.28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0.26</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0.99</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5.54</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0.14</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0.38</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0.51</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0.76</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0.77</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4</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沟槽土开挖</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m</w:t>
            </w:r>
            <w:r>
              <w:rPr>
                <w:rFonts w:ascii="Times New Roman" w:hAnsi="Times New Roman" w:eastAsia="仿宋_GB2312" w:cs="Times New Roman"/>
                <w:color w:val="auto"/>
                <w:kern w:val="0"/>
                <w:sz w:val="18"/>
                <w:szCs w:val="18"/>
                <w:vertAlign w:val="superscript"/>
              </w:rPr>
              <w:t>3</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45.99</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32.34</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0.97</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0.67</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1.87</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2.51</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3.07</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4.18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5</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铺土工布</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m</w:t>
            </w:r>
            <w:r>
              <w:rPr>
                <w:rFonts w:ascii="Times New Roman" w:hAnsi="Times New Roman" w:eastAsia="仿宋_GB2312" w:cs="Times New Roman"/>
                <w:color w:val="auto"/>
                <w:kern w:val="0"/>
                <w:sz w:val="18"/>
                <w:szCs w:val="18"/>
                <w:vertAlign w:val="superscript"/>
              </w:rPr>
              <w:t>2</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6.38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1.96</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2.62</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0.09</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0.3</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0.35</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0.48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6</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坑土开挖</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m</w:t>
            </w:r>
            <w:r>
              <w:rPr>
                <w:rFonts w:ascii="Times New Roman" w:hAnsi="Times New Roman" w:eastAsia="仿宋_GB2312" w:cs="Times New Roman"/>
                <w:color w:val="auto"/>
                <w:kern w:val="0"/>
                <w:sz w:val="18"/>
                <w:szCs w:val="18"/>
                <w:vertAlign w:val="superscript"/>
              </w:rPr>
              <w:t>3</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56.01</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39.78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0.81</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2.28</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3.06</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4.2</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5.09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7</w:t>
            </w:r>
          </w:p>
        </w:tc>
        <w:tc>
          <w:tcPr>
            <w:tcW w:w="1064"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铺防雨布</w:t>
            </w:r>
          </w:p>
        </w:tc>
        <w:tc>
          <w:tcPr>
            <w:tcW w:w="497" w:type="dxa"/>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m</w:t>
            </w:r>
            <w:r>
              <w:rPr>
                <w:rFonts w:ascii="Times New Roman" w:hAnsi="Times New Roman" w:eastAsia="仿宋_GB2312" w:cs="Times New Roman"/>
                <w:color w:val="auto"/>
                <w:kern w:val="0"/>
                <w:sz w:val="18"/>
                <w:szCs w:val="18"/>
                <w:vertAlign w:val="superscript"/>
              </w:rPr>
              <w:t>2</w:t>
            </w:r>
          </w:p>
        </w:tc>
        <w:tc>
          <w:tcPr>
            <w:tcW w:w="699"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5.68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1.23</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2.85</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0.08</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0.27</w:t>
            </w: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0.31</w:t>
            </w:r>
          </w:p>
        </w:tc>
        <w:tc>
          <w:tcPr>
            <w:tcW w:w="498" w:type="dxa"/>
            <w:noWrap/>
            <w:vAlign w:val="center"/>
          </w:tcPr>
          <w:p>
            <w:pPr>
              <w:widowControl w:val="0"/>
              <w:adjustRightInd/>
              <w:snapToGrid/>
              <w:jc w:val="center"/>
              <w:rPr>
                <w:rFonts w:ascii="Times New Roman" w:hAnsi="Times New Roman" w:eastAsia="仿宋_GB2312" w:cs="Times New Roman"/>
                <w:color w:val="auto"/>
                <w:kern w:val="0"/>
                <w:sz w:val="18"/>
                <w:szCs w:val="18"/>
              </w:rPr>
            </w:pPr>
          </w:p>
        </w:tc>
        <w:tc>
          <w:tcPr>
            <w:tcW w:w="687"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0.43</w:t>
            </w:r>
          </w:p>
        </w:tc>
        <w:tc>
          <w:tcPr>
            <w:tcW w:w="68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0.52</w:t>
            </w:r>
          </w:p>
        </w:tc>
      </w:tr>
    </w:tbl>
    <w:p>
      <w:pPr>
        <w:widowControl w:val="0"/>
        <w:spacing w:before="120" w:beforeLines="50" w:line="360" w:lineRule="auto"/>
        <w:jc w:val="center"/>
        <w:textAlignment w:val="baseline"/>
        <w:rPr>
          <w:rFonts w:ascii="Times New Roman" w:hAnsi="Times New Roman" w:eastAsia="仿宋" w:cs="Times New Roman"/>
          <w:b/>
          <w:color w:val="auto"/>
          <w:position w:val="-2"/>
          <w:szCs w:val="21"/>
        </w:rPr>
      </w:pPr>
      <w:r>
        <w:rPr>
          <w:rFonts w:ascii="Times New Roman" w:hAnsi="Times New Roman" w:eastAsia="仿宋" w:cs="Times New Roman"/>
          <w:b/>
          <w:color w:val="auto"/>
          <w:position w:val="-2"/>
          <w:szCs w:val="21"/>
        </w:rPr>
        <w:t>表7.1-8施工机械台时费汇总表</w:t>
      </w:r>
    </w:p>
    <w:tbl>
      <w:tblPr>
        <w:tblStyle w:val="115"/>
        <w:tblW w:w="884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079"/>
        <w:gridCol w:w="906"/>
        <w:gridCol w:w="906"/>
        <w:gridCol w:w="1120"/>
        <w:gridCol w:w="906"/>
        <w:gridCol w:w="906"/>
        <w:gridCol w:w="13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dxa"/>
            <w:vMerge w:val="restart"/>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序号</w:t>
            </w:r>
          </w:p>
        </w:tc>
        <w:tc>
          <w:tcPr>
            <w:tcW w:w="2079" w:type="dxa"/>
            <w:vMerge w:val="restart"/>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名称及规格</w:t>
            </w:r>
          </w:p>
        </w:tc>
        <w:tc>
          <w:tcPr>
            <w:tcW w:w="906" w:type="dxa"/>
            <w:vMerge w:val="restart"/>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台时费</w:t>
            </w:r>
          </w:p>
        </w:tc>
        <w:tc>
          <w:tcPr>
            <w:tcW w:w="5172" w:type="dxa"/>
            <w:gridSpan w:val="5"/>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其中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dxa"/>
            <w:vMerge w:val="continue"/>
            <w:vAlign w:val="center"/>
          </w:tcPr>
          <w:p>
            <w:pPr>
              <w:widowControl w:val="0"/>
              <w:adjustRightInd w:val="0"/>
              <w:snapToGrid w:val="0"/>
              <w:jc w:val="center"/>
              <w:rPr>
                <w:rFonts w:ascii="Times New Roman" w:hAnsi="Times New Roman" w:eastAsia="仿宋" w:cs="Times New Roman"/>
                <w:b/>
                <w:color w:val="auto"/>
                <w:kern w:val="0"/>
                <w:sz w:val="18"/>
                <w:szCs w:val="18"/>
              </w:rPr>
            </w:pPr>
          </w:p>
        </w:tc>
        <w:tc>
          <w:tcPr>
            <w:tcW w:w="2079" w:type="dxa"/>
            <w:vMerge w:val="continue"/>
            <w:vAlign w:val="center"/>
          </w:tcPr>
          <w:p>
            <w:pPr>
              <w:widowControl w:val="0"/>
              <w:adjustRightInd w:val="0"/>
              <w:snapToGrid w:val="0"/>
              <w:jc w:val="center"/>
              <w:rPr>
                <w:rFonts w:ascii="Times New Roman" w:hAnsi="Times New Roman" w:eastAsia="仿宋" w:cs="Times New Roman"/>
                <w:b/>
                <w:color w:val="auto"/>
                <w:kern w:val="0"/>
                <w:sz w:val="18"/>
                <w:szCs w:val="18"/>
              </w:rPr>
            </w:pPr>
          </w:p>
        </w:tc>
        <w:tc>
          <w:tcPr>
            <w:tcW w:w="906" w:type="dxa"/>
            <w:vMerge w:val="continue"/>
            <w:vAlign w:val="center"/>
          </w:tcPr>
          <w:p>
            <w:pPr>
              <w:widowControl w:val="0"/>
              <w:adjustRightInd w:val="0"/>
              <w:snapToGrid w:val="0"/>
              <w:jc w:val="center"/>
              <w:rPr>
                <w:rFonts w:ascii="Times New Roman" w:hAnsi="Times New Roman" w:eastAsia="仿宋" w:cs="Times New Roman"/>
                <w:b/>
                <w:color w:val="auto"/>
                <w:kern w:val="0"/>
                <w:sz w:val="18"/>
                <w:szCs w:val="18"/>
              </w:rPr>
            </w:pPr>
          </w:p>
        </w:tc>
        <w:tc>
          <w:tcPr>
            <w:tcW w:w="906" w:type="dxa"/>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折旧费</w:t>
            </w:r>
          </w:p>
        </w:tc>
        <w:tc>
          <w:tcPr>
            <w:tcW w:w="1120" w:type="dxa"/>
            <w:vAlign w:val="center"/>
          </w:tcPr>
          <w:p>
            <w:pPr>
              <w:widowControl w:val="0"/>
              <w:adjustRightInd w:val="0"/>
              <w:snapToGrid w:val="0"/>
              <w:jc w:val="center"/>
              <w:rPr>
                <w:rFonts w:hint="eastAsia" w:ascii="Times New Roman" w:hAnsi="Times New Roman" w:eastAsia="仿宋" w:cs="Times New Roman"/>
                <w:b/>
                <w:color w:val="auto"/>
                <w:kern w:val="0"/>
                <w:sz w:val="18"/>
                <w:szCs w:val="18"/>
                <w:lang w:eastAsia="zh-CN"/>
              </w:rPr>
            </w:pPr>
            <w:r>
              <w:rPr>
                <w:rFonts w:ascii="Times New Roman" w:hAnsi="Times New Roman" w:eastAsia="仿宋" w:cs="Times New Roman"/>
                <w:b/>
                <w:color w:val="auto"/>
                <w:kern w:val="0"/>
                <w:sz w:val="18"/>
                <w:szCs w:val="18"/>
              </w:rPr>
              <w:t>修理及替</w:t>
            </w:r>
          </w:p>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换设备费</w:t>
            </w:r>
          </w:p>
        </w:tc>
        <w:tc>
          <w:tcPr>
            <w:tcW w:w="906" w:type="dxa"/>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安拆费</w:t>
            </w:r>
          </w:p>
        </w:tc>
        <w:tc>
          <w:tcPr>
            <w:tcW w:w="906" w:type="dxa"/>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人工费</w:t>
            </w:r>
          </w:p>
        </w:tc>
        <w:tc>
          <w:tcPr>
            <w:tcW w:w="1334" w:type="dxa"/>
            <w:noWrap/>
            <w:vAlign w:val="center"/>
          </w:tcPr>
          <w:p>
            <w:pPr>
              <w:widowControl w:val="0"/>
              <w:adjustRightInd w:val="0"/>
              <w:snapToGrid w:val="0"/>
              <w:jc w:val="center"/>
              <w:rPr>
                <w:rFonts w:ascii="Times New Roman" w:hAnsi="Times New Roman" w:eastAsia="仿宋" w:cs="Times New Roman"/>
                <w:b/>
                <w:color w:val="auto"/>
                <w:kern w:val="0"/>
                <w:sz w:val="18"/>
                <w:szCs w:val="18"/>
              </w:rPr>
            </w:pPr>
            <w:r>
              <w:rPr>
                <w:rFonts w:ascii="Times New Roman" w:hAnsi="Times New Roman" w:eastAsia="仿宋" w:cs="Times New Roman"/>
                <w:b/>
                <w:color w:val="auto"/>
                <w:kern w:val="0"/>
                <w:sz w:val="18"/>
                <w:szCs w:val="18"/>
              </w:rPr>
              <w:t>动力燃料费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dxa"/>
            <w:vAlign w:val="center"/>
          </w:tcPr>
          <w:p>
            <w:pPr>
              <w:widowControl w:val="0"/>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1</w:t>
            </w:r>
          </w:p>
        </w:tc>
        <w:tc>
          <w:tcPr>
            <w:tcW w:w="2079" w:type="dxa"/>
            <w:vAlign w:val="center"/>
          </w:tcPr>
          <w:p>
            <w:pPr>
              <w:widowControl w:val="0"/>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推土机74kW</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323.99</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16.52</w:t>
            </w:r>
          </w:p>
        </w:tc>
        <w:tc>
          <w:tcPr>
            <w:tcW w:w="1120"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20.74</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0.86</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254.07</w:t>
            </w:r>
          </w:p>
        </w:tc>
        <w:tc>
          <w:tcPr>
            <w:tcW w:w="1334"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0" w:type="dxa"/>
            <w:vAlign w:val="center"/>
          </w:tcPr>
          <w:p>
            <w:pPr>
              <w:widowControl w:val="0"/>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2</w:t>
            </w:r>
          </w:p>
        </w:tc>
        <w:tc>
          <w:tcPr>
            <w:tcW w:w="2079" w:type="dxa"/>
            <w:vAlign w:val="center"/>
          </w:tcPr>
          <w:p>
            <w:pPr>
              <w:widowControl w:val="0"/>
              <w:adjustRightInd w:val="0"/>
              <w:snapToGrid w:val="0"/>
              <w:jc w:val="center"/>
              <w:rPr>
                <w:rFonts w:ascii="Times New Roman" w:hAnsi="Times New Roman" w:eastAsia="仿宋" w:cs="Times New Roman"/>
                <w:color w:val="auto"/>
                <w:kern w:val="0"/>
                <w:sz w:val="18"/>
                <w:szCs w:val="18"/>
              </w:rPr>
            </w:pPr>
            <w:r>
              <w:rPr>
                <w:rFonts w:ascii="Times New Roman" w:hAnsi="Times New Roman" w:eastAsia="仿宋" w:cs="Times New Roman"/>
                <w:color w:val="auto"/>
                <w:kern w:val="0"/>
                <w:sz w:val="18"/>
                <w:szCs w:val="18"/>
              </w:rPr>
              <w:t>拖拉机轮式37kW</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61.79</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2.64</w:t>
            </w:r>
          </w:p>
        </w:tc>
        <w:tc>
          <w:tcPr>
            <w:tcW w:w="1120"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3.32</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0.16</w:t>
            </w:r>
          </w:p>
        </w:tc>
        <w:tc>
          <w:tcPr>
            <w:tcW w:w="906"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40.67</w:t>
            </w:r>
          </w:p>
        </w:tc>
        <w:tc>
          <w:tcPr>
            <w:tcW w:w="1334" w:type="dxa"/>
            <w:noWrap/>
            <w:vAlign w:val="center"/>
          </w:tcPr>
          <w:p>
            <w:pPr>
              <w:widowControl w:val="0"/>
              <w:adjustRightInd/>
              <w:snapToGrid/>
              <w:jc w:val="center"/>
              <w:rPr>
                <w:rFonts w:ascii="Times New Roman" w:hAnsi="Times New Roman" w:eastAsia="仿宋_GB2312" w:cs="Times New Roman"/>
                <w:color w:val="auto"/>
                <w:kern w:val="0"/>
                <w:sz w:val="18"/>
                <w:szCs w:val="18"/>
              </w:rPr>
            </w:pPr>
            <w:r>
              <w:rPr>
                <w:rFonts w:ascii="Times New Roman" w:hAnsi="Times New Roman" w:eastAsia="仿宋_GB2312" w:cs="Times New Roman"/>
                <w:color w:val="auto"/>
                <w:kern w:val="0"/>
                <w:sz w:val="18"/>
                <w:szCs w:val="18"/>
              </w:rPr>
              <w:t>15</w:t>
            </w:r>
          </w:p>
        </w:tc>
      </w:tr>
    </w:tbl>
    <w:p>
      <w:pPr>
        <w:widowControl w:val="0"/>
        <w:spacing w:before="120" w:beforeLines="50" w:line="360" w:lineRule="auto"/>
        <w:jc w:val="center"/>
        <w:textAlignment w:val="baseline"/>
        <w:rPr>
          <w:rFonts w:ascii="Times New Roman" w:hAnsi="Times New Roman" w:eastAsia="仿宋" w:cs="Times New Roman"/>
          <w:b/>
          <w:color w:val="auto"/>
          <w:position w:val="-2"/>
          <w:szCs w:val="21"/>
        </w:rPr>
      </w:pPr>
      <w:r>
        <w:rPr>
          <w:rFonts w:ascii="Times New Roman" w:hAnsi="Times New Roman" w:eastAsia="仿宋" w:cs="Times New Roman"/>
          <w:b/>
          <w:color w:val="auto"/>
          <w:position w:val="-2"/>
          <w:szCs w:val="21"/>
        </w:rPr>
        <w:t>表7.1-9主要材料单价汇总表</w:t>
      </w:r>
    </w:p>
    <w:tbl>
      <w:tblPr>
        <w:tblStyle w:val="39"/>
        <w:tblW w:w="874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69"/>
        <w:gridCol w:w="1432"/>
        <w:gridCol w:w="740"/>
        <w:gridCol w:w="1202"/>
        <w:gridCol w:w="1200"/>
        <w:gridCol w:w="1200"/>
        <w:gridCol w:w="1200"/>
        <w:gridCol w:w="12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vMerge w:val="restart"/>
            <w:shd w:val="clear" w:color="000000" w:fill="FFFFFF"/>
            <w:vAlign w:val="center"/>
          </w:tcPr>
          <w:p>
            <w:pPr>
              <w:widowControl w:val="0"/>
              <w:adjustRightInd w:val="0"/>
              <w:snapToGrid w:val="0"/>
              <w:ind w:left="-132" w:leftChars="-63"/>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序号</w:t>
            </w:r>
          </w:p>
        </w:tc>
        <w:tc>
          <w:tcPr>
            <w:tcW w:w="1432" w:type="dxa"/>
            <w:vMerge w:val="restart"/>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名称及规格</w:t>
            </w:r>
          </w:p>
        </w:tc>
        <w:tc>
          <w:tcPr>
            <w:tcW w:w="740" w:type="dxa"/>
            <w:vMerge w:val="restart"/>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单位</w:t>
            </w:r>
          </w:p>
        </w:tc>
        <w:tc>
          <w:tcPr>
            <w:tcW w:w="1202" w:type="dxa"/>
            <w:vMerge w:val="restart"/>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预算价格</w:t>
            </w:r>
          </w:p>
        </w:tc>
        <w:tc>
          <w:tcPr>
            <w:tcW w:w="4802" w:type="dxa"/>
            <w:gridSpan w:val="4"/>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其中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vMerge w:val="continue"/>
            <w:vAlign w:val="center"/>
          </w:tcPr>
          <w:p>
            <w:pPr>
              <w:widowControl w:val="0"/>
              <w:adjustRightInd w:val="0"/>
              <w:snapToGrid w:val="0"/>
              <w:jc w:val="center"/>
              <w:rPr>
                <w:rFonts w:ascii="Times New Roman" w:hAnsi="Times New Roman" w:eastAsia="仿宋_GB2312" w:cs="Times New Roman"/>
                <w:b/>
                <w:color w:val="auto"/>
                <w:sz w:val="18"/>
                <w:szCs w:val="18"/>
              </w:rPr>
            </w:pPr>
          </w:p>
        </w:tc>
        <w:tc>
          <w:tcPr>
            <w:tcW w:w="1432" w:type="dxa"/>
            <w:vMerge w:val="continue"/>
            <w:vAlign w:val="center"/>
          </w:tcPr>
          <w:p>
            <w:pPr>
              <w:widowControl w:val="0"/>
              <w:adjustRightInd w:val="0"/>
              <w:snapToGrid w:val="0"/>
              <w:jc w:val="center"/>
              <w:rPr>
                <w:rFonts w:ascii="Times New Roman" w:hAnsi="Times New Roman" w:eastAsia="仿宋_GB2312" w:cs="Times New Roman"/>
                <w:b/>
                <w:color w:val="auto"/>
                <w:sz w:val="18"/>
                <w:szCs w:val="18"/>
              </w:rPr>
            </w:pPr>
          </w:p>
        </w:tc>
        <w:tc>
          <w:tcPr>
            <w:tcW w:w="740" w:type="dxa"/>
            <w:vMerge w:val="continue"/>
            <w:vAlign w:val="center"/>
          </w:tcPr>
          <w:p>
            <w:pPr>
              <w:widowControl w:val="0"/>
              <w:adjustRightInd w:val="0"/>
              <w:snapToGrid w:val="0"/>
              <w:jc w:val="center"/>
              <w:rPr>
                <w:rFonts w:ascii="Times New Roman" w:hAnsi="Times New Roman" w:eastAsia="仿宋_GB2312" w:cs="Times New Roman"/>
                <w:b/>
                <w:color w:val="auto"/>
                <w:sz w:val="18"/>
                <w:szCs w:val="18"/>
              </w:rPr>
            </w:pPr>
          </w:p>
        </w:tc>
        <w:tc>
          <w:tcPr>
            <w:tcW w:w="1202" w:type="dxa"/>
            <w:vMerge w:val="continue"/>
            <w:vAlign w:val="center"/>
          </w:tcPr>
          <w:p>
            <w:pPr>
              <w:widowControl w:val="0"/>
              <w:adjustRightInd w:val="0"/>
              <w:snapToGrid w:val="0"/>
              <w:jc w:val="center"/>
              <w:rPr>
                <w:rFonts w:ascii="Times New Roman" w:hAnsi="Times New Roman" w:eastAsia="仿宋_GB2312" w:cs="Times New Roman"/>
                <w:b/>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原价</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运杂费</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采购及保管费</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b/>
                <w:color w:val="auto"/>
                <w:sz w:val="18"/>
                <w:szCs w:val="18"/>
              </w:rPr>
            </w:pPr>
            <w:r>
              <w:rPr>
                <w:rFonts w:ascii="Times New Roman" w:hAnsi="Times New Roman" w:eastAsia="仿宋_GB2312" w:cs="Times New Roman"/>
                <w:b/>
                <w:color w:val="auto"/>
                <w:sz w:val="18"/>
                <w:szCs w:val="18"/>
              </w:rPr>
              <w:t>运输保险费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1</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柴油</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kg</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7.2</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2</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基肥</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kg</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2.3</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3</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草籽</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kg</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35</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4</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土工布</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m</w:t>
            </w:r>
            <w:r>
              <w:rPr>
                <w:rFonts w:ascii="Times New Roman" w:hAnsi="Times New Roman" w:eastAsia="仿宋_GB2312" w:cs="Times New Roman"/>
                <w:color w:val="auto"/>
                <w:sz w:val="18"/>
                <w:szCs w:val="18"/>
                <w:vertAlign w:val="superscript"/>
              </w:rPr>
              <w:t>2</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2.4</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5</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编织袋</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条</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0.5</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6</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彩条布</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m</w:t>
            </w:r>
            <w:r>
              <w:rPr>
                <w:rFonts w:ascii="Times New Roman" w:hAnsi="Times New Roman" w:eastAsia="仿宋_GB2312" w:cs="Times New Roman"/>
                <w:color w:val="auto"/>
                <w:sz w:val="18"/>
                <w:szCs w:val="18"/>
                <w:vertAlign w:val="superscript"/>
              </w:rPr>
              <w:t>2</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2.50</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40" w:hRule="atLeast"/>
        </w:trPr>
        <w:tc>
          <w:tcPr>
            <w:tcW w:w="569"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7</w:t>
            </w:r>
          </w:p>
        </w:tc>
        <w:tc>
          <w:tcPr>
            <w:tcW w:w="143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柑橘苗（2年生）</w:t>
            </w:r>
          </w:p>
        </w:tc>
        <w:tc>
          <w:tcPr>
            <w:tcW w:w="74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株</w:t>
            </w: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r>
              <w:rPr>
                <w:rFonts w:ascii="Times New Roman" w:hAnsi="Times New Roman" w:eastAsia="仿宋_GB2312" w:cs="Times New Roman"/>
                <w:color w:val="auto"/>
                <w:sz w:val="18"/>
                <w:szCs w:val="18"/>
              </w:rPr>
              <w:t>12.25</w:t>
            </w: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0"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c>
          <w:tcPr>
            <w:tcW w:w="1202" w:type="dxa"/>
            <w:shd w:val="clear" w:color="000000" w:fill="FFFFFF"/>
            <w:vAlign w:val="center"/>
          </w:tcPr>
          <w:p>
            <w:pPr>
              <w:widowControl w:val="0"/>
              <w:adjustRightInd w:val="0"/>
              <w:snapToGrid w:val="0"/>
              <w:jc w:val="center"/>
              <w:rPr>
                <w:rFonts w:ascii="Times New Roman" w:hAnsi="Times New Roman" w:eastAsia="仿宋_GB2312" w:cs="Times New Roman"/>
                <w:color w:val="auto"/>
                <w:sz w:val="18"/>
                <w:szCs w:val="18"/>
              </w:rPr>
            </w:pPr>
          </w:p>
        </w:tc>
      </w:tr>
    </w:tbl>
    <w:p>
      <w:pPr>
        <w:pStyle w:val="56"/>
        <w:widowControl w:val="0"/>
        <w:spacing w:before="120" w:beforeLines="50"/>
        <w:jc w:val="both"/>
        <w:rPr>
          <w:rFonts w:ascii="Times New Roman" w:hAnsi="Times New Roman"/>
          <w:color w:val="auto"/>
        </w:rPr>
      </w:pPr>
      <w:r>
        <w:rPr>
          <w:rFonts w:ascii="Times New Roman" w:hAnsi="Times New Roman"/>
          <w:color w:val="auto"/>
        </w:rPr>
        <w:fldChar w:fldCharType="begin">
          <w:fldData xml:space="preserve">XwBjAHAAXwBwAFkAZQBvAFUAQgBXAFQATABuAEwATABTAFIAcgB4AHIAMQBEAGMALwBGAE4AMwBh
AEIAagBIAHUARgBwADYAdQBSAHMATQBOADEANQBHAGUAOABxAGkAbABDAG0AQwB4AEwAbQBNAEYA
ZwA9AD0A
</w:fldData>
        </w:fldChar>
      </w:r>
      <w:r>
        <w:rPr>
          <w:color w:val="auto"/>
        </w:rPr>
        <w:instrText xml:space="preserve">ADDIN _cp_ \* MERGEFORMAT</w:instrText>
      </w:r>
      <w:r>
        <w:rPr>
          <w:rFonts w:ascii="Times New Roman" w:hAnsi="Times New Roman"/>
          <w:color w:val="auto"/>
        </w:rPr>
        <w:fldChar w:fldCharType="separate"/>
      </w:r>
      <w:bookmarkStart w:id="266" w:name="_Toc74588703"/>
      <w:bookmarkStart w:id="267" w:name="_Toc74588754"/>
      <w:bookmarkStart w:id="268" w:name="_Toc14737403"/>
      <w:r>
        <w:rPr>
          <w:rFonts w:ascii="Times New Roman" w:hAnsi="Times New Roman"/>
          <w:color w:val="auto"/>
        </w:rPr>
        <w:t>7.2</w:t>
      </w:r>
      <w:r>
        <w:rPr>
          <w:rFonts w:ascii="Times New Roman" w:hAnsi="Times New Roman"/>
          <w:color w:val="auto"/>
        </w:rPr>
        <w:fldChar w:fldCharType="end"/>
      </w:r>
      <w:r>
        <w:rPr>
          <w:rFonts w:ascii="Times New Roman" w:hAnsi="Times New Roman"/>
          <w:color w:val="auto"/>
        </w:rPr>
        <w:t>效益分析</w:t>
      </w:r>
      <w:bookmarkEnd w:id="266"/>
      <w:bookmarkEnd w:id="267"/>
      <w:bookmarkEnd w:id="268"/>
    </w:p>
    <w:p>
      <w:pPr>
        <w:pStyle w:val="58"/>
        <w:widowControl w:val="0"/>
        <w:spacing w:before="120" w:beforeLines="50"/>
        <w:jc w:val="both"/>
        <w:rPr>
          <w:rFonts w:ascii="Times New Roman" w:hAnsi="Times New Roman"/>
          <w:color w:val="auto"/>
        </w:rPr>
      </w:pPr>
      <w:r>
        <w:rPr>
          <w:rFonts w:ascii="Times New Roman" w:hAnsi="Times New Roman"/>
          <w:color w:val="auto"/>
        </w:rPr>
        <w:fldChar w:fldCharType="begin">
          <w:fldData xml:space="preserve">XwBjAHAAXwAyAHcAKwA3AHIAVgBGADYASAA5AG0AMwBnAEcAZwA0AHAAVQBwAGMAWABYAE4ASQB0
AEsAUgBKAHYAMgAzAFUAYQBHAEoAeQBWAGoAYwBxAFAAcgBTAFIAcABkAEIAWAA3ADAAYQBrAGUA
dwA9AD0A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7.2.1</w:t>
      </w:r>
      <w:r>
        <w:rPr>
          <w:rFonts w:ascii="Times New Roman" w:hAnsi="Times New Roman"/>
          <w:color w:val="auto"/>
        </w:rPr>
        <w:fldChar w:fldCharType="end"/>
      </w:r>
      <w:r>
        <w:rPr>
          <w:rFonts w:ascii="Times New Roman" w:hAnsi="Times New Roman"/>
          <w:color w:val="auto"/>
        </w:rPr>
        <w:t>防治目标分析</w:t>
      </w:r>
    </w:p>
    <w:p>
      <w:pPr>
        <w:pStyle w:val="8"/>
        <w:widowControl w:val="0"/>
        <w:ind w:firstLine="480"/>
        <w:rPr>
          <w:rFonts w:ascii="Times New Roman" w:hAnsi="Times New Roman"/>
          <w:color w:val="auto"/>
        </w:rPr>
      </w:pPr>
      <w:r>
        <w:rPr>
          <w:rFonts w:ascii="Times New Roman" w:hAnsi="Times New Roman"/>
          <w:color w:val="auto"/>
        </w:rPr>
        <w:t>水土保持效益指标包括水土流失治理度、水土流失控制比、渣土防护率、表土保护率、林草植被恢复率和林草覆盖率等。</w:t>
      </w:r>
    </w:p>
    <w:p>
      <w:pPr>
        <w:pStyle w:val="8"/>
        <w:widowControl w:val="0"/>
        <w:ind w:firstLine="480"/>
        <w:rPr>
          <w:rFonts w:ascii="Times New Roman" w:hAnsi="Times New Roman"/>
          <w:color w:val="auto"/>
        </w:rPr>
      </w:pPr>
      <w:r>
        <w:rPr>
          <w:rFonts w:ascii="Times New Roman" w:hAnsi="Times New Roman"/>
          <w:color w:val="auto"/>
        </w:rPr>
        <w:t>（1）水土流失治理度</w:t>
      </w:r>
    </w:p>
    <w:p>
      <w:pPr>
        <w:pStyle w:val="8"/>
        <w:widowControl w:val="0"/>
        <w:ind w:firstLine="480"/>
        <w:rPr>
          <w:rFonts w:ascii="Times New Roman" w:hAnsi="Times New Roman"/>
          <w:color w:val="auto"/>
        </w:rPr>
      </w:pPr>
      <w:r>
        <w:rPr>
          <w:rFonts w:ascii="Times New Roman" w:hAnsi="Times New Roman"/>
          <w:color w:val="auto"/>
        </w:rPr>
        <w:t>水土流失治理度=（水土流失治理达标面积/水土流失总面积）×100%</w:t>
      </w:r>
    </w:p>
    <w:p>
      <w:pPr>
        <w:pStyle w:val="8"/>
        <w:widowControl w:val="0"/>
        <w:ind w:firstLine="480"/>
        <w:rPr>
          <w:rFonts w:ascii="Times New Roman" w:hAnsi="Times New Roman"/>
          <w:color w:val="auto"/>
        </w:rPr>
      </w:pPr>
      <w:r>
        <w:rPr>
          <w:rFonts w:ascii="Times New Roman" w:hAnsi="Times New Roman"/>
          <w:color w:val="auto"/>
        </w:rPr>
        <w:t>（2）土壤流失控制比</w:t>
      </w:r>
    </w:p>
    <w:p>
      <w:pPr>
        <w:pStyle w:val="8"/>
        <w:widowControl w:val="0"/>
        <w:ind w:firstLine="480"/>
        <w:rPr>
          <w:rFonts w:ascii="Times New Roman" w:hAnsi="Times New Roman"/>
          <w:color w:val="auto"/>
        </w:rPr>
      </w:pPr>
      <w:r>
        <w:rPr>
          <w:rFonts w:ascii="Times New Roman" w:hAnsi="Times New Roman"/>
          <w:color w:val="auto"/>
        </w:rPr>
        <w:t>土壤流失控制比＝项目区容许土壤流失量/治理后每平方公里年平均土壤流失量；项目区容许土壤流失量=500t/km</w:t>
      </w:r>
      <w:r>
        <w:rPr>
          <w:rFonts w:hint="eastAsia" w:ascii="Times New Roman" w:hAnsi="Times New Roman"/>
          <w:color w:val="auto"/>
          <w:vertAlign w:val="superscript"/>
          <w:lang w:eastAsia="zh-CN"/>
        </w:rPr>
        <w:t>2</w:t>
      </w:r>
      <w:r>
        <w:rPr>
          <w:rFonts w:ascii="Times New Roman" w:hAnsi="Times New Roman"/>
          <w:color w:val="auto"/>
        </w:rPr>
        <w:t>.a。</w:t>
      </w:r>
    </w:p>
    <w:p>
      <w:pPr>
        <w:pStyle w:val="8"/>
        <w:widowControl w:val="0"/>
        <w:ind w:firstLine="480"/>
        <w:rPr>
          <w:rFonts w:ascii="Times New Roman" w:hAnsi="Times New Roman"/>
          <w:color w:val="auto"/>
        </w:rPr>
      </w:pPr>
      <w:r>
        <w:rPr>
          <w:rFonts w:ascii="Times New Roman" w:hAnsi="Times New Roman"/>
          <w:color w:val="auto"/>
        </w:rPr>
        <w:t>（3）渣土挡护率</w:t>
      </w:r>
    </w:p>
    <w:p>
      <w:pPr>
        <w:pStyle w:val="8"/>
        <w:widowControl w:val="0"/>
        <w:ind w:firstLine="480"/>
        <w:rPr>
          <w:rFonts w:ascii="Times New Roman" w:hAnsi="Times New Roman"/>
          <w:color w:val="auto"/>
        </w:rPr>
      </w:pPr>
      <w:r>
        <w:rPr>
          <w:rFonts w:ascii="Times New Roman" w:hAnsi="Times New Roman"/>
          <w:color w:val="auto"/>
        </w:rPr>
        <w:t>渣土挡护率=（取措施实际挡护的永久弃渣、临时堆土数量/永久弃渣和临时堆土总量）×100%</w:t>
      </w:r>
    </w:p>
    <w:p>
      <w:pPr>
        <w:pStyle w:val="8"/>
        <w:widowControl w:val="0"/>
        <w:ind w:firstLine="480"/>
        <w:rPr>
          <w:rFonts w:ascii="Times New Roman" w:hAnsi="Times New Roman"/>
          <w:color w:val="auto"/>
        </w:rPr>
      </w:pPr>
      <w:r>
        <w:rPr>
          <w:rFonts w:ascii="Times New Roman" w:hAnsi="Times New Roman"/>
          <w:color w:val="auto"/>
        </w:rPr>
        <w:t>（4）表土保护率</w:t>
      </w:r>
    </w:p>
    <w:p>
      <w:pPr>
        <w:pStyle w:val="8"/>
        <w:widowControl w:val="0"/>
        <w:ind w:firstLine="480"/>
        <w:rPr>
          <w:rFonts w:ascii="Times New Roman" w:hAnsi="Times New Roman"/>
          <w:color w:val="auto"/>
        </w:rPr>
      </w:pPr>
      <w:r>
        <w:rPr>
          <w:rFonts w:ascii="Times New Roman" w:hAnsi="Times New Roman"/>
          <w:color w:val="auto"/>
        </w:rPr>
        <w:t>表土保护率=（项目水土流失防治责任范围内保护的表土数量/可剥离表土总量）×100%</w:t>
      </w:r>
    </w:p>
    <w:p>
      <w:pPr>
        <w:pStyle w:val="8"/>
        <w:widowControl w:val="0"/>
        <w:ind w:firstLine="480"/>
        <w:rPr>
          <w:rFonts w:ascii="Times New Roman" w:hAnsi="Times New Roman"/>
          <w:color w:val="auto"/>
        </w:rPr>
      </w:pPr>
      <w:r>
        <w:rPr>
          <w:rFonts w:ascii="Times New Roman" w:hAnsi="Times New Roman"/>
          <w:color w:val="auto"/>
        </w:rPr>
        <w:t>（5）林草植被恢复率</w:t>
      </w:r>
    </w:p>
    <w:p>
      <w:pPr>
        <w:pStyle w:val="8"/>
        <w:widowControl w:val="0"/>
        <w:ind w:firstLine="480"/>
        <w:rPr>
          <w:rFonts w:ascii="Times New Roman" w:hAnsi="Times New Roman"/>
          <w:color w:val="auto"/>
        </w:rPr>
      </w:pPr>
      <w:r>
        <w:rPr>
          <w:rFonts w:ascii="Times New Roman" w:hAnsi="Times New Roman"/>
          <w:color w:val="auto"/>
        </w:rPr>
        <w:t>林草植被恢复系数=（林草类植被面积/可恢复林草植被面积）×100%</w:t>
      </w:r>
    </w:p>
    <w:p>
      <w:pPr>
        <w:pStyle w:val="8"/>
        <w:widowControl w:val="0"/>
        <w:ind w:firstLine="480"/>
        <w:rPr>
          <w:rFonts w:ascii="Times New Roman" w:hAnsi="Times New Roman"/>
          <w:color w:val="auto"/>
        </w:rPr>
      </w:pPr>
      <w:r>
        <w:rPr>
          <w:rFonts w:ascii="Times New Roman" w:hAnsi="Times New Roman"/>
          <w:color w:val="auto"/>
        </w:rPr>
        <w:t>（6）林草覆盖率</w:t>
      </w:r>
    </w:p>
    <w:p>
      <w:pPr>
        <w:pStyle w:val="8"/>
        <w:widowControl w:val="0"/>
        <w:ind w:firstLine="480"/>
        <w:rPr>
          <w:rFonts w:ascii="Times New Roman" w:hAnsi="Times New Roman"/>
          <w:color w:val="auto"/>
        </w:rPr>
      </w:pPr>
      <w:r>
        <w:rPr>
          <w:rFonts w:ascii="Times New Roman" w:hAnsi="Times New Roman"/>
          <w:color w:val="auto"/>
        </w:rPr>
        <w:t>林草覆盖率=（林草类植被面积/项目总面积）×100%</w:t>
      </w:r>
    </w:p>
    <w:p>
      <w:pPr>
        <w:pStyle w:val="8"/>
        <w:widowControl w:val="0"/>
        <w:ind w:firstLine="480"/>
        <w:rPr>
          <w:rFonts w:ascii="Times New Roman" w:hAnsi="Times New Roman"/>
          <w:color w:val="auto"/>
        </w:rPr>
      </w:pPr>
      <w:r>
        <w:rPr>
          <w:rFonts w:hint="eastAsia"/>
          <w:color w:val="auto"/>
        </w:rPr>
        <w:t>根据《生产建设项目水土流失防治标准》（</w:t>
      </w:r>
      <w:r>
        <w:rPr>
          <w:color w:val="auto"/>
        </w:rPr>
        <w:t>GB/T 50434-2018）</w:t>
      </w:r>
      <w:r>
        <w:rPr>
          <w:rFonts w:hint="eastAsia"/>
          <w:color w:val="auto"/>
        </w:rPr>
        <w:t>的相关规定，恢复耕地面积在计算林草覆盖率时可在防治责任范围面积中扣除</w:t>
      </w:r>
      <w:r>
        <w:rPr>
          <w:rFonts w:hint="eastAsia"/>
          <w:color w:val="auto"/>
          <w:lang w:val="en-US" w:eastAsia="zh-CN"/>
        </w:rPr>
        <w:t>。</w:t>
      </w:r>
    </w:p>
    <w:p>
      <w:pPr>
        <w:pStyle w:val="8"/>
        <w:widowControl w:val="0"/>
        <w:ind w:firstLine="480"/>
        <w:rPr>
          <w:rFonts w:ascii="Times New Roman" w:hAnsi="Times New Roman"/>
          <w:color w:val="auto"/>
        </w:rPr>
      </w:pPr>
      <w:r>
        <w:rPr>
          <w:rFonts w:ascii="Times New Roman" w:hAnsi="Times New Roman"/>
          <w:color w:val="auto"/>
        </w:rPr>
        <w:t>根据本方案采取的各项措施，计算结果见表7.2-1，达标情况见表7.2-2。</w:t>
      </w:r>
    </w:p>
    <w:p>
      <w:pPr>
        <w:widowControl w:val="0"/>
        <w:spacing w:line="360" w:lineRule="auto"/>
        <w:jc w:val="center"/>
        <w:textAlignment w:val="baseline"/>
        <w:rPr>
          <w:rFonts w:ascii="Times New Roman" w:hAnsi="Times New Roman" w:eastAsia="仿宋" w:cs="Times New Roman"/>
          <w:b/>
          <w:color w:val="auto"/>
          <w:position w:val="-2"/>
          <w:szCs w:val="21"/>
        </w:rPr>
      </w:pPr>
      <w:r>
        <w:rPr>
          <w:rFonts w:ascii="Times New Roman" w:hAnsi="Times New Roman" w:eastAsia="仿宋" w:cs="Times New Roman"/>
          <w:b/>
          <w:color w:val="auto"/>
          <w:position w:val="-2"/>
          <w:szCs w:val="21"/>
        </w:rPr>
        <w:t>表7.2-1方案目标值计算表</w:t>
      </w:r>
    </w:p>
    <w:tbl>
      <w:tblPr>
        <w:tblStyle w:val="39"/>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982"/>
        <w:gridCol w:w="3084"/>
        <w:gridCol w:w="3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630" w:type="dxa"/>
            <w:vAlign w:val="center"/>
          </w:tcPr>
          <w:p>
            <w:pPr>
              <w:pStyle w:val="199"/>
              <w:widowControl w:val="0"/>
              <w:rPr>
                <w:rFonts w:ascii="Times New Roman" w:hAnsi="Times New Roman"/>
                <w:color w:val="auto"/>
              </w:rPr>
            </w:pPr>
            <w:r>
              <w:rPr>
                <w:rFonts w:ascii="Times New Roman" w:hAnsi="Times New Roman"/>
                <w:color w:val="auto"/>
              </w:rPr>
              <w:t>序号</w:t>
            </w:r>
          </w:p>
        </w:tc>
        <w:tc>
          <w:tcPr>
            <w:tcW w:w="1982" w:type="dxa"/>
            <w:vAlign w:val="center"/>
          </w:tcPr>
          <w:p>
            <w:pPr>
              <w:pStyle w:val="199"/>
              <w:widowControl w:val="0"/>
              <w:rPr>
                <w:rFonts w:ascii="Times New Roman" w:hAnsi="Times New Roman"/>
                <w:color w:val="auto"/>
              </w:rPr>
            </w:pPr>
            <w:r>
              <w:rPr>
                <w:rFonts w:ascii="Times New Roman" w:hAnsi="Times New Roman"/>
                <w:color w:val="auto"/>
              </w:rPr>
              <w:t>项目</w:t>
            </w:r>
          </w:p>
        </w:tc>
        <w:tc>
          <w:tcPr>
            <w:tcW w:w="6221" w:type="dxa"/>
            <w:gridSpan w:val="2"/>
            <w:vAlign w:val="center"/>
          </w:tcPr>
          <w:p>
            <w:pPr>
              <w:pStyle w:val="199"/>
              <w:widowControl w:val="0"/>
              <w:rPr>
                <w:rFonts w:ascii="Times New Roman" w:hAnsi="Times New Roman"/>
                <w:color w:val="auto"/>
              </w:rPr>
            </w:pPr>
            <w:r>
              <w:rPr>
                <w:rFonts w:ascii="Times New Roman" w:hAnsi="Times New Roman"/>
                <w:color w:val="auto"/>
              </w:rPr>
              <w:t>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restart"/>
            <w:vAlign w:val="center"/>
          </w:tcPr>
          <w:p>
            <w:pPr>
              <w:pStyle w:val="199"/>
              <w:widowControl w:val="0"/>
              <w:rPr>
                <w:rFonts w:ascii="Times New Roman" w:hAnsi="Times New Roman"/>
                <w:color w:val="auto"/>
              </w:rPr>
            </w:pPr>
            <w:r>
              <w:rPr>
                <w:rFonts w:ascii="Times New Roman" w:hAnsi="Times New Roman"/>
                <w:color w:val="auto"/>
              </w:rPr>
              <w:t>1</w:t>
            </w:r>
          </w:p>
        </w:tc>
        <w:tc>
          <w:tcPr>
            <w:tcW w:w="1982" w:type="dxa"/>
            <w:tcBorders>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水土流失治理度 (%)</w:t>
            </w:r>
          </w:p>
        </w:tc>
        <w:tc>
          <w:tcPr>
            <w:tcW w:w="3084" w:type="dxa"/>
            <w:tcBorders>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水土流失治理达标面积（</w:t>
            </w:r>
            <w:r>
              <w:rPr>
                <w:rFonts w:hint="eastAsia"/>
                <w:color w:val="auto"/>
                <w:lang w:eastAsia="zh-CN"/>
              </w:rPr>
              <w:t>hm</w:t>
            </w:r>
            <w:r>
              <w:rPr>
                <w:rFonts w:hint="eastAsia"/>
                <w:color w:val="auto"/>
                <w:vertAlign w:val="superscript"/>
                <w:lang w:eastAsia="zh-CN"/>
              </w:rPr>
              <w:t>2</w:t>
            </w:r>
            <w:r>
              <w:rPr>
                <w:rFonts w:ascii="Times New Roman" w:hAnsi="Times New Roman"/>
                <w:color w:val="auto"/>
              </w:rPr>
              <w:t>）</w:t>
            </w:r>
          </w:p>
        </w:tc>
        <w:tc>
          <w:tcPr>
            <w:tcW w:w="3137" w:type="dxa"/>
            <w:tcBorders>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水土流失总面积（</w:t>
            </w:r>
            <w:r>
              <w:rPr>
                <w:rFonts w:hint="eastAsia"/>
                <w:color w:val="auto"/>
                <w:lang w:eastAsia="zh-CN"/>
              </w:rPr>
              <w:t>hm</w:t>
            </w:r>
            <w:r>
              <w:rPr>
                <w:rFonts w:hint="eastAsia"/>
                <w:color w:val="auto"/>
                <w:vertAlign w:val="superscript"/>
                <w:lang w:eastAsia="zh-CN"/>
              </w:rPr>
              <w:t>2</w:t>
            </w:r>
            <w:r>
              <w:rPr>
                <w:rFonts w:ascii="Times New Roman" w:hAnsi="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continue"/>
            <w:tcBorders>
              <w:bottom w:val="single" w:color="000000" w:sz="4" w:space="0"/>
            </w:tcBorders>
            <w:vAlign w:val="center"/>
          </w:tcPr>
          <w:p>
            <w:pPr>
              <w:pStyle w:val="199"/>
              <w:widowControl w:val="0"/>
              <w:rPr>
                <w:rFonts w:ascii="Times New Roman" w:hAnsi="Times New Roman"/>
                <w:color w:val="auto"/>
              </w:rPr>
            </w:pPr>
          </w:p>
        </w:tc>
        <w:tc>
          <w:tcPr>
            <w:tcW w:w="1982"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99.72</w:t>
            </w:r>
          </w:p>
        </w:tc>
        <w:tc>
          <w:tcPr>
            <w:tcW w:w="3084"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1.755</w:t>
            </w:r>
          </w:p>
        </w:tc>
        <w:tc>
          <w:tcPr>
            <w:tcW w:w="3137"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vertAlign w:val="baseline"/>
                <w:lang w:val="en-US" w:eastAsia="zh-CN"/>
              </w:rPr>
              <w:t>1.76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restart"/>
            <w:tcBorders>
              <w:top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2</w:t>
            </w:r>
          </w:p>
        </w:tc>
        <w:tc>
          <w:tcPr>
            <w:tcW w:w="1982"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土壤流失控制比</w:t>
            </w:r>
          </w:p>
        </w:tc>
        <w:tc>
          <w:tcPr>
            <w:tcW w:w="3084"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项目区容许土壤流失量（t/km</w:t>
            </w:r>
            <w:r>
              <w:rPr>
                <w:rFonts w:hint="eastAsia" w:ascii="Times New Roman" w:hAnsi="Times New Roman"/>
                <w:color w:val="auto"/>
                <w:vertAlign w:val="superscript"/>
                <w:lang w:eastAsia="zh-CN"/>
              </w:rPr>
              <w:t>2</w:t>
            </w:r>
            <w:r>
              <w:rPr>
                <w:rFonts w:ascii="Times New Roman" w:hAnsi="Times New Roman"/>
                <w:color w:val="auto"/>
              </w:rPr>
              <w:t>·a）</w:t>
            </w:r>
          </w:p>
        </w:tc>
        <w:tc>
          <w:tcPr>
            <w:tcW w:w="3137"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治理后每平方公里年平均土壤流失量（t/km</w:t>
            </w:r>
            <w:r>
              <w:rPr>
                <w:rFonts w:hint="eastAsia" w:ascii="Times New Roman" w:hAnsi="Times New Roman"/>
                <w:color w:val="auto"/>
                <w:vertAlign w:val="superscript"/>
                <w:lang w:eastAsia="zh-CN"/>
              </w:rPr>
              <w:t>2</w:t>
            </w:r>
            <w:r>
              <w:rPr>
                <w:rFonts w:ascii="Times New Roman" w:hAnsi="Times New Roman"/>
                <w:color w:val="auto"/>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continue"/>
            <w:tcBorders>
              <w:bottom w:val="single" w:color="000000" w:sz="4" w:space="0"/>
            </w:tcBorders>
            <w:vAlign w:val="center"/>
          </w:tcPr>
          <w:p>
            <w:pPr>
              <w:pStyle w:val="199"/>
              <w:widowControl w:val="0"/>
              <w:rPr>
                <w:rFonts w:ascii="Times New Roman" w:hAnsi="Times New Roman"/>
                <w:color w:val="auto"/>
              </w:rPr>
            </w:pPr>
          </w:p>
        </w:tc>
        <w:tc>
          <w:tcPr>
            <w:tcW w:w="1982"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ascii="Times New Roman" w:hAnsi="Times New Roman"/>
                <w:color w:val="auto"/>
              </w:rPr>
              <w:t>1.</w:t>
            </w:r>
            <w:r>
              <w:rPr>
                <w:rFonts w:hint="eastAsia"/>
                <w:color w:val="auto"/>
                <w:lang w:val="en-US" w:eastAsia="zh-CN"/>
              </w:rPr>
              <w:t>00</w:t>
            </w:r>
          </w:p>
        </w:tc>
        <w:tc>
          <w:tcPr>
            <w:tcW w:w="3084"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500</w:t>
            </w:r>
          </w:p>
        </w:tc>
        <w:tc>
          <w:tcPr>
            <w:tcW w:w="3137"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hint="eastAsia"/>
                <w:color w:val="auto"/>
                <w:lang w:val="en-US" w:eastAsia="zh-CN"/>
              </w:rPr>
              <w:t>50</w:t>
            </w:r>
            <w:r>
              <w:rPr>
                <w:rFonts w:ascii="Times New Roman" w:hAnsi="Times New Roman"/>
                <w:color w:val="auto"/>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restart"/>
            <w:tcBorders>
              <w:top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3</w:t>
            </w:r>
          </w:p>
        </w:tc>
        <w:tc>
          <w:tcPr>
            <w:tcW w:w="1982"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渣土防护率（%）</w:t>
            </w:r>
          </w:p>
        </w:tc>
        <w:tc>
          <w:tcPr>
            <w:tcW w:w="3084"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采取措施实际挡护的永久弃渣、临时堆土数量（万m³）</w:t>
            </w:r>
          </w:p>
        </w:tc>
        <w:tc>
          <w:tcPr>
            <w:tcW w:w="3137"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永久弃渣和临时堆土总量（万m³）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continue"/>
            <w:tcBorders>
              <w:bottom w:val="single" w:color="000000" w:sz="4" w:space="0"/>
            </w:tcBorders>
            <w:vAlign w:val="center"/>
          </w:tcPr>
          <w:p>
            <w:pPr>
              <w:pStyle w:val="199"/>
              <w:widowControl w:val="0"/>
              <w:rPr>
                <w:rFonts w:ascii="Times New Roman" w:hAnsi="Times New Roman"/>
                <w:color w:val="auto"/>
              </w:rPr>
            </w:pPr>
          </w:p>
        </w:tc>
        <w:tc>
          <w:tcPr>
            <w:tcW w:w="1982"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99.77</w:t>
            </w:r>
          </w:p>
        </w:tc>
        <w:tc>
          <w:tcPr>
            <w:tcW w:w="3084"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2.125</w:t>
            </w:r>
          </w:p>
        </w:tc>
        <w:tc>
          <w:tcPr>
            <w:tcW w:w="3137"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2.13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restart"/>
            <w:tcBorders>
              <w:top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4</w:t>
            </w:r>
          </w:p>
        </w:tc>
        <w:tc>
          <w:tcPr>
            <w:tcW w:w="1982"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表土保护率（%）</w:t>
            </w:r>
          </w:p>
        </w:tc>
        <w:tc>
          <w:tcPr>
            <w:tcW w:w="3084"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保护的表土数量（万m³）</w:t>
            </w:r>
          </w:p>
        </w:tc>
        <w:tc>
          <w:tcPr>
            <w:tcW w:w="3137"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可剥离表土总量（万m³）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continue"/>
            <w:tcBorders>
              <w:bottom w:val="single" w:color="000000" w:sz="4" w:space="0"/>
            </w:tcBorders>
            <w:vAlign w:val="center"/>
          </w:tcPr>
          <w:p>
            <w:pPr>
              <w:pStyle w:val="199"/>
              <w:widowControl w:val="0"/>
              <w:rPr>
                <w:rFonts w:ascii="Times New Roman" w:hAnsi="Times New Roman"/>
                <w:color w:val="auto"/>
              </w:rPr>
            </w:pPr>
          </w:p>
        </w:tc>
        <w:tc>
          <w:tcPr>
            <w:tcW w:w="1982" w:type="dxa"/>
            <w:tcBorders>
              <w:top w:val="single" w:color="000000" w:sz="4" w:space="0"/>
              <w:bottom w:val="single" w:color="000000" w:sz="4" w:space="0"/>
            </w:tcBorders>
            <w:vAlign w:val="center"/>
          </w:tcPr>
          <w:p>
            <w:pPr>
              <w:pStyle w:val="199"/>
              <w:widowControl w:val="0"/>
              <w:rPr>
                <w:rFonts w:hint="default"/>
                <w:color w:val="auto"/>
                <w:lang w:val="en-US" w:eastAsia="zh-CN"/>
              </w:rPr>
            </w:pPr>
            <w:r>
              <w:rPr>
                <w:rFonts w:hint="eastAsia"/>
                <w:color w:val="auto"/>
                <w:lang w:val="en-US" w:eastAsia="zh-CN"/>
              </w:rPr>
              <w:t>99.07</w:t>
            </w:r>
          </w:p>
        </w:tc>
        <w:tc>
          <w:tcPr>
            <w:tcW w:w="3084"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0.535</w:t>
            </w:r>
          </w:p>
        </w:tc>
        <w:tc>
          <w:tcPr>
            <w:tcW w:w="3137"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restart"/>
            <w:tcBorders>
              <w:top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5</w:t>
            </w:r>
          </w:p>
        </w:tc>
        <w:tc>
          <w:tcPr>
            <w:tcW w:w="1982"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林草植被恢复率（%）</w:t>
            </w:r>
          </w:p>
        </w:tc>
        <w:tc>
          <w:tcPr>
            <w:tcW w:w="3084"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林草类植被面积（</w:t>
            </w:r>
            <w:r>
              <w:rPr>
                <w:rFonts w:hint="eastAsia"/>
                <w:color w:val="auto"/>
                <w:lang w:eastAsia="zh-CN"/>
              </w:rPr>
              <w:t>hm</w:t>
            </w:r>
            <w:r>
              <w:rPr>
                <w:rFonts w:hint="eastAsia"/>
                <w:color w:val="auto"/>
                <w:vertAlign w:val="superscript"/>
                <w:lang w:eastAsia="zh-CN"/>
              </w:rPr>
              <w:t>2</w:t>
            </w:r>
            <w:r>
              <w:rPr>
                <w:rFonts w:ascii="Times New Roman" w:hAnsi="Times New Roman"/>
                <w:color w:val="auto"/>
              </w:rPr>
              <w:t>）</w:t>
            </w:r>
          </w:p>
        </w:tc>
        <w:tc>
          <w:tcPr>
            <w:tcW w:w="3137"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可恢复林草植被面积（</w:t>
            </w:r>
            <w:r>
              <w:rPr>
                <w:rFonts w:hint="eastAsia"/>
                <w:color w:val="auto"/>
                <w:lang w:eastAsia="zh-CN"/>
              </w:rPr>
              <w:t>hm</w:t>
            </w:r>
            <w:r>
              <w:rPr>
                <w:rFonts w:hint="eastAsia"/>
                <w:color w:val="auto"/>
                <w:vertAlign w:val="superscript"/>
                <w:lang w:eastAsia="zh-CN"/>
              </w:rPr>
              <w:t>2</w:t>
            </w:r>
            <w:r>
              <w:rPr>
                <w:rFonts w:ascii="Times New Roman" w:hAnsi="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4" w:hRule="atLeast"/>
        </w:trPr>
        <w:tc>
          <w:tcPr>
            <w:tcW w:w="630" w:type="dxa"/>
            <w:vMerge w:val="continue"/>
            <w:tcBorders>
              <w:bottom w:val="single" w:color="000000" w:sz="4" w:space="0"/>
            </w:tcBorders>
            <w:vAlign w:val="center"/>
          </w:tcPr>
          <w:p>
            <w:pPr>
              <w:pStyle w:val="199"/>
              <w:widowControl w:val="0"/>
              <w:rPr>
                <w:rFonts w:ascii="Times New Roman" w:hAnsi="Times New Roman"/>
                <w:color w:val="auto"/>
              </w:rPr>
            </w:pPr>
          </w:p>
        </w:tc>
        <w:tc>
          <w:tcPr>
            <w:tcW w:w="1982" w:type="dxa"/>
            <w:tcBorders>
              <w:top w:val="single" w:color="000000" w:sz="4" w:space="0"/>
              <w:bottom w:val="single" w:color="000000" w:sz="4" w:space="0"/>
            </w:tcBorders>
            <w:vAlign w:val="center"/>
          </w:tcPr>
          <w:p>
            <w:pPr>
              <w:pStyle w:val="199"/>
              <w:widowControl w:val="0"/>
              <w:rPr>
                <w:rFonts w:hint="default" w:eastAsia="仿宋_GB2312"/>
                <w:color w:val="auto"/>
                <w:lang w:val="en-US" w:eastAsia="zh-CN"/>
              </w:rPr>
            </w:pPr>
            <w:r>
              <w:rPr>
                <w:rFonts w:hint="eastAsia"/>
                <w:color w:val="auto"/>
                <w:lang w:val="en-US" w:eastAsia="zh-CN"/>
              </w:rPr>
              <w:t>100</w:t>
            </w:r>
          </w:p>
        </w:tc>
        <w:tc>
          <w:tcPr>
            <w:tcW w:w="3084"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0.24</w:t>
            </w:r>
          </w:p>
        </w:tc>
        <w:tc>
          <w:tcPr>
            <w:tcW w:w="3137" w:type="dxa"/>
            <w:tcBorders>
              <w:top w:val="single" w:color="000000" w:sz="4" w:space="0"/>
              <w:bottom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restart"/>
            <w:tcBorders>
              <w:top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6</w:t>
            </w:r>
          </w:p>
        </w:tc>
        <w:tc>
          <w:tcPr>
            <w:tcW w:w="1982"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林草覆盖率（%）</w:t>
            </w:r>
          </w:p>
        </w:tc>
        <w:tc>
          <w:tcPr>
            <w:tcW w:w="3084"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林草类植被面积（</w:t>
            </w:r>
            <w:r>
              <w:rPr>
                <w:rFonts w:hint="eastAsia"/>
                <w:color w:val="auto"/>
                <w:lang w:eastAsia="zh-CN"/>
              </w:rPr>
              <w:t>hm</w:t>
            </w:r>
            <w:r>
              <w:rPr>
                <w:rFonts w:hint="eastAsia"/>
                <w:color w:val="auto"/>
                <w:vertAlign w:val="superscript"/>
                <w:lang w:eastAsia="zh-CN"/>
              </w:rPr>
              <w:t>2</w:t>
            </w:r>
            <w:r>
              <w:rPr>
                <w:rFonts w:ascii="Times New Roman" w:hAnsi="Times New Roman"/>
                <w:color w:val="auto"/>
              </w:rPr>
              <w:t>）</w:t>
            </w:r>
          </w:p>
        </w:tc>
        <w:tc>
          <w:tcPr>
            <w:tcW w:w="3137" w:type="dxa"/>
            <w:tcBorders>
              <w:top w:val="single" w:color="000000" w:sz="4" w:space="0"/>
              <w:bottom w:val="single" w:color="000000" w:sz="4" w:space="0"/>
            </w:tcBorders>
            <w:vAlign w:val="center"/>
          </w:tcPr>
          <w:p>
            <w:pPr>
              <w:pStyle w:val="199"/>
              <w:widowControl w:val="0"/>
              <w:rPr>
                <w:rFonts w:ascii="Times New Roman" w:hAnsi="Times New Roman"/>
                <w:color w:val="auto"/>
              </w:rPr>
            </w:pPr>
            <w:r>
              <w:rPr>
                <w:rFonts w:ascii="Times New Roman" w:hAnsi="Times New Roman"/>
                <w:color w:val="auto"/>
              </w:rPr>
              <w:t>防治责任范围总面积（</w:t>
            </w:r>
            <w:r>
              <w:rPr>
                <w:rFonts w:hint="eastAsia"/>
                <w:color w:val="auto"/>
                <w:lang w:eastAsia="zh-CN"/>
              </w:rPr>
              <w:t>hm</w:t>
            </w:r>
            <w:r>
              <w:rPr>
                <w:rFonts w:hint="eastAsia"/>
                <w:color w:val="auto"/>
                <w:vertAlign w:val="superscript"/>
                <w:lang w:eastAsia="zh-CN"/>
              </w:rPr>
              <w:t>2</w:t>
            </w:r>
            <w:r>
              <w:rPr>
                <w:rFonts w:ascii="Times New Roman" w:hAnsi="Times New Roman"/>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30" w:type="dxa"/>
            <w:vMerge w:val="continue"/>
            <w:vAlign w:val="center"/>
          </w:tcPr>
          <w:p>
            <w:pPr>
              <w:pStyle w:val="199"/>
              <w:widowControl w:val="0"/>
              <w:rPr>
                <w:rFonts w:ascii="Times New Roman" w:hAnsi="Times New Roman"/>
                <w:color w:val="auto"/>
              </w:rPr>
            </w:pPr>
          </w:p>
        </w:tc>
        <w:tc>
          <w:tcPr>
            <w:tcW w:w="1982" w:type="dxa"/>
            <w:tcBorders>
              <w:top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64.86</w:t>
            </w:r>
          </w:p>
        </w:tc>
        <w:tc>
          <w:tcPr>
            <w:tcW w:w="3084" w:type="dxa"/>
            <w:tcBorders>
              <w:top w:val="single" w:color="000000" w:sz="4" w:space="0"/>
            </w:tcBorders>
            <w:vAlign w:val="center"/>
          </w:tcPr>
          <w:p>
            <w:pPr>
              <w:pStyle w:val="199"/>
              <w:widowControl w:val="0"/>
              <w:rPr>
                <w:rFonts w:hint="default" w:ascii="Times New Roman" w:hAnsi="Times New Roman"/>
                <w:color w:val="auto"/>
                <w:lang w:val="en-US"/>
              </w:rPr>
            </w:pPr>
            <w:r>
              <w:rPr>
                <w:rFonts w:hint="eastAsia"/>
                <w:color w:val="auto"/>
                <w:lang w:val="en-US" w:eastAsia="zh-CN"/>
              </w:rPr>
              <w:t>0.24</w:t>
            </w:r>
          </w:p>
        </w:tc>
        <w:tc>
          <w:tcPr>
            <w:tcW w:w="3137" w:type="dxa"/>
            <w:tcBorders>
              <w:top w:val="single" w:color="000000" w:sz="4" w:space="0"/>
            </w:tcBorders>
            <w:vAlign w:val="center"/>
          </w:tcPr>
          <w:p>
            <w:pPr>
              <w:pStyle w:val="199"/>
              <w:widowControl w:val="0"/>
              <w:rPr>
                <w:rFonts w:hint="default" w:ascii="Times New Roman" w:hAnsi="Times New Roman" w:eastAsia="仿宋_GB2312"/>
                <w:color w:val="auto"/>
                <w:lang w:val="en-US" w:eastAsia="zh-CN"/>
              </w:rPr>
            </w:pPr>
            <w:r>
              <w:rPr>
                <w:rFonts w:hint="eastAsia"/>
                <w:color w:val="auto"/>
                <w:vertAlign w:val="baseline"/>
                <w:lang w:val="en-US" w:eastAsia="zh-CN"/>
              </w:rPr>
              <w:t>0.37</w:t>
            </w:r>
          </w:p>
        </w:tc>
      </w:tr>
    </w:tbl>
    <w:p>
      <w:pPr>
        <w:widowControl w:val="0"/>
        <w:adjustRightInd w:val="0"/>
        <w:snapToGrid w:val="0"/>
        <w:spacing w:line="360" w:lineRule="auto"/>
        <w:ind w:firstLine="420" w:firstLineChars="200"/>
        <w:rPr>
          <w:rFonts w:hint="default" w:ascii="Times New Roman" w:hAnsi="Times New Roman" w:eastAsia="仿宋" w:cs="Times New Roman"/>
          <w:color w:val="auto"/>
          <w:position w:val="-2"/>
          <w:szCs w:val="21"/>
          <w:lang w:val="en-US" w:eastAsia="zh-CN"/>
        </w:rPr>
      </w:pPr>
      <w:r>
        <w:rPr>
          <w:rFonts w:ascii="Times New Roman" w:hAnsi="Times New Roman" w:eastAsia="仿宋" w:cs="Times New Roman"/>
          <w:color w:val="auto"/>
          <w:position w:val="-2"/>
          <w:szCs w:val="21"/>
        </w:rPr>
        <w:t>注：恢复耕地面积在计算林草覆盖率时已在防治责任范围面积中予以扣除。</w:t>
      </w:r>
      <w:r>
        <w:rPr>
          <w:rFonts w:hint="eastAsia" w:ascii="Times New Roman" w:hAnsi="Times New Roman" w:eastAsia="仿宋" w:cs="Times New Roman"/>
          <w:color w:val="auto"/>
          <w:position w:val="-2"/>
          <w:szCs w:val="21"/>
          <w:lang w:val="en-US" w:eastAsia="zh-CN"/>
        </w:rPr>
        <w:t>本项目恢复耕地面积为1.39hm</w:t>
      </w:r>
      <w:r>
        <w:rPr>
          <w:rFonts w:hint="eastAsia" w:ascii="Times New Roman" w:hAnsi="Times New Roman" w:eastAsia="仿宋" w:cs="Times New Roman"/>
          <w:color w:val="auto"/>
          <w:position w:val="-2"/>
          <w:szCs w:val="21"/>
          <w:vertAlign w:val="superscript"/>
          <w:lang w:val="en-US" w:eastAsia="zh-CN"/>
        </w:rPr>
        <w:t>2</w:t>
      </w:r>
      <w:r>
        <w:rPr>
          <w:rFonts w:hint="eastAsia" w:ascii="Times New Roman" w:hAnsi="Times New Roman" w:eastAsia="仿宋" w:cs="Times New Roman"/>
          <w:color w:val="auto"/>
          <w:position w:val="-2"/>
          <w:szCs w:val="21"/>
          <w:lang w:val="en-US" w:eastAsia="zh-CN"/>
        </w:rPr>
        <w:t>，扣除这部分面积后为0.37hm</w:t>
      </w:r>
      <w:r>
        <w:rPr>
          <w:rFonts w:hint="eastAsia" w:ascii="Times New Roman" w:hAnsi="Times New Roman" w:eastAsia="仿宋" w:cs="Times New Roman"/>
          <w:color w:val="auto"/>
          <w:position w:val="-2"/>
          <w:szCs w:val="21"/>
          <w:vertAlign w:val="superscript"/>
          <w:lang w:val="en-US" w:eastAsia="zh-CN"/>
        </w:rPr>
        <w:t>2</w:t>
      </w:r>
      <w:r>
        <w:rPr>
          <w:rFonts w:hint="eastAsia" w:ascii="Times New Roman" w:hAnsi="Times New Roman" w:eastAsia="仿宋" w:cs="Times New Roman"/>
          <w:color w:val="auto"/>
          <w:position w:val="-2"/>
          <w:szCs w:val="21"/>
          <w:lang w:val="en-US" w:eastAsia="zh-CN"/>
        </w:rPr>
        <w:t>。</w:t>
      </w:r>
    </w:p>
    <w:p>
      <w:pPr>
        <w:widowControl w:val="0"/>
        <w:spacing w:before="240" w:beforeLines="100" w:line="360" w:lineRule="auto"/>
        <w:jc w:val="center"/>
        <w:textAlignment w:val="baseline"/>
        <w:rPr>
          <w:rFonts w:ascii="Times New Roman" w:hAnsi="Times New Roman" w:eastAsia="仿宋" w:cs="Times New Roman"/>
          <w:b/>
          <w:color w:val="auto"/>
          <w:position w:val="-2"/>
          <w:szCs w:val="21"/>
        </w:rPr>
      </w:pPr>
    </w:p>
    <w:p>
      <w:pPr>
        <w:widowControl w:val="0"/>
        <w:spacing w:before="240" w:beforeLines="100" w:line="360" w:lineRule="auto"/>
        <w:jc w:val="center"/>
        <w:textAlignment w:val="baseline"/>
        <w:rPr>
          <w:rFonts w:ascii="Times New Roman" w:hAnsi="Times New Roman" w:eastAsia="仿宋" w:cs="Times New Roman"/>
          <w:b/>
          <w:color w:val="auto"/>
          <w:position w:val="-2"/>
          <w:szCs w:val="21"/>
        </w:rPr>
      </w:pPr>
      <w:r>
        <w:rPr>
          <w:rFonts w:ascii="Times New Roman" w:hAnsi="Times New Roman" w:eastAsia="仿宋" w:cs="Times New Roman"/>
          <w:b/>
          <w:color w:val="auto"/>
          <w:position w:val="-2"/>
          <w:szCs w:val="21"/>
        </w:rPr>
        <w:t>表7.2-2 水土保持方案防治效果达标情况表</w:t>
      </w:r>
    </w:p>
    <w:tbl>
      <w:tblPr>
        <w:tblStyle w:val="39"/>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2040"/>
        <w:gridCol w:w="1786"/>
        <w:gridCol w:w="1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020" w:type="dxa"/>
            <w:vAlign w:val="center"/>
          </w:tcPr>
          <w:p>
            <w:pPr>
              <w:pStyle w:val="199"/>
              <w:widowControl w:val="0"/>
              <w:rPr>
                <w:rFonts w:ascii="Times New Roman" w:hAnsi="Times New Roman"/>
                <w:color w:val="auto"/>
              </w:rPr>
            </w:pPr>
            <w:r>
              <w:rPr>
                <w:rFonts w:ascii="Times New Roman" w:hAnsi="Times New Roman"/>
                <w:color w:val="auto"/>
              </w:rPr>
              <w:t>指标</w:t>
            </w:r>
          </w:p>
        </w:tc>
        <w:tc>
          <w:tcPr>
            <w:tcW w:w="2040" w:type="dxa"/>
            <w:vAlign w:val="center"/>
          </w:tcPr>
          <w:p>
            <w:pPr>
              <w:pStyle w:val="199"/>
              <w:widowControl w:val="0"/>
              <w:rPr>
                <w:rFonts w:ascii="Times New Roman" w:hAnsi="Times New Roman"/>
                <w:color w:val="auto"/>
              </w:rPr>
            </w:pPr>
            <w:r>
              <w:rPr>
                <w:rFonts w:ascii="Times New Roman" w:hAnsi="Times New Roman"/>
                <w:color w:val="auto"/>
              </w:rPr>
              <w:t>效益值</w:t>
            </w:r>
          </w:p>
        </w:tc>
        <w:tc>
          <w:tcPr>
            <w:tcW w:w="1786" w:type="dxa"/>
            <w:vAlign w:val="center"/>
          </w:tcPr>
          <w:p>
            <w:pPr>
              <w:pStyle w:val="199"/>
              <w:widowControl w:val="0"/>
              <w:rPr>
                <w:rFonts w:ascii="Times New Roman" w:hAnsi="Times New Roman"/>
                <w:color w:val="auto"/>
              </w:rPr>
            </w:pPr>
            <w:r>
              <w:rPr>
                <w:rFonts w:ascii="Times New Roman" w:hAnsi="Times New Roman"/>
                <w:color w:val="auto"/>
              </w:rPr>
              <w:t>目标值</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0" w:type="dxa"/>
            <w:vAlign w:val="center"/>
          </w:tcPr>
          <w:p>
            <w:pPr>
              <w:pStyle w:val="199"/>
              <w:widowControl w:val="0"/>
              <w:rPr>
                <w:rFonts w:ascii="Times New Roman" w:hAnsi="Times New Roman"/>
                <w:color w:val="auto"/>
              </w:rPr>
            </w:pPr>
            <w:r>
              <w:rPr>
                <w:rFonts w:ascii="Times New Roman" w:hAnsi="Times New Roman"/>
                <w:color w:val="auto"/>
              </w:rPr>
              <w:t>水土流失治理度 (%)</w:t>
            </w:r>
          </w:p>
        </w:tc>
        <w:tc>
          <w:tcPr>
            <w:tcW w:w="2040" w:type="dxa"/>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99.72</w:t>
            </w:r>
          </w:p>
        </w:tc>
        <w:tc>
          <w:tcPr>
            <w:tcW w:w="1786" w:type="dxa"/>
            <w:vAlign w:val="center"/>
          </w:tcPr>
          <w:p>
            <w:pPr>
              <w:pStyle w:val="199"/>
              <w:widowControl w:val="0"/>
              <w:rPr>
                <w:rFonts w:ascii="Times New Roman" w:hAnsi="Times New Roman"/>
                <w:color w:val="auto"/>
              </w:rPr>
            </w:pPr>
            <w:r>
              <w:rPr>
                <w:rFonts w:ascii="Times New Roman" w:hAnsi="Times New Roman"/>
                <w:color w:val="auto"/>
              </w:rPr>
              <w:t>97</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0" w:type="dxa"/>
            <w:vAlign w:val="center"/>
          </w:tcPr>
          <w:p>
            <w:pPr>
              <w:pStyle w:val="199"/>
              <w:widowControl w:val="0"/>
              <w:rPr>
                <w:rFonts w:ascii="Times New Roman" w:hAnsi="Times New Roman"/>
                <w:color w:val="auto"/>
              </w:rPr>
            </w:pPr>
            <w:r>
              <w:rPr>
                <w:rFonts w:ascii="Times New Roman" w:hAnsi="Times New Roman"/>
                <w:color w:val="auto"/>
              </w:rPr>
              <w:t>土壤流失控制比</w:t>
            </w:r>
          </w:p>
        </w:tc>
        <w:tc>
          <w:tcPr>
            <w:tcW w:w="2040" w:type="dxa"/>
            <w:vAlign w:val="center"/>
          </w:tcPr>
          <w:p>
            <w:pPr>
              <w:pStyle w:val="199"/>
              <w:widowControl w:val="0"/>
              <w:rPr>
                <w:rFonts w:hint="default" w:ascii="Times New Roman" w:hAnsi="Times New Roman" w:eastAsia="仿宋_GB2312"/>
                <w:color w:val="auto"/>
                <w:lang w:val="en-US" w:eastAsia="zh-CN"/>
              </w:rPr>
            </w:pPr>
            <w:r>
              <w:rPr>
                <w:rFonts w:hint="eastAsia" w:ascii="Times New Roman" w:hAnsi="Times New Roman"/>
                <w:color w:val="auto"/>
                <w:lang w:val="en-US" w:eastAsia="zh-CN"/>
              </w:rPr>
              <w:t>1.</w:t>
            </w:r>
            <w:r>
              <w:rPr>
                <w:rFonts w:hint="eastAsia"/>
                <w:color w:val="auto"/>
                <w:lang w:val="en-US" w:eastAsia="zh-CN"/>
              </w:rPr>
              <w:t>00</w:t>
            </w:r>
          </w:p>
        </w:tc>
        <w:tc>
          <w:tcPr>
            <w:tcW w:w="1786" w:type="dxa"/>
            <w:vAlign w:val="center"/>
          </w:tcPr>
          <w:p>
            <w:pPr>
              <w:pStyle w:val="199"/>
              <w:widowControl w:val="0"/>
              <w:rPr>
                <w:rFonts w:ascii="Times New Roman" w:hAnsi="Times New Roman"/>
                <w:color w:val="auto"/>
              </w:rPr>
            </w:pPr>
            <w:r>
              <w:rPr>
                <w:rFonts w:ascii="Times New Roman" w:hAnsi="Times New Roman"/>
                <w:color w:val="auto"/>
              </w:rPr>
              <w:t>1.0</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0" w:type="dxa"/>
            <w:vAlign w:val="center"/>
          </w:tcPr>
          <w:p>
            <w:pPr>
              <w:pStyle w:val="199"/>
              <w:widowControl w:val="0"/>
              <w:rPr>
                <w:rFonts w:ascii="Times New Roman" w:hAnsi="Times New Roman"/>
                <w:color w:val="auto"/>
              </w:rPr>
            </w:pPr>
            <w:r>
              <w:rPr>
                <w:rFonts w:ascii="Times New Roman" w:hAnsi="Times New Roman"/>
                <w:color w:val="auto"/>
              </w:rPr>
              <w:t>渣土防护率(%)</w:t>
            </w:r>
          </w:p>
        </w:tc>
        <w:tc>
          <w:tcPr>
            <w:tcW w:w="2040" w:type="dxa"/>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99.77</w:t>
            </w:r>
          </w:p>
        </w:tc>
        <w:tc>
          <w:tcPr>
            <w:tcW w:w="1786" w:type="dxa"/>
            <w:vAlign w:val="center"/>
          </w:tcPr>
          <w:p>
            <w:pPr>
              <w:pStyle w:val="199"/>
              <w:widowControl w:val="0"/>
              <w:rPr>
                <w:rFonts w:ascii="Times New Roman" w:hAnsi="Times New Roman"/>
                <w:color w:val="auto"/>
              </w:rPr>
            </w:pPr>
            <w:r>
              <w:rPr>
                <w:rFonts w:ascii="Times New Roman" w:hAnsi="Times New Roman"/>
                <w:color w:val="auto"/>
              </w:rPr>
              <w:t>92</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0" w:type="dxa"/>
            <w:vAlign w:val="center"/>
          </w:tcPr>
          <w:p>
            <w:pPr>
              <w:pStyle w:val="199"/>
              <w:widowControl w:val="0"/>
              <w:rPr>
                <w:rFonts w:ascii="Times New Roman" w:hAnsi="Times New Roman"/>
                <w:color w:val="auto"/>
              </w:rPr>
            </w:pPr>
            <w:r>
              <w:rPr>
                <w:rFonts w:ascii="Times New Roman" w:hAnsi="Times New Roman"/>
                <w:color w:val="auto"/>
              </w:rPr>
              <w:t>表土保护率(%)</w:t>
            </w:r>
          </w:p>
        </w:tc>
        <w:tc>
          <w:tcPr>
            <w:tcW w:w="2040" w:type="dxa"/>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99.07</w:t>
            </w:r>
          </w:p>
        </w:tc>
        <w:tc>
          <w:tcPr>
            <w:tcW w:w="1786" w:type="dxa"/>
            <w:vAlign w:val="center"/>
          </w:tcPr>
          <w:p>
            <w:pPr>
              <w:pStyle w:val="199"/>
              <w:widowControl w:val="0"/>
              <w:rPr>
                <w:rFonts w:ascii="Times New Roman" w:hAnsi="Times New Roman"/>
                <w:color w:val="auto"/>
              </w:rPr>
            </w:pPr>
            <w:r>
              <w:rPr>
                <w:rFonts w:ascii="Times New Roman" w:hAnsi="Times New Roman"/>
                <w:color w:val="auto"/>
              </w:rPr>
              <w:t>92</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0" w:type="dxa"/>
            <w:vAlign w:val="center"/>
          </w:tcPr>
          <w:p>
            <w:pPr>
              <w:pStyle w:val="199"/>
              <w:widowControl w:val="0"/>
              <w:rPr>
                <w:rFonts w:ascii="Times New Roman" w:hAnsi="Times New Roman"/>
                <w:color w:val="auto"/>
              </w:rPr>
            </w:pPr>
            <w:r>
              <w:rPr>
                <w:rFonts w:ascii="Times New Roman" w:hAnsi="Times New Roman"/>
                <w:color w:val="auto"/>
              </w:rPr>
              <w:t>林草植被恢复率(%)</w:t>
            </w:r>
          </w:p>
        </w:tc>
        <w:tc>
          <w:tcPr>
            <w:tcW w:w="2040" w:type="dxa"/>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100</w:t>
            </w:r>
          </w:p>
        </w:tc>
        <w:tc>
          <w:tcPr>
            <w:tcW w:w="1786" w:type="dxa"/>
            <w:vAlign w:val="center"/>
          </w:tcPr>
          <w:p>
            <w:pPr>
              <w:pStyle w:val="199"/>
              <w:widowControl w:val="0"/>
              <w:rPr>
                <w:rFonts w:ascii="Times New Roman" w:hAnsi="Times New Roman"/>
                <w:color w:val="auto"/>
              </w:rPr>
            </w:pPr>
            <w:r>
              <w:rPr>
                <w:rFonts w:ascii="Times New Roman" w:hAnsi="Times New Roman"/>
                <w:color w:val="auto"/>
              </w:rPr>
              <w:t>97</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20" w:type="dxa"/>
            <w:vAlign w:val="center"/>
          </w:tcPr>
          <w:p>
            <w:pPr>
              <w:pStyle w:val="199"/>
              <w:widowControl w:val="0"/>
              <w:rPr>
                <w:rFonts w:ascii="Times New Roman" w:hAnsi="Times New Roman"/>
                <w:color w:val="auto"/>
              </w:rPr>
            </w:pPr>
            <w:r>
              <w:rPr>
                <w:rFonts w:ascii="Times New Roman" w:hAnsi="Times New Roman"/>
                <w:color w:val="auto"/>
              </w:rPr>
              <w:t>林草覆盖率(%)</w:t>
            </w:r>
          </w:p>
        </w:tc>
        <w:tc>
          <w:tcPr>
            <w:tcW w:w="2040" w:type="dxa"/>
            <w:vAlign w:val="center"/>
          </w:tcPr>
          <w:p>
            <w:pPr>
              <w:pStyle w:val="199"/>
              <w:widowControl w:val="0"/>
              <w:rPr>
                <w:rFonts w:hint="default" w:ascii="Times New Roman" w:hAnsi="Times New Roman" w:eastAsia="仿宋_GB2312"/>
                <w:color w:val="auto"/>
                <w:lang w:val="en-US" w:eastAsia="zh-CN"/>
              </w:rPr>
            </w:pPr>
            <w:r>
              <w:rPr>
                <w:rFonts w:hint="eastAsia"/>
                <w:color w:val="auto"/>
                <w:lang w:val="en-US" w:eastAsia="zh-CN"/>
              </w:rPr>
              <w:t>64.86</w:t>
            </w:r>
          </w:p>
        </w:tc>
        <w:tc>
          <w:tcPr>
            <w:tcW w:w="1786" w:type="dxa"/>
            <w:vAlign w:val="center"/>
          </w:tcPr>
          <w:p>
            <w:pPr>
              <w:pStyle w:val="199"/>
              <w:widowControl w:val="0"/>
              <w:rPr>
                <w:rFonts w:ascii="Times New Roman" w:hAnsi="Times New Roman"/>
                <w:color w:val="auto"/>
              </w:rPr>
            </w:pPr>
            <w:r>
              <w:rPr>
                <w:rFonts w:ascii="Times New Roman" w:hAnsi="Times New Roman"/>
                <w:color w:val="auto"/>
              </w:rPr>
              <w:t>25</w:t>
            </w:r>
          </w:p>
        </w:tc>
        <w:tc>
          <w:tcPr>
            <w:tcW w:w="1987" w:type="dxa"/>
            <w:vAlign w:val="center"/>
          </w:tcPr>
          <w:p>
            <w:pPr>
              <w:pStyle w:val="199"/>
              <w:widowControl w:val="0"/>
              <w:rPr>
                <w:rFonts w:ascii="Times New Roman" w:hAnsi="Times New Roman"/>
                <w:color w:val="auto"/>
              </w:rPr>
            </w:pPr>
            <w:r>
              <w:rPr>
                <w:rFonts w:ascii="Times New Roman" w:hAnsi="Times New Roman"/>
                <w:color w:val="auto"/>
              </w:rPr>
              <w:t>达标</w:t>
            </w:r>
          </w:p>
        </w:tc>
      </w:tr>
    </w:tbl>
    <w:p>
      <w:pPr>
        <w:widowControl w:val="0"/>
        <w:adjustRightInd w:val="0"/>
        <w:snapToGrid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通过实施本方案各项水土保持措施，可治理水土流失面积</w:t>
      </w:r>
      <w:r>
        <w:rPr>
          <w:rFonts w:hint="eastAsia" w:ascii="Times New Roman" w:hAnsi="Times New Roman" w:eastAsia="仿宋_GB2312" w:cs="Times New Roman"/>
          <w:color w:val="auto"/>
          <w:sz w:val="24"/>
          <w:szCs w:val="24"/>
          <w:lang w:val="en-US" w:eastAsia="zh-CN"/>
        </w:rPr>
        <w:t>1.76hm</w:t>
      </w:r>
      <w:r>
        <w:rPr>
          <w:rFonts w:hint="eastAsia" w:ascii="Times New Roman" w:hAnsi="Times New Roman" w:eastAsia="仿宋_GB2312" w:cs="Times New Roman"/>
          <w:color w:val="auto"/>
          <w:sz w:val="24"/>
          <w:szCs w:val="24"/>
          <w:vertAlign w:val="superscript"/>
          <w:lang w:eastAsia="zh-CN"/>
        </w:rPr>
        <w:t>2</w:t>
      </w:r>
      <w:r>
        <w:rPr>
          <w:rFonts w:ascii="Times New Roman" w:hAnsi="Times New Roman" w:eastAsia="仿宋_GB2312" w:cs="Times New Roman"/>
          <w:color w:val="auto"/>
          <w:sz w:val="24"/>
          <w:szCs w:val="24"/>
        </w:rPr>
        <w:t>，林草植被建设面积</w:t>
      </w:r>
      <w:r>
        <w:rPr>
          <w:rFonts w:hint="eastAsia" w:ascii="Times New Roman" w:hAnsi="Times New Roman" w:eastAsia="仿宋_GB2312" w:cs="Times New Roman"/>
          <w:color w:val="auto"/>
          <w:sz w:val="24"/>
          <w:szCs w:val="24"/>
          <w:lang w:val="en-US" w:eastAsia="zh-CN"/>
        </w:rPr>
        <w:t>0.24</w:t>
      </w:r>
      <w:r>
        <w:rPr>
          <w:rFonts w:hint="eastAsia" w:ascii="Times New Roman" w:hAnsi="Times New Roman" w:eastAsia="仿宋_GB2312" w:cs="Times New Roman"/>
          <w:color w:val="auto"/>
          <w:sz w:val="24"/>
          <w:szCs w:val="24"/>
          <w:lang w:eastAsia="zh-CN"/>
        </w:rPr>
        <w:t>hm</w:t>
      </w:r>
      <w:r>
        <w:rPr>
          <w:rFonts w:hint="eastAsia" w:ascii="Times New Roman" w:hAnsi="Times New Roman" w:eastAsia="仿宋_GB2312" w:cs="Times New Roman"/>
          <w:color w:val="auto"/>
          <w:sz w:val="24"/>
          <w:szCs w:val="24"/>
          <w:vertAlign w:val="superscript"/>
          <w:lang w:eastAsia="zh-CN"/>
        </w:rPr>
        <w:t>2</w:t>
      </w:r>
      <w:r>
        <w:rPr>
          <w:rFonts w:ascii="Times New Roman" w:hAnsi="Times New Roman" w:eastAsia="仿宋_GB2312" w:cs="Times New Roman"/>
          <w:color w:val="auto"/>
          <w:sz w:val="24"/>
          <w:szCs w:val="24"/>
        </w:rPr>
        <w:t>，减少水土流失量</w:t>
      </w:r>
      <w:r>
        <w:rPr>
          <w:rFonts w:hint="eastAsia" w:ascii="Times New Roman" w:hAnsi="Times New Roman" w:eastAsia="仿宋_GB2312" w:cs="Times New Roman"/>
          <w:color w:val="auto"/>
          <w:sz w:val="24"/>
          <w:szCs w:val="24"/>
          <w:lang w:val="en-US" w:eastAsia="zh-CN"/>
        </w:rPr>
        <w:t>110.32</w:t>
      </w:r>
      <w:r>
        <w:rPr>
          <w:rFonts w:ascii="Times New Roman" w:hAnsi="Times New Roman" w:eastAsia="仿宋_GB2312" w:cs="Times New Roman"/>
          <w:color w:val="auto"/>
          <w:sz w:val="24"/>
          <w:szCs w:val="24"/>
        </w:rPr>
        <w:t>t，整个工程区水土流失治理度达到</w:t>
      </w:r>
      <w:r>
        <w:rPr>
          <w:rFonts w:hint="eastAsia" w:ascii="Times New Roman" w:hAnsi="Times New Roman" w:eastAsia="仿宋_GB2312" w:cs="Times New Roman"/>
          <w:color w:val="auto"/>
          <w:sz w:val="24"/>
          <w:szCs w:val="24"/>
          <w:lang w:val="en-US" w:eastAsia="zh-CN"/>
        </w:rPr>
        <w:t>99.72</w:t>
      </w:r>
      <w:r>
        <w:rPr>
          <w:rFonts w:ascii="Times New Roman" w:hAnsi="Times New Roman" w:eastAsia="仿宋_GB2312" w:cs="Times New Roman"/>
          <w:color w:val="auto"/>
          <w:sz w:val="24"/>
          <w:szCs w:val="24"/>
        </w:rPr>
        <w:t>%，土壤流失控制比达到1.</w:t>
      </w:r>
      <w:r>
        <w:rPr>
          <w:rFonts w:hint="eastAsia" w:ascii="Times New Roman" w:hAnsi="Times New Roman" w:eastAsia="仿宋_GB2312" w:cs="Times New Roman"/>
          <w:color w:val="auto"/>
          <w:sz w:val="24"/>
          <w:szCs w:val="24"/>
          <w:lang w:val="en-US" w:eastAsia="zh-CN"/>
        </w:rPr>
        <w:t>00</w:t>
      </w:r>
      <w:r>
        <w:rPr>
          <w:rFonts w:ascii="Times New Roman" w:hAnsi="Times New Roman" w:eastAsia="仿宋_GB2312" w:cs="Times New Roman"/>
          <w:color w:val="auto"/>
          <w:sz w:val="24"/>
          <w:szCs w:val="24"/>
        </w:rPr>
        <w:t>，渣土防护率达到99.</w:t>
      </w:r>
      <w:r>
        <w:rPr>
          <w:rFonts w:hint="eastAsia" w:ascii="Times New Roman" w:hAnsi="Times New Roman" w:eastAsia="仿宋_GB2312" w:cs="Times New Roman"/>
          <w:color w:val="auto"/>
          <w:sz w:val="24"/>
          <w:szCs w:val="24"/>
          <w:lang w:val="en-US" w:eastAsia="zh-CN"/>
        </w:rPr>
        <w:t>77</w:t>
      </w:r>
      <w:r>
        <w:rPr>
          <w:rFonts w:ascii="Times New Roman" w:hAnsi="Times New Roman" w:eastAsia="仿宋_GB2312" w:cs="Times New Roman"/>
          <w:color w:val="auto"/>
          <w:sz w:val="24"/>
          <w:szCs w:val="24"/>
        </w:rPr>
        <w:t>%，表土保护率达到</w:t>
      </w:r>
      <w:r>
        <w:rPr>
          <w:rFonts w:hint="eastAsia" w:ascii="Times New Roman" w:hAnsi="Times New Roman" w:eastAsia="仿宋_GB2312" w:cs="Times New Roman"/>
          <w:color w:val="auto"/>
          <w:sz w:val="24"/>
          <w:szCs w:val="24"/>
          <w:lang w:eastAsia="zh-CN"/>
        </w:rPr>
        <w:t>9</w:t>
      </w:r>
      <w:r>
        <w:rPr>
          <w:rFonts w:hint="eastAsia" w:ascii="Times New Roman" w:hAnsi="Times New Roman" w:eastAsia="仿宋_GB2312" w:cs="Times New Roman"/>
          <w:color w:val="auto"/>
          <w:sz w:val="24"/>
          <w:szCs w:val="24"/>
          <w:lang w:val="en-US" w:eastAsia="zh-CN"/>
        </w:rPr>
        <w:t>9.07</w:t>
      </w:r>
      <w:r>
        <w:rPr>
          <w:rFonts w:ascii="Times New Roman" w:hAnsi="Times New Roman" w:eastAsia="仿宋_GB2312" w:cs="Times New Roman"/>
          <w:color w:val="auto"/>
          <w:sz w:val="24"/>
          <w:szCs w:val="24"/>
        </w:rPr>
        <w:t>%，林草植被恢复率达到</w:t>
      </w:r>
      <w:r>
        <w:rPr>
          <w:rFonts w:hint="eastAsia" w:ascii="Times New Roman" w:hAnsi="Times New Roman" w:eastAsia="仿宋_GB2312" w:cs="Times New Roman"/>
          <w:color w:val="auto"/>
          <w:sz w:val="24"/>
          <w:szCs w:val="24"/>
          <w:lang w:val="en-US" w:eastAsia="zh-CN"/>
        </w:rPr>
        <w:t>100</w:t>
      </w:r>
      <w:r>
        <w:rPr>
          <w:rFonts w:ascii="Times New Roman" w:hAnsi="Times New Roman" w:eastAsia="仿宋_GB2312" w:cs="Times New Roman"/>
          <w:color w:val="auto"/>
          <w:sz w:val="24"/>
          <w:szCs w:val="24"/>
        </w:rPr>
        <w:t>%，林草覆盖率达到</w:t>
      </w:r>
      <w:r>
        <w:rPr>
          <w:rFonts w:hint="eastAsia" w:ascii="Times New Roman" w:hAnsi="Times New Roman" w:eastAsia="仿宋_GB2312" w:cs="Times New Roman"/>
          <w:color w:val="auto"/>
          <w:sz w:val="24"/>
          <w:szCs w:val="24"/>
          <w:lang w:val="en-US" w:eastAsia="zh-CN"/>
        </w:rPr>
        <w:t>64.86</w:t>
      </w:r>
      <w:r>
        <w:rPr>
          <w:rFonts w:ascii="Times New Roman" w:hAnsi="Times New Roman" w:eastAsia="仿宋_GB2312" w:cs="Times New Roman"/>
          <w:color w:val="auto"/>
          <w:sz w:val="24"/>
          <w:szCs w:val="24"/>
        </w:rPr>
        <w:t>%，水土保持效益各项指标均达到防治目标的要求，水土保持效益良好。</w:t>
      </w:r>
    </w:p>
    <w:p>
      <w:pPr>
        <w:pStyle w:val="58"/>
        <w:widowControl w:val="0"/>
        <w:spacing w:before="120" w:beforeLines="50" w:after="120" w:afterLines="50"/>
        <w:jc w:val="both"/>
        <w:rPr>
          <w:rFonts w:ascii="Times New Roman" w:hAnsi="Times New Roman"/>
          <w:color w:val="auto"/>
        </w:rPr>
      </w:pPr>
      <w:r>
        <w:rPr>
          <w:rFonts w:ascii="Times New Roman" w:hAnsi="Times New Roman"/>
          <w:color w:val="auto"/>
        </w:rPr>
        <w:fldChar w:fldCharType="begin">
          <w:fldData xml:space="preserve">XwBjAHAAXwBmAEwAeABCAGQAQwBEAEcAcwByAEEAKwBsAEYAeABrAFcAcQBPAHgAYQBmAEYAWgBD
AEMARgBKAFoAZwA0AFYANgA5AEsAUABlAHMAcgBYAE8ARwAvAFYAbwBrAFgAOABpAGsAMQBKAEkA
UQA9AD0A
</w:fldData>
        </w:fldChar>
      </w:r>
      <w:r>
        <w:rPr>
          <w:color w:val="auto"/>
        </w:rPr>
        <w:instrText xml:space="preserve">ADDIN _cp_ \* MERGEFORMAT</w:instrText>
      </w:r>
      <w:r>
        <w:rPr>
          <w:rFonts w:ascii="Times New Roman" w:hAnsi="Times New Roman"/>
          <w:color w:val="auto"/>
        </w:rPr>
        <w:fldChar w:fldCharType="separate"/>
      </w:r>
      <w:r>
        <w:rPr>
          <w:rFonts w:ascii="Times New Roman" w:hAnsi="Times New Roman"/>
          <w:color w:val="auto"/>
        </w:rPr>
        <w:t>7.2.2</w:t>
      </w:r>
      <w:r>
        <w:rPr>
          <w:rFonts w:ascii="Times New Roman" w:hAnsi="Times New Roman"/>
          <w:color w:val="auto"/>
        </w:rPr>
        <w:fldChar w:fldCharType="end"/>
      </w:r>
      <w:r>
        <w:rPr>
          <w:rFonts w:ascii="Times New Roman" w:hAnsi="Times New Roman"/>
          <w:color w:val="auto"/>
        </w:rPr>
        <w:t>水土保持效益评价</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各防治分区经主体工程已具有水保功能措施及新增水保措施的防护后，流失的土壤得到有效的控制。根据本方案的措施设计进行有效治理后，水土流失控制比为</w:t>
      </w:r>
      <w:r>
        <w:rPr>
          <w:rFonts w:hint="eastAsia" w:ascii="Times New Roman" w:hAnsi="Times New Roman" w:eastAsia="仿宋_GB2312" w:cs="Times New Roman"/>
          <w:color w:val="auto"/>
          <w:sz w:val="24"/>
          <w:szCs w:val="24"/>
          <w:lang w:val="en-US" w:eastAsia="zh-CN"/>
        </w:rPr>
        <w:t>1.0</w:t>
      </w:r>
      <w:r>
        <w:rPr>
          <w:rFonts w:ascii="Times New Roman" w:hAnsi="Times New Roman" w:eastAsia="仿宋_GB2312" w:cs="Times New Roman"/>
          <w:color w:val="auto"/>
          <w:sz w:val="24"/>
          <w:szCs w:val="24"/>
        </w:rPr>
        <w:t>，项目区水土流失将得到很好的治理，达到了方案目标的要求。</w:t>
      </w:r>
    </w:p>
    <w:p>
      <w:pPr>
        <w:widowControl w:val="0"/>
        <w:adjustRightInd w:val="0"/>
        <w:snapToGrid w:val="0"/>
        <w:spacing w:line="360" w:lineRule="auto"/>
        <w:ind w:firstLine="480" w:firstLineChars="200"/>
        <w:rPr>
          <w:rFonts w:ascii="Times New Roman" w:hAnsi="Times New Roman" w:eastAsia="仿宋_GB2312" w:cs="Times New Roman"/>
          <w:color w:val="auto"/>
          <w:sz w:val="24"/>
          <w:szCs w:val="24"/>
        </w:rPr>
      </w:pPr>
      <w:r>
        <w:rPr>
          <w:rFonts w:ascii="Times New Roman" w:hAnsi="Times New Roman" w:eastAsia="仿宋_GB2312" w:cs="Times New Roman"/>
          <w:color w:val="auto"/>
          <w:sz w:val="24"/>
          <w:szCs w:val="24"/>
        </w:rPr>
        <w:t>水土保持效益以减轻和控制水土流失为主。通过本方案的实施，使工程建设区的水土流失得到有效治理，原有的土壤侵蚀也得到一定程度的控制，建设过程中的裸露地恢复植被后，能有效地固结土壤、涵养水分、稳定边坡、减少径流和侵蚀量，同时改善项目区周边的区域环境，具有显著的生态效益。</w:t>
      </w:r>
    </w:p>
    <w:p>
      <w:pPr>
        <w:widowControl w:val="0"/>
        <w:adjustRightInd w:val="0"/>
        <w:snapToGrid w:val="0"/>
        <w:spacing w:line="360" w:lineRule="auto"/>
        <w:ind w:firstLine="480" w:firstLineChars="200"/>
        <w:rPr>
          <w:rFonts w:ascii="Times New Roman" w:hAnsi="Times New Roman" w:cs="Times New Roman"/>
          <w:color w:val="auto"/>
        </w:rPr>
      </w:pPr>
      <w:r>
        <w:rPr>
          <w:rFonts w:ascii="Times New Roman" w:hAnsi="Times New Roman" w:eastAsia="仿宋_GB2312" w:cs="Times New Roman"/>
          <w:color w:val="auto"/>
          <w:sz w:val="24"/>
          <w:szCs w:val="24"/>
        </w:rPr>
        <w:t>本方案实施后，形成了工程和植物措施相结合的综合防治体系，对建设过程中人为造成的水土流失能够有效地进行控制和治理，营运期1~2年后，施工期产生的水土流失影响将基本消除，并逐步发挥其综合环境效益。</w:t>
      </w:r>
    </w:p>
    <w:p>
      <w:pPr>
        <w:pStyle w:val="8"/>
        <w:widowControl w:val="0"/>
        <w:ind w:firstLine="480"/>
        <w:jc w:val="both"/>
        <w:rPr>
          <w:rFonts w:ascii="Times New Roman" w:hAnsi="Times New Roman"/>
          <w:color w:val="auto"/>
        </w:rPr>
      </w:pPr>
    </w:p>
    <w:p>
      <w:pPr>
        <w:pStyle w:val="8"/>
        <w:ind w:firstLine="480"/>
        <w:jc w:val="both"/>
        <w:rPr>
          <w:rFonts w:ascii="Times New Roman" w:hAnsi="Times New Roman"/>
          <w:color w:val="auto"/>
        </w:rPr>
        <w:sectPr>
          <w:headerReference r:id="rId13" w:type="default"/>
          <w:pgSz w:w="11906" w:h="16838"/>
          <w:pgMar w:top="1418" w:right="1588" w:bottom="1418" w:left="1701" w:header="851" w:footer="850" w:gutter="0"/>
          <w:pgBorders>
            <w:top w:val="none" w:sz="0" w:space="0"/>
            <w:left w:val="none" w:sz="0" w:space="0"/>
            <w:bottom w:val="none" w:sz="0" w:space="0"/>
            <w:right w:val="none" w:sz="0" w:space="0"/>
          </w:pgBorders>
          <w:pgNumType w:fmt="decimal"/>
          <w:cols w:space="425" w:num="1"/>
          <w:docGrid w:linePitch="312" w:charSpace="0"/>
        </w:sectPr>
      </w:pPr>
    </w:p>
    <w:p>
      <w:pPr>
        <w:keepNext/>
        <w:keepLines/>
        <w:snapToGrid w:val="0"/>
        <w:spacing w:before="120" w:beforeLines="50" w:after="120" w:afterLines="50" w:line="360" w:lineRule="auto"/>
        <w:jc w:val="center"/>
        <w:outlineLvl w:val="0"/>
        <w:rPr>
          <w:rFonts w:ascii="Times New Roman" w:hAnsi="Times New Roman" w:eastAsia="仿宋_GB2312" w:cs="Times New Roman"/>
          <w:b/>
          <w:bCs/>
          <w:color w:val="auto"/>
          <w:kern w:val="44"/>
          <w:sz w:val="44"/>
          <w:szCs w:val="44"/>
          <w:lang w:val="zh-CN"/>
        </w:rPr>
      </w:pPr>
      <w:r>
        <w:rPr>
          <w:rFonts w:ascii="Times New Roman" w:hAnsi="Times New Roman" w:eastAsia="仿宋_GB2312" w:cs="Times New Roman"/>
          <w:b/>
          <w:bCs/>
          <w:color w:val="auto"/>
          <w:kern w:val="44"/>
          <w:sz w:val="44"/>
          <w:szCs w:val="44"/>
          <w:lang w:val="zh-CN"/>
        </w:rPr>
        <w:fldChar w:fldCharType="begin">
          <w:fldData xml:space="preserve">XwBjAHAAXwBxAGgANgBmAFQAMgBpAEQASgAwAHgATABaAFUAbgBLAHEAQgByAG8ANgBBADgAOQBk
AEwAZQB4AHAAbgA3AGYAMABnAGUANAA3AEkAZgBMAHYAcQB2ADkAaQByAFAAdwBzAEEAMQB6AFMA
QQA9AD0A
</w:fldData>
        </w:fldChar>
      </w:r>
      <w:r>
        <w:rPr>
          <w:rFonts w:ascii="Times New Roman" w:hAnsi="Times New Roman" w:eastAsia="仿宋_GB2312" w:cs="Times New Roman"/>
          <w:b/>
          <w:bCs/>
          <w:color w:val="auto"/>
          <w:kern w:val="44"/>
          <w:sz w:val="44"/>
          <w:szCs w:val="44"/>
          <w:lang w:val="zh-CN"/>
        </w:rPr>
        <w:instrText xml:space="preserve">ADDIN _cp_ \* MERGEFORMAT</w:instrText>
      </w:r>
      <w:r>
        <w:rPr>
          <w:rFonts w:ascii="Times New Roman" w:hAnsi="Times New Roman" w:eastAsia="仿宋_GB2312" w:cs="Times New Roman"/>
          <w:b/>
          <w:bCs/>
          <w:color w:val="auto"/>
          <w:kern w:val="44"/>
          <w:sz w:val="44"/>
          <w:szCs w:val="44"/>
          <w:lang w:val="zh-CN"/>
        </w:rPr>
        <w:fldChar w:fldCharType="separate"/>
      </w:r>
      <w:bookmarkStart w:id="269" w:name="_Toc74588704"/>
      <w:bookmarkStart w:id="270" w:name="_Toc74588755"/>
      <w:r>
        <w:rPr>
          <w:rFonts w:ascii="Times New Roman" w:hAnsi="Times New Roman" w:eastAsia="仿宋_GB2312" w:cs="Times New Roman"/>
          <w:b/>
          <w:bCs/>
          <w:color w:val="auto"/>
          <w:kern w:val="44"/>
          <w:sz w:val="44"/>
          <w:szCs w:val="44"/>
          <w:lang w:val="zh-CN"/>
        </w:rPr>
        <w:t>8</w:t>
      </w:r>
      <w:r>
        <w:rPr>
          <w:rFonts w:ascii="Times New Roman" w:hAnsi="Times New Roman" w:eastAsia="仿宋_GB2312" w:cs="Times New Roman"/>
          <w:b/>
          <w:bCs/>
          <w:color w:val="auto"/>
          <w:kern w:val="44"/>
          <w:sz w:val="44"/>
          <w:szCs w:val="44"/>
          <w:lang w:val="zh-CN"/>
        </w:rPr>
        <w:fldChar w:fldCharType="end"/>
      </w:r>
      <w:r>
        <w:rPr>
          <w:rFonts w:ascii="Times New Roman" w:hAnsi="Times New Roman" w:eastAsia="仿宋_GB2312" w:cs="Times New Roman"/>
          <w:b/>
          <w:bCs/>
          <w:color w:val="auto"/>
          <w:kern w:val="44"/>
          <w:sz w:val="44"/>
          <w:szCs w:val="44"/>
          <w:lang w:val="zh-CN"/>
        </w:rPr>
        <w:t>水土保持管理</w:t>
      </w:r>
      <w:bookmarkEnd w:id="269"/>
      <w:bookmarkEnd w:id="270"/>
    </w:p>
    <w:p>
      <w:pPr>
        <w:pStyle w:val="56"/>
        <w:widowControl w:val="0"/>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XwBjAHAAXwBJAFQAKwB2AFoAbQAxAEUAYQBDAHkAWABtAG8AYgBVADIARABTAHIAbgBlAEMARwB4
ADkAbQBLAGoAVABaAC8AcAAyAGIAVgBPAHMAcQA5AGwATgB5AEkAawBDAEkAZwBTAEIANwA0AFIA
UQA9AD0A
</w:fldData>
        </w:fldChar>
      </w:r>
      <w:r>
        <w:rPr>
          <w:color w:val="auto"/>
        </w:rPr>
        <w:instrText xml:space="preserve">ADDIN _cp_ \* MERGEFORMAT</w:instrText>
      </w:r>
      <w:r>
        <w:rPr>
          <w:rFonts w:ascii="Times New Roman" w:hAnsi="Times New Roman"/>
          <w:color w:val="auto"/>
        </w:rPr>
        <w:fldChar w:fldCharType="separate"/>
      </w:r>
      <w:bookmarkStart w:id="271" w:name="_Toc14737404"/>
      <w:bookmarkStart w:id="272" w:name="_Toc74588756"/>
      <w:bookmarkStart w:id="273" w:name="_Toc74588705"/>
      <w:r>
        <w:rPr>
          <w:rFonts w:ascii="Times New Roman" w:hAnsi="Times New Roman"/>
          <w:color w:val="auto"/>
        </w:rPr>
        <w:t>8.1</w:t>
      </w:r>
      <w:r>
        <w:rPr>
          <w:rFonts w:ascii="Times New Roman" w:hAnsi="Times New Roman"/>
          <w:color w:val="auto"/>
        </w:rPr>
        <w:fldChar w:fldCharType="end"/>
      </w:r>
      <w:r>
        <w:rPr>
          <w:rFonts w:ascii="Times New Roman" w:hAnsi="Times New Roman"/>
          <w:color w:val="auto"/>
        </w:rPr>
        <w:t>组织管理</w:t>
      </w:r>
      <w:bookmarkEnd w:id="271"/>
      <w:bookmarkEnd w:id="272"/>
      <w:bookmarkEnd w:id="273"/>
    </w:p>
    <w:p>
      <w:pPr>
        <w:pStyle w:val="8"/>
        <w:widowControl w:val="0"/>
        <w:ind w:firstLine="480"/>
        <w:rPr>
          <w:rFonts w:ascii="Times New Roman" w:hAnsi="Times New Roman"/>
          <w:color w:val="auto"/>
        </w:rPr>
      </w:pPr>
      <w:r>
        <w:rPr>
          <w:rFonts w:ascii="Times New Roman" w:hAnsi="Times New Roman"/>
          <w:color w:val="auto"/>
        </w:rPr>
        <w:t>根据《中华人民共和国水土保持法》等国家有关法律法规，水土保持方案报</w:t>
      </w:r>
      <w:r>
        <w:rPr>
          <w:rFonts w:hint="eastAsia"/>
          <w:color w:val="auto"/>
          <w:lang w:val="en-US" w:eastAsia="zh-CN"/>
        </w:rPr>
        <w:t>行政审批局</w:t>
      </w:r>
      <w:r>
        <w:rPr>
          <w:rFonts w:ascii="Times New Roman" w:hAnsi="Times New Roman"/>
          <w:color w:val="auto"/>
        </w:rPr>
        <w:t>批准后，建设单位应落实专人（专职或兼职）负责水土保持工作，协调好本方案与主体工程的关系，负责组织实施审批的水土保持方案，进行水土保持方案的实施管理，并主动与当地水务局密切配合，自觉接受地方水务局的监督检查。水土保持管理机构主要工作职责如下：</w:t>
      </w:r>
    </w:p>
    <w:p>
      <w:pPr>
        <w:pStyle w:val="8"/>
        <w:widowControl w:val="0"/>
        <w:ind w:firstLine="480"/>
        <w:rPr>
          <w:rFonts w:ascii="Times New Roman" w:hAnsi="Times New Roman"/>
          <w:color w:val="auto"/>
        </w:rPr>
      </w:pPr>
      <w:r>
        <w:rPr>
          <w:rFonts w:ascii="Times New Roman" w:hAnsi="Times New Roman"/>
          <w:color w:val="auto"/>
        </w:rPr>
        <w:t>（1）建立限期防治目标责任制。将水土流失防治目标按年度分解，纳入项目建设单位负责人的年度责任目标考核中，落实奖惩措施，限期治理。</w:t>
      </w:r>
    </w:p>
    <w:p>
      <w:pPr>
        <w:pStyle w:val="8"/>
        <w:widowControl w:val="0"/>
        <w:ind w:firstLine="480"/>
        <w:rPr>
          <w:rFonts w:ascii="Times New Roman" w:hAnsi="Times New Roman"/>
          <w:color w:val="auto"/>
        </w:rPr>
      </w:pPr>
      <w:r>
        <w:rPr>
          <w:rFonts w:ascii="Times New Roman" w:hAnsi="Times New Roman"/>
          <w:color w:val="auto"/>
        </w:rPr>
        <w:t>（2）完善现场监督检查制度。水保监督检查实行定员定责，监督人员应按照本工程建设进度，定时前往现场检查水保措施的落实情况，发现问题，及时纠正。</w:t>
      </w:r>
    </w:p>
    <w:p>
      <w:pPr>
        <w:pStyle w:val="8"/>
        <w:widowControl w:val="0"/>
        <w:ind w:firstLine="480"/>
        <w:rPr>
          <w:rFonts w:ascii="Times New Roman" w:hAnsi="Times New Roman"/>
          <w:color w:val="auto"/>
        </w:rPr>
      </w:pPr>
      <w:r>
        <w:rPr>
          <w:rFonts w:ascii="Times New Roman" w:hAnsi="Times New Roman"/>
          <w:color w:val="auto"/>
        </w:rPr>
        <w:t>（3）加强对施工队伍的管理。严格落实项目法人制、招投标制和合同管理制。发包标书中应有水土保持要求，并列入招标合同，明确承包商防治水土流失的责任。</w:t>
      </w:r>
    </w:p>
    <w:p>
      <w:pPr>
        <w:pStyle w:val="8"/>
        <w:widowControl w:val="0"/>
        <w:ind w:firstLine="480"/>
        <w:rPr>
          <w:rFonts w:ascii="Times New Roman" w:hAnsi="Times New Roman"/>
          <w:color w:val="auto"/>
        </w:rPr>
      </w:pPr>
      <w:r>
        <w:rPr>
          <w:rFonts w:ascii="Times New Roman" w:hAnsi="Times New Roman"/>
          <w:color w:val="auto"/>
        </w:rPr>
        <w:t>（4）加大水保执法力度，对不执行“三同时”制度的，要追查责任，严肃处理。</w:t>
      </w:r>
    </w:p>
    <w:p>
      <w:pPr>
        <w:pStyle w:val="8"/>
        <w:widowControl w:val="0"/>
        <w:ind w:firstLine="480"/>
        <w:jc w:val="both"/>
        <w:rPr>
          <w:rFonts w:ascii="Times New Roman" w:hAnsi="Times New Roman"/>
          <w:color w:val="auto"/>
        </w:rPr>
      </w:pPr>
      <w:r>
        <w:rPr>
          <w:rFonts w:ascii="Times New Roman" w:hAnsi="Times New Roman"/>
          <w:color w:val="auto"/>
        </w:rPr>
        <w:t>（5）建立、健全各项档案，积累、分析整编资料，为水保验收提供相关资料。</w:t>
      </w:r>
    </w:p>
    <w:p>
      <w:pPr>
        <w:pStyle w:val="56"/>
        <w:widowControl w:val="0"/>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XwBjAHAAXwBGAHEAeABiAEoAZQA2AFoATABaAEkAaQBVAFkALwBoAFkATQBPADQAbQBaADAATgAr
AFQANQB6ADAATQBaADQAOQA1ADIAdQBoAEwAWgBWAFcAWgBoAFcARQBZAFkAUQBrADcAbQBQAFYA
QQA9AD0A
</w:fldData>
        </w:fldChar>
      </w:r>
      <w:r>
        <w:rPr>
          <w:color w:val="auto"/>
        </w:rPr>
        <w:instrText xml:space="preserve">ADDIN _cp_ \* MERGEFORMAT</w:instrText>
      </w:r>
      <w:r>
        <w:rPr>
          <w:rFonts w:ascii="Times New Roman" w:hAnsi="Times New Roman"/>
          <w:color w:val="auto"/>
        </w:rPr>
        <w:fldChar w:fldCharType="separate"/>
      </w:r>
      <w:bookmarkStart w:id="274" w:name="_Toc74588706"/>
      <w:bookmarkStart w:id="275" w:name="_Toc74588757"/>
      <w:bookmarkStart w:id="276" w:name="_Toc14737405"/>
      <w:r>
        <w:rPr>
          <w:rFonts w:ascii="Times New Roman" w:hAnsi="Times New Roman"/>
          <w:color w:val="auto"/>
        </w:rPr>
        <w:t>8.2</w:t>
      </w:r>
      <w:r>
        <w:rPr>
          <w:rFonts w:ascii="Times New Roman" w:hAnsi="Times New Roman"/>
          <w:color w:val="auto"/>
        </w:rPr>
        <w:fldChar w:fldCharType="end"/>
      </w:r>
      <w:r>
        <w:rPr>
          <w:rFonts w:ascii="Times New Roman" w:hAnsi="Times New Roman"/>
          <w:color w:val="auto"/>
        </w:rPr>
        <w:t>后续设计</w:t>
      </w:r>
      <w:bookmarkEnd w:id="274"/>
      <w:bookmarkEnd w:id="275"/>
      <w:bookmarkEnd w:id="276"/>
    </w:p>
    <w:p>
      <w:pPr>
        <w:pStyle w:val="8"/>
        <w:widowControl w:val="0"/>
        <w:ind w:firstLine="480"/>
        <w:jc w:val="both"/>
        <w:rPr>
          <w:rFonts w:ascii="Times New Roman" w:hAnsi="Times New Roman"/>
          <w:color w:val="auto"/>
        </w:rPr>
      </w:pPr>
      <w:r>
        <w:rPr>
          <w:rFonts w:ascii="Times New Roman" w:hAnsi="Times New Roman"/>
          <w:color w:val="auto"/>
        </w:rPr>
        <w:t>本方案经</w:t>
      </w:r>
      <w:r>
        <w:rPr>
          <w:rFonts w:hint="eastAsia"/>
          <w:color w:val="auto"/>
          <w:lang w:val="en-US" w:eastAsia="zh-CN"/>
        </w:rPr>
        <w:t>行政审批局</w:t>
      </w:r>
      <w:r>
        <w:rPr>
          <w:rFonts w:ascii="Times New Roman" w:hAnsi="Times New Roman"/>
          <w:color w:val="auto"/>
        </w:rPr>
        <w:t>批准后，应将批准的防治措施和投资概算纳入主体工程的后续设计中，编制水土保持专篇或专章，并报当地水务局备案，以便水土保持措施能按详细的设计要求顺利实施。</w:t>
      </w:r>
    </w:p>
    <w:p>
      <w:pPr>
        <w:pStyle w:val="8"/>
        <w:widowControl w:val="0"/>
        <w:ind w:firstLine="480"/>
        <w:jc w:val="both"/>
        <w:rPr>
          <w:rFonts w:ascii="Times New Roman" w:hAnsi="Times New Roman"/>
          <w:color w:val="auto"/>
        </w:rPr>
      </w:pPr>
      <w:r>
        <w:rPr>
          <w:rFonts w:ascii="Times New Roman" w:hAnsi="Times New Roman"/>
          <w:color w:val="auto"/>
        </w:rPr>
        <w:t>根据《水土保持法》及相关文件规定，本方案经当地</w:t>
      </w:r>
      <w:r>
        <w:rPr>
          <w:rFonts w:hint="eastAsia"/>
          <w:color w:val="auto"/>
          <w:lang w:val="en-US" w:eastAsia="zh-CN"/>
        </w:rPr>
        <w:t>行政审批局</w:t>
      </w:r>
      <w:r>
        <w:rPr>
          <w:rFonts w:ascii="Times New Roman" w:hAnsi="Times New Roman"/>
          <w:color w:val="auto"/>
        </w:rPr>
        <w:t>批准后，若项目地点、规模发生重大变化，应补充或修改水土保持方案并报当地</w:t>
      </w:r>
      <w:r>
        <w:rPr>
          <w:rFonts w:hint="eastAsia"/>
          <w:color w:val="auto"/>
          <w:lang w:val="en-US" w:eastAsia="zh-CN"/>
        </w:rPr>
        <w:t>行政审批局</w:t>
      </w:r>
      <w:r>
        <w:rPr>
          <w:rFonts w:ascii="Times New Roman" w:hAnsi="Times New Roman"/>
          <w:color w:val="auto"/>
        </w:rPr>
        <w:t>批准。</w:t>
      </w:r>
    </w:p>
    <w:p>
      <w:pPr>
        <w:pStyle w:val="56"/>
        <w:widowControl w:val="0"/>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XwBjAHAAXwA2AFgARgBwAEkAaQBqAEEAbQAvADYALwBtADEAcgBHAGEAQQBaAHMAeABXACsAVABE
ADYAdgBhAHIAbwBrAE4AbgB1AFkANQBDAFQAYQBlAEoANQBqAEEAcwBtADYANABnAHAANAAyAHcA
ZwA9AD0A
</w:fldData>
        </w:fldChar>
      </w:r>
      <w:r>
        <w:rPr>
          <w:color w:val="auto"/>
        </w:rPr>
        <w:instrText xml:space="preserve">ADDIN _cp_ \* MERGEFORMAT</w:instrText>
      </w:r>
      <w:r>
        <w:rPr>
          <w:rFonts w:ascii="Times New Roman" w:hAnsi="Times New Roman"/>
          <w:color w:val="auto"/>
        </w:rPr>
        <w:fldChar w:fldCharType="separate"/>
      </w:r>
      <w:bookmarkStart w:id="277" w:name="_Toc14737406"/>
      <w:bookmarkStart w:id="278" w:name="_Toc74588707"/>
      <w:bookmarkStart w:id="279" w:name="_Toc74588758"/>
      <w:r>
        <w:rPr>
          <w:rFonts w:ascii="Times New Roman" w:hAnsi="Times New Roman"/>
          <w:color w:val="auto"/>
        </w:rPr>
        <w:t>8.3</w:t>
      </w:r>
      <w:r>
        <w:rPr>
          <w:rFonts w:ascii="Times New Roman" w:hAnsi="Times New Roman"/>
          <w:color w:val="auto"/>
        </w:rPr>
        <w:fldChar w:fldCharType="end"/>
      </w:r>
      <w:r>
        <w:rPr>
          <w:rFonts w:ascii="Times New Roman" w:hAnsi="Times New Roman"/>
          <w:color w:val="auto"/>
        </w:rPr>
        <w:t>水土保持监测</w:t>
      </w:r>
      <w:bookmarkEnd w:id="277"/>
      <w:bookmarkEnd w:id="278"/>
      <w:bookmarkEnd w:id="279"/>
    </w:p>
    <w:p>
      <w:pPr>
        <w:pStyle w:val="8"/>
        <w:widowControl w:val="0"/>
        <w:ind w:firstLine="480"/>
        <w:jc w:val="both"/>
        <w:rPr>
          <w:rFonts w:ascii="Times New Roman" w:hAnsi="Times New Roman"/>
          <w:color w:val="auto"/>
        </w:rPr>
      </w:pPr>
      <w:r>
        <w:rPr>
          <w:rFonts w:hint="eastAsia"/>
          <w:color w:val="auto"/>
        </w:rPr>
        <w:t>按照《水利部关于进一步深化“放管服”改革全面加强水土保持监管的意见》（水保〔</w:t>
      </w:r>
      <w:r>
        <w:rPr>
          <w:color w:val="auto"/>
        </w:rPr>
        <w:t>2019〕160号）未对编制水土保持方案报告表的项目作出开展水土保持监测工作的要求。因此，本项目可不开展水土保持监测，但应做好建设过程中的水土保持工作</w:t>
      </w:r>
      <w:r>
        <w:rPr>
          <w:rFonts w:ascii="Times New Roman" w:hAnsi="Times New Roman"/>
          <w:color w:val="auto"/>
        </w:rPr>
        <w:t>。</w:t>
      </w:r>
    </w:p>
    <w:p>
      <w:pPr>
        <w:pStyle w:val="56"/>
        <w:widowControl w:val="0"/>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XwBjAHAAXwA4AEEANgBUAEIATQBFAFAAUQB4AC8AMwByAGsAeABTADkATgBrAFAAZwB5AHcAMABT
AEEATwB4AFoAKwB4AHAAbAB6AHYAZABQAHgAagBuADkAWQBsAFkASgBJAEEAagBRAHYAbwBXAGEA
UQA9AD0A
</w:fldData>
        </w:fldChar>
      </w:r>
      <w:r>
        <w:rPr>
          <w:color w:val="auto"/>
        </w:rPr>
        <w:instrText xml:space="preserve">ADDIN _cp_ \* MERGEFORMAT</w:instrText>
      </w:r>
      <w:r>
        <w:rPr>
          <w:rFonts w:ascii="Times New Roman" w:hAnsi="Times New Roman"/>
          <w:color w:val="auto"/>
        </w:rPr>
        <w:fldChar w:fldCharType="separate"/>
      </w:r>
      <w:bookmarkStart w:id="280" w:name="_Toc14737407"/>
      <w:bookmarkStart w:id="281" w:name="_Toc74588708"/>
      <w:bookmarkStart w:id="282" w:name="_Toc74588759"/>
      <w:r>
        <w:rPr>
          <w:rFonts w:ascii="Times New Roman" w:hAnsi="Times New Roman"/>
          <w:color w:val="auto"/>
        </w:rPr>
        <w:t>8.4</w:t>
      </w:r>
      <w:r>
        <w:rPr>
          <w:rFonts w:ascii="Times New Roman" w:hAnsi="Times New Roman"/>
          <w:color w:val="auto"/>
        </w:rPr>
        <w:fldChar w:fldCharType="end"/>
      </w:r>
      <w:r>
        <w:rPr>
          <w:rFonts w:ascii="Times New Roman" w:hAnsi="Times New Roman"/>
          <w:color w:val="auto"/>
        </w:rPr>
        <w:t>水土保持监理</w:t>
      </w:r>
      <w:bookmarkEnd w:id="280"/>
      <w:bookmarkEnd w:id="281"/>
      <w:bookmarkEnd w:id="282"/>
    </w:p>
    <w:p>
      <w:pPr>
        <w:pStyle w:val="8"/>
        <w:widowControl w:val="0"/>
        <w:ind w:firstLine="480"/>
        <w:jc w:val="both"/>
        <w:rPr>
          <w:rFonts w:ascii="Times New Roman" w:hAnsi="Times New Roman"/>
          <w:color w:val="auto"/>
        </w:rPr>
      </w:pPr>
      <w:r>
        <w:rPr>
          <w:rFonts w:ascii="Times New Roman" w:hAnsi="Times New Roman"/>
          <w:color w:val="auto"/>
        </w:rPr>
        <w:t>根据《水利部关于进一步深化“放管服”改革全面加强水土保持监管的意见》（水保〔2019〕160号），凡主体工程开展监理工作的项目，应当按照水土保持监理标准和规范开展水土保持工程施工监理。本项目建设规模较小，征占地面积小于20公顷，挖填土石方总量在20万立方米以内，可由主体工程监理单位按照水土保持监理标准和规范一并开展水土保持工程施工监理。</w:t>
      </w:r>
    </w:p>
    <w:p>
      <w:pPr>
        <w:pStyle w:val="56"/>
        <w:widowControl w:val="0"/>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XwBjAHAAXwA5AFYANwArAFUAbAB1AGEASQB5AG8AMQAxAFIAUwA5AEYAYwA0AHoANQBLAEQAMwA0
AGgAaABnAG0AdgBTAGMAcABVAHMARQBZADcAOQBLAEsAdAB2AHQAagAvAE8AQwBnAFMANwA4AGIA
UQA9AD0A
</w:fldData>
        </w:fldChar>
      </w:r>
      <w:r>
        <w:rPr>
          <w:color w:val="auto"/>
        </w:rPr>
        <w:instrText xml:space="preserve">ADDIN _cp_ \* MERGEFORMAT</w:instrText>
      </w:r>
      <w:r>
        <w:rPr>
          <w:rFonts w:ascii="Times New Roman" w:hAnsi="Times New Roman"/>
          <w:color w:val="auto"/>
        </w:rPr>
        <w:fldChar w:fldCharType="separate"/>
      </w:r>
      <w:bookmarkStart w:id="283" w:name="_Toc74588760"/>
      <w:bookmarkStart w:id="284" w:name="_Toc14737408"/>
      <w:bookmarkStart w:id="285" w:name="_Toc74588709"/>
      <w:r>
        <w:rPr>
          <w:rFonts w:ascii="Times New Roman" w:hAnsi="Times New Roman"/>
          <w:color w:val="auto"/>
        </w:rPr>
        <w:t>8.5</w:t>
      </w:r>
      <w:r>
        <w:rPr>
          <w:rFonts w:ascii="Times New Roman" w:hAnsi="Times New Roman"/>
          <w:color w:val="auto"/>
        </w:rPr>
        <w:fldChar w:fldCharType="end"/>
      </w:r>
      <w:r>
        <w:rPr>
          <w:rFonts w:ascii="Times New Roman" w:hAnsi="Times New Roman"/>
          <w:color w:val="auto"/>
        </w:rPr>
        <w:t>水土保持施工</w:t>
      </w:r>
      <w:bookmarkEnd w:id="283"/>
      <w:bookmarkEnd w:id="284"/>
      <w:bookmarkEnd w:id="285"/>
    </w:p>
    <w:p>
      <w:pPr>
        <w:pStyle w:val="8"/>
        <w:widowControl w:val="0"/>
        <w:ind w:firstLine="480"/>
        <w:jc w:val="both"/>
        <w:rPr>
          <w:rFonts w:ascii="Times New Roman" w:hAnsi="Times New Roman"/>
          <w:color w:val="auto"/>
        </w:rPr>
      </w:pPr>
      <w:r>
        <w:rPr>
          <w:rFonts w:ascii="Times New Roman" w:hAnsi="Times New Roman"/>
          <w:color w:val="auto"/>
        </w:rPr>
        <w:t>为了保证工程水土保持方案提出的各项防治措施的实施和落实，本项目采取业主治理的方式，成立水土保持项目领导小组，负责工程建设中的水土保持管理和实施工作，按照水土保持方案的治理措施、进度安排、技术标准等，严格要求施工单位保质保量地完成水土保持各项措施。同时对施工单位组织《中华人民共和国水土保持法》学习、宣传工作，提高工程建设者的水土保持自觉行动意识。并配备水土保持专业人员，以解决措施实施过程中的技术问题，接受当地水行政主管部门的监督检查。施工管理应满足下列要求：</w:t>
      </w:r>
    </w:p>
    <w:p>
      <w:pPr>
        <w:pStyle w:val="8"/>
        <w:widowControl w:val="0"/>
        <w:ind w:firstLine="480"/>
        <w:jc w:val="both"/>
        <w:rPr>
          <w:rFonts w:ascii="Times New Roman" w:hAnsi="Times New Roman"/>
          <w:color w:val="auto"/>
        </w:rPr>
      </w:pPr>
      <w:r>
        <w:rPr>
          <w:rFonts w:ascii="Times New Roman" w:hAnsi="Times New Roman"/>
          <w:color w:val="auto"/>
        </w:rPr>
        <w:t>（1）施工期严格控制和管理车辆机械的运行范围，防止扩大对地表的扰动。</w:t>
      </w:r>
    </w:p>
    <w:p>
      <w:pPr>
        <w:pStyle w:val="8"/>
        <w:widowControl w:val="0"/>
        <w:ind w:firstLine="480"/>
        <w:jc w:val="both"/>
        <w:rPr>
          <w:rFonts w:ascii="Times New Roman" w:hAnsi="Times New Roman"/>
          <w:color w:val="auto"/>
        </w:rPr>
      </w:pPr>
      <w:r>
        <w:rPr>
          <w:rFonts w:ascii="Times New Roman" w:hAnsi="Times New Roman"/>
          <w:color w:val="auto"/>
        </w:rPr>
        <w:t>（2）设立保护地表及植被的警示牌，施工过程中应注重保护表土与植被。</w:t>
      </w:r>
    </w:p>
    <w:p>
      <w:pPr>
        <w:pStyle w:val="8"/>
        <w:widowControl w:val="0"/>
        <w:ind w:firstLine="480"/>
        <w:jc w:val="both"/>
        <w:rPr>
          <w:rFonts w:ascii="Times New Roman" w:hAnsi="Times New Roman"/>
          <w:color w:val="auto"/>
        </w:rPr>
      </w:pPr>
      <w:r>
        <w:rPr>
          <w:rFonts w:ascii="Times New Roman" w:hAnsi="Times New Roman"/>
          <w:color w:val="auto"/>
        </w:rPr>
        <w:t>（3）注意施工及生活用火安全，防止火灾烧毁地表植被。</w:t>
      </w:r>
    </w:p>
    <w:p>
      <w:pPr>
        <w:pStyle w:val="8"/>
        <w:widowControl w:val="0"/>
        <w:ind w:firstLine="480"/>
        <w:rPr>
          <w:rFonts w:ascii="Times New Roman" w:hAnsi="Times New Roman"/>
          <w:color w:val="auto"/>
        </w:rPr>
      </w:pPr>
      <w:r>
        <w:rPr>
          <w:rFonts w:ascii="Times New Roman" w:hAnsi="Times New Roman"/>
          <w:color w:val="auto"/>
        </w:rPr>
        <w:t>（4）建成的水土保</w:t>
      </w:r>
      <w:r>
        <w:rPr>
          <w:rFonts w:ascii="Times New Roman" w:hAnsi="Times New Roman"/>
          <w:color w:val="auto"/>
          <w:szCs w:val="24"/>
        </w:rPr>
        <w:t>持工作应有明确的管理维护要求。</w:t>
      </w:r>
    </w:p>
    <w:p>
      <w:pPr>
        <w:pStyle w:val="56"/>
        <w:widowControl w:val="0"/>
        <w:spacing w:before="120" w:beforeLines="50" w:after="120" w:afterLines="50"/>
        <w:rPr>
          <w:rFonts w:ascii="Times New Roman" w:hAnsi="Times New Roman"/>
          <w:color w:val="auto"/>
        </w:rPr>
      </w:pPr>
      <w:r>
        <w:rPr>
          <w:rFonts w:ascii="Times New Roman" w:hAnsi="Times New Roman"/>
          <w:color w:val="auto"/>
        </w:rPr>
        <w:fldChar w:fldCharType="begin">
          <w:fldData xml:space="preserve">XwBjAHAAXwBkAEoAYwBkADQARABNAGUAVwB5AFUAKwBpAFYAbgB0AEIAcwBxAGUAbQBJAGYAMgBn
AFQAawByAHQANQBDAFcAWQAzADgAeABoADAAOABiAGsAeABRAHIAcgByAEoAZQBqAEMAUgBqAHEA
ZwA9AD0A
</w:fldData>
        </w:fldChar>
      </w:r>
      <w:r>
        <w:rPr>
          <w:color w:val="auto"/>
        </w:rPr>
        <w:instrText xml:space="preserve">ADDIN _cp_ \* MERGEFORMAT</w:instrText>
      </w:r>
      <w:r>
        <w:rPr>
          <w:rFonts w:ascii="Times New Roman" w:hAnsi="Times New Roman"/>
          <w:color w:val="auto"/>
        </w:rPr>
        <w:fldChar w:fldCharType="separate"/>
      </w:r>
      <w:bookmarkStart w:id="286" w:name="_Toc14737409"/>
      <w:bookmarkStart w:id="287" w:name="_Toc74588710"/>
      <w:bookmarkStart w:id="288" w:name="_Toc74588761"/>
      <w:r>
        <w:rPr>
          <w:rFonts w:ascii="Times New Roman" w:hAnsi="Times New Roman"/>
          <w:color w:val="auto"/>
        </w:rPr>
        <w:t>8.6</w:t>
      </w:r>
      <w:r>
        <w:rPr>
          <w:rFonts w:ascii="Times New Roman" w:hAnsi="Times New Roman"/>
          <w:color w:val="auto"/>
        </w:rPr>
        <w:fldChar w:fldCharType="end"/>
      </w:r>
      <w:r>
        <w:rPr>
          <w:rFonts w:ascii="Times New Roman" w:hAnsi="Times New Roman"/>
          <w:color w:val="auto"/>
        </w:rPr>
        <w:t>水土保持设施验收</w:t>
      </w:r>
      <w:bookmarkEnd w:id="286"/>
      <w:bookmarkEnd w:id="287"/>
      <w:bookmarkEnd w:id="288"/>
    </w:p>
    <w:p>
      <w:pPr>
        <w:pStyle w:val="8"/>
        <w:ind w:firstLine="480"/>
        <w:rPr>
          <w:bCs/>
          <w:color w:val="auto"/>
        </w:rPr>
      </w:pPr>
      <w:r>
        <w:rPr>
          <w:rFonts w:hint="eastAsia"/>
          <w:bCs/>
          <w:color w:val="auto"/>
        </w:rPr>
        <w:t>根据《国务院关于取消一批行政许可事项的决定》（国发〔2017〕46号）及《水利部关于加强事中事后监管规范生产建设项目水土保持设施自主验收的通知》（水保〔2017〕365号）以及《四川省水利厅转发水利部关于加强事中事后监管规范生产建设项目水土保持设施自主验收的通知》（川水函[2018]887号），取消各级水行政主管部门的生产建设项目水土保持设施验收审批行政许可事项，转为生产建设单位按照有关要求自主开展水土保持设施验收。</w:t>
      </w:r>
    </w:p>
    <w:p>
      <w:pPr>
        <w:pStyle w:val="8"/>
        <w:widowControl w:val="0"/>
        <w:ind w:firstLine="480"/>
        <w:jc w:val="both"/>
        <w:rPr>
          <w:rFonts w:ascii="Times New Roman" w:hAnsi="Times New Roman"/>
          <w:color w:val="auto"/>
          <w:kern w:val="0"/>
          <w:szCs w:val="24"/>
        </w:rPr>
      </w:pPr>
      <w:r>
        <w:rPr>
          <w:rFonts w:hint="eastAsia"/>
          <w:bCs/>
          <w:color w:val="auto"/>
        </w:rPr>
        <w:t>生产建设单位在水土保持设施验收合格后，通过其官方网站或者其他便于公众知悉的方式向社会长期公开水土保持设施验收材料，公告发布有明确的联系人及联系方式。对于公众反映的主要问题和意见，生产建设单位应当及时给予处理或者回应。生产建设单位在向社会公众公开水土保持设施验收材料后，即自公示日期起二十个工作日后，且无公众不良反映，可向水土保持方案审批所在地水行政主管部门申请报备。本项目属于实行承诺制的项目，只需要公示水土保持设施验收鉴定书，其水土保持设施验收组中应当有至少一名四川省省级水行政主管部门水土保持专家库专家。水土保持设施验收合格后，生产建设项目方可通过竣工验收和投产使用</w:t>
      </w:r>
      <w:r>
        <w:rPr>
          <w:rFonts w:ascii="Times New Roman" w:hAnsi="Times New Roman"/>
          <w:color w:val="auto"/>
        </w:rPr>
        <w:t>。</w:t>
      </w:r>
    </w:p>
    <w:p>
      <w:pPr>
        <w:spacing w:line="360" w:lineRule="auto"/>
        <w:rPr>
          <w:rFonts w:ascii="Times New Roman" w:hAnsi="Times New Roman" w:eastAsia="仿宋_GB2312" w:cs="Times New Roman"/>
          <w:color w:val="auto"/>
          <w:kern w:val="0"/>
          <w:sz w:val="24"/>
          <w:szCs w:val="24"/>
        </w:rPr>
        <w:sectPr>
          <w:headerReference r:id="rId14" w:type="default"/>
          <w:pgSz w:w="11906" w:h="16838"/>
          <w:pgMar w:top="1418" w:right="1588" w:bottom="1418" w:left="1701" w:header="851" w:footer="850" w:gutter="0"/>
          <w:pgBorders>
            <w:top w:val="none" w:sz="0" w:space="0"/>
            <w:left w:val="none" w:sz="0" w:space="0"/>
            <w:bottom w:val="none" w:sz="0" w:space="0"/>
            <w:right w:val="none" w:sz="0" w:space="0"/>
          </w:pgBorders>
          <w:pgNumType w:fmt="decimal"/>
          <w:cols w:space="425" w:num="1"/>
          <w:docGrid w:linePitch="312" w:charSpace="0"/>
        </w:sectPr>
      </w:pPr>
    </w:p>
    <w:p>
      <w:pPr>
        <w:spacing w:line="360" w:lineRule="auto"/>
        <w:outlineLvl w:val="0"/>
        <w:rPr>
          <w:rFonts w:ascii="Times New Roman" w:hAnsi="Times New Roman" w:eastAsia="仿宋_GB2312" w:cs="Times New Roman"/>
          <w:b/>
          <w:kern w:val="0"/>
          <w:sz w:val="44"/>
          <w:szCs w:val="44"/>
        </w:rPr>
      </w:pPr>
      <w:bookmarkStart w:id="289" w:name="_Toc4583"/>
      <w:r>
        <w:rPr>
          <w:rFonts w:ascii="Times New Roman" w:hAnsi="Times New Roman" w:eastAsia="仿宋_GB2312" w:cs="Times New Roman"/>
          <w:b/>
          <w:kern w:val="0"/>
          <w:sz w:val="44"/>
          <w:szCs w:val="44"/>
        </w:rPr>
        <w:t>附表：单价分析表</w:t>
      </w:r>
      <w:bookmarkEnd w:id="289"/>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定额编号：08047</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土地整治.</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定额单位：hm</w:t>
            </w:r>
            <w:r>
              <w:rPr>
                <w:rFonts w:ascii="Times New Roman" w:hAnsi="Times New Roman" w:eastAsia="仿宋" w:cs="Times New Roman"/>
                <w:kern w:val="0"/>
                <w:sz w:val="18"/>
                <w:szCs w:val="18"/>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施工方法：人工施肥、拖拉机牵引铧犁耕翻地。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1606.34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1590.39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植物人工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232.75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农家土杂肥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m</w:t>
            </w:r>
            <w:r>
              <w:rPr>
                <w:rFonts w:ascii="Times New Roman" w:hAnsi="Times New Roman" w:eastAsia="仿宋" w:cs="Times New Roman"/>
                <w:kern w:val="0"/>
                <w:sz w:val="18"/>
                <w:szCs w:val="18"/>
                <w:vertAlign w:val="superscript"/>
              </w:rPr>
              <w:t>3</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600</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13</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600</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679.69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拖拉机轮式37kW</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台时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61.79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679.69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1590.39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3.3</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1606.34</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53.01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1659.35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116.15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材料价差</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柴油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kg</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2006.5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六</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2187.09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218.71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2405.8</w:t>
            </w:r>
          </w:p>
        </w:tc>
      </w:tr>
    </w:tbl>
    <w:p>
      <w:pPr>
        <w:rPr>
          <w:rFonts w:ascii="Times New Roman" w:hAnsi="Times New Roman" w:cs="Times New Roman"/>
        </w:rPr>
      </w:pPr>
    </w:p>
    <w:p>
      <w:pPr>
        <w:pStyle w:val="2"/>
      </w:pPr>
      <w:r>
        <w:br w:type="page"/>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定额编号：01151-1</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表土回铺.</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定额单位：100m</w:t>
            </w:r>
            <w:r>
              <w:rPr>
                <w:rFonts w:ascii="Times New Roman" w:hAnsi="Times New Roman" w:eastAsia="仿宋" w:cs="Times New Roman"/>
                <w:kern w:val="0"/>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施工方法：推松、运送、卸除、拖平、空回。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738.98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724.49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措施人工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零星材料费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652.69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622.06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推土机74kW</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台时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323.99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622.06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724.49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14.49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738.98</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779.62</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54.57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材料价差</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85.48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柴油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kg</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20.35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85.48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919.67</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82.77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六</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1002.06</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100.24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1102.68</w:t>
            </w:r>
          </w:p>
        </w:tc>
      </w:tr>
    </w:tbl>
    <w:p>
      <w:pPr>
        <w:rPr>
          <w:rFonts w:ascii="Times New Roman" w:hAnsi="Times New Roman" w:cs="Times New Roman"/>
        </w:rPr>
      </w:pPr>
    </w:p>
    <w:p>
      <w:pPr>
        <w:pStyle w:val="2"/>
      </w:pPr>
      <w:r>
        <w:br w:type="page"/>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定额编号：01147</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表土剥离.</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定额单位：100m</w:t>
            </w:r>
            <w:r>
              <w:rPr>
                <w:rFonts w:ascii="Times New Roman" w:hAnsi="Times New Roman" w:eastAsia="仿宋" w:cs="Times New Roman"/>
                <w:kern w:val="0"/>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施工方法：推平。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691.88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678.31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措施人工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零星材料费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579.75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98.56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推土机74kW</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台时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323.99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678.31</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13.57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691.88</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38.05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729.93</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材料价差</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柴油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kg</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18.13</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76.13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857.16</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77.14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六</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934.3</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93.43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1027.73</w:t>
            </w:r>
          </w:p>
        </w:tc>
      </w:tr>
    </w:tbl>
    <w:p>
      <w:pPr>
        <w:rPr>
          <w:rFonts w:ascii="Times New Roman" w:hAnsi="Times New Roman" w:cs="Times New Roman"/>
        </w:rPr>
      </w:pPr>
    </w:p>
    <w:p>
      <w:pPr>
        <w:pStyle w:val="2"/>
      </w:pPr>
      <w:r>
        <w:br w:type="page"/>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定额编号：01018</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沟槽土方开挖.</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定额单位：100m</w:t>
            </w:r>
            <w:r>
              <w:rPr>
                <w:rFonts w:ascii="Times New Roman" w:hAnsi="Times New Roman" w:eastAsia="仿宋" w:cs="Times New Roman"/>
                <w:kern w:val="0"/>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施工方法：挖槽、抛土并倒运到槽边两侧0.5m以外，修整底、边。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3397.64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3331.02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措施人工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264</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零星材料费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3234</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97.02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3331.02</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66.62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3397.64</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186.87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4594.51</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250.92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3835.43</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345.19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4180.62</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418.06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4598.68</w:t>
            </w:r>
          </w:p>
        </w:tc>
      </w:tr>
    </w:tbl>
    <w:p>
      <w:pPr>
        <w:rPr>
          <w:rFonts w:ascii="Times New Roman" w:hAnsi="Times New Roman" w:cs="Times New Roman"/>
        </w:rPr>
      </w:pPr>
    </w:p>
    <w:p>
      <w:pPr>
        <w:pStyle w:val="2"/>
      </w:pPr>
      <w:r>
        <w:br w:type="page"/>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定额编号：03003</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铺土工布.</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定额单位：100m</w:t>
            </w:r>
            <w:r>
              <w:rPr>
                <w:rFonts w:ascii="Times New Roman" w:hAnsi="Times New Roman" w:eastAsia="仿宋" w:cs="Times New Roman"/>
                <w:kern w:val="0"/>
                <w:sz w:val="18"/>
                <w:szCs w:val="18"/>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施工方法：场内运输、铺设、接缝（针缝）。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467.1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457.94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措施人工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16</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261.18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土工布</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m</w:t>
            </w:r>
            <w:r>
              <w:rPr>
                <w:rFonts w:ascii="Times New Roman" w:hAnsi="Times New Roman" w:eastAsia="仿宋" w:cs="Times New Roman"/>
                <w:kern w:val="0"/>
                <w:sz w:val="18"/>
                <w:szCs w:val="18"/>
                <w:vertAlign w:val="superscript"/>
              </w:rPr>
              <w:t>2</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151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2.4</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256.8</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457.94</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467.1</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497.46</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34.82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532.28</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47.91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580.19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58.02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638.21</w:t>
            </w:r>
          </w:p>
        </w:tc>
      </w:tr>
    </w:tbl>
    <w:p>
      <w:pPr>
        <w:rPr>
          <w:rFonts w:ascii="Times New Roman" w:hAnsi="Times New Roman" w:cs="Times New Roman"/>
        </w:rPr>
      </w:pPr>
    </w:p>
    <w:p>
      <w:pPr>
        <w:pStyle w:val="2"/>
      </w:pPr>
      <w:r>
        <w:br w:type="page"/>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定额编号：01046</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坑土开挖.</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定额单位：100m</w:t>
            </w:r>
            <w:r>
              <w:rPr>
                <w:rFonts w:ascii="Times New Roman" w:hAnsi="Times New Roman" w:eastAsia="仿宋" w:cs="Times New Roman"/>
                <w:kern w:val="0"/>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施工方法：挖坑、抛土并倒运到槽边两侧0.5m以外，修整底、边。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4138.27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4057.13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3977.58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措施人工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324.7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3977.58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79.55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零星材料费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3977.58</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79.55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4057.13</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81.14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4138.27</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227.6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4365.87</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305.61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4671.48</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5091.91</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509.19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5601.1</w:t>
            </w:r>
          </w:p>
        </w:tc>
      </w:tr>
    </w:tbl>
    <w:p>
      <w:pPr>
        <w:rPr>
          <w:rFonts w:ascii="Times New Roman" w:hAnsi="Times New Roman" w:cs="Times New Roman"/>
        </w:rPr>
      </w:pPr>
    </w:p>
    <w:p>
      <w:pPr>
        <w:pStyle w:val="2"/>
      </w:pPr>
      <w:r>
        <w:br w:type="page"/>
      </w:r>
    </w:p>
    <w:tbl>
      <w:tblPr>
        <w:tblStyle w:val="115"/>
        <w:tblW w:w="88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422"/>
        <w:gridCol w:w="1855"/>
        <w:gridCol w:w="675"/>
        <w:gridCol w:w="1307"/>
        <w:gridCol w:w="15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0" w:type="dxa"/>
            <w:gridSpan w:val="2"/>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定额编号：03005</w:t>
            </w:r>
          </w:p>
        </w:tc>
        <w:tc>
          <w:tcPr>
            <w:tcW w:w="3837" w:type="dxa"/>
            <w:gridSpan w:val="3"/>
            <w:vAlign w:val="center"/>
          </w:tcPr>
          <w:p>
            <w:pPr>
              <w:adjustRightInd w:val="0"/>
              <w:snapToGrid w:val="0"/>
              <w:jc w:val="center"/>
              <w:rPr>
                <w:rFonts w:ascii="Times New Roman" w:hAnsi="Times New Roman" w:eastAsia="仿宋" w:cs="Times New Roman"/>
                <w:kern w:val="0"/>
                <w:sz w:val="18"/>
                <w:szCs w:val="18"/>
                <w:u w:val="single"/>
              </w:rPr>
            </w:pPr>
            <w:r>
              <w:rPr>
                <w:rFonts w:ascii="Times New Roman" w:hAnsi="Times New Roman" w:eastAsia="仿宋" w:cs="Times New Roman"/>
                <w:kern w:val="0"/>
                <w:sz w:val="18"/>
                <w:szCs w:val="18"/>
                <w:u w:val="single"/>
              </w:rPr>
              <w:t>铺防雨布.</w:t>
            </w:r>
          </w:p>
        </w:tc>
        <w:tc>
          <w:tcPr>
            <w:tcW w:w="1586"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定额单位：100m</w:t>
            </w:r>
            <w:r>
              <w:rPr>
                <w:rFonts w:ascii="Times New Roman" w:hAnsi="Times New Roman" w:eastAsia="仿宋" w:cs="Times New Roman"/>
                <w:kern w:val="0"/>
                <w:sz w:val="18"/>
                <w:szCs w:val="18"/>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33" w:type="dxa"/>
            <w:gridSpan w:val="6"/>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施工方法：场内运输、铺设、搭接。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20"/>
                <w:szCs w:val="20"/>
              </w:rPr>
            </w:pPr>
          </w:p>
        </w:tc>
        <w:tc>
          <w:tcPr>
            <w:tcW w:w="2422" w:type="dxa"/>
            <w:noWrap/>
            <w:vAlign w:val="center"/>
          </w:tcPr>
          <w:p>
            <w:pPr>
              <w:adjustRightInd w:val="0"/>
              <w:snapToGrid w:val="0"/>
              <w:jc w:val="center"/>
              <w:rPr>
                <w:rFonts w:ascii="Times New Roman" w:hAnsi="Times New Roman" w:eastAsia="仿宋" w:cs="Times New Roman"/>
                <w:kern w:val="0"/>
                <w:sz w:val="20"/>
                <w:szCs w:val="20"/>
              </w:rPr>
            </w:pPr>
          </w:p>
        </w:tc>
        <w:tc>
          <w:tcPr>
            <w:tcW w:w="1855" w:type="dxa"/>
            <w:noWrap/>
            <w:vAlign w:val="center"/>
          </w:tcPr>
          <w:p>
            <w:pPr>
              <w:adjustRightInd w:val="0"/>
              <w:snapToGrid w:val="0"/>
              <w:jc w:val="center"/>
              <w:rPr>
                <w:rFonts w:ascii="Times New Roman" w:hAnsi="Times New Roman" w:eastAsia="仿宋" w:cs="Times New Roman"/>
                <w:kern w:val="0"/>
                <w:sz w:val="20"/>
                <w:szCs w:val="20"/>
              </w:rPr>
            </w:pPr>
          </w:p>
        </w:tc>
        <w:tc>
          <w:tcPr>
            <w:tcW w:w="675" w:type="dxa"/>
            <w:noWrap/>
            <w:vAlign w:val="center"/>
          </w:tcPr>
          <w:p>
            <w:pPr>
              <w:adjustRightInd w:val="0"/>
              <w:snapToGrid w:val="0"/>
              <w:jc w:val="center"/>
              <w:rPr>
                <w:rFonts w:ascii="Times New Roman" w:hAnsi="Times New Roman" w:eastAsia="仿宋" w:cs="Times New Roman"/>
                <w:kern w:val="0"/>
                <w:sz w:val="20"/>
                <w:szCs w:val="20"/>
              </w:rPr>
            </w:pPr>
          </w:p>
        </w:tc>
        <w:tc>
          <w:tcPr>
            <w:tcW w:w="1307" w:type="dxa"/>
            <w:noWrap/>
            <w:vAlign w:val="center"/>
          </w:tcPr>
          <w:p>
            <w:pPr>
              <w:adjustRightInd w:val="0"/>
              <w:snapToGrid w:val="0"/>
              <w:jc w:val="center"/>
              <w:rPr>
                <w:rFonts w:ascii="Times New Roman" w:hAnsi="Times New Roman" w:eastAsia="仿宋" w:cs="Times New Roman"/>
                <w:kern w:val="0"/>
                <w:sz w:val="20"/>
                <w:szCs w:val="20"/>
              </w:rPr>
            </w:pPr>
          </w:p>
        </w:tc>
        <w:tc>
          <w:tcPr>
            <w:tcW w:w="1586" w:type="dxa"/>
            <w:noWrap/>
            <w:vAlign w:val="center"/>
          </w:tcPr>
          <w:p>
            <w:pPr>
              <w:adjustRightInd w:val="0"/>
              <w:snapToGrid w:val="0"/>
              <w:jc w:val="center"/>
              <w:rPr>
                <w:rFonts w:ascii="Times New Roman" w:hAnsi="Times New Roman" w:eastAsia="仿宋" w:cs="Times New Roman"/>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序号</w:t>
            </w:r>
          </w:p>
        </w:tc>
        <w:tc>
          <w:tcPr>
            <w:tcW w:w="2422"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名称及规格</w:t>
            </w:r>
          </w:p>
        </w:tc>
        <w:tc>
          <w:tcPr>
            <w:tcW w:w="185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单位</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数量</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单价（元）</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直接工程费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415.99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(一)</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直接费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407.83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人工费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措施人工</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工时</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材料费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285.33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防雨布</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m</w:t>
            </w:r>
            <w:r>
              <w:rPr>
                <w:rFonts w:ascii="Times New Roman" w:hAnsi="Times New Roman" w:eastAsia="仿宋" w:cs="Times New Roman"/>
                <w:kern w:val="0"/>
                <w:sz w:val="18"/>
                <w:szCs w:val="18"/>
                <w:vertAlign w:val="superscript"/>
              </w:rPr>
              <w:t>2</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113</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其他材料费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282.5</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施工机械使用费</w:t>
            </w:r>
          </w:p>
        </w:tc>
        <w:tc>
          <w:tcPr>
            <w:tcW w:w="1855" w:type="dxa"/>
            <w:noWrap/>
            <w:vAlign w:val="center"/>
          </w:tcPr>
          <w:p>
            <w:pPr>
              <w:adjustRightInd w:val="0"/>
              <w:snapToGrid w:val="0"/>
              <w:jc w:val="center"/>
              <w:rPr>
                <w:rFonts w:ascii="Times New Roman" w:hAnsi="Times New Roman" w:eastAsia="仿宋" w:cs="Times New Roman"/>
                <w:kern w:val="0"/>
                <w:sz w:val="18"/>
                <w:szCs w:val="18"/>
              </w:rPr>
            </w:pP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其他直接费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407.83</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二</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间接费</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6.5</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415.99</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三</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企业利润</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443.03</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31.01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四</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税金</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474.04</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五</w:t>
            </w: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扩大</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675"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10</w:t>
            </w:r>
          </w:p>
        </w:tc>
        <w:tc>
          <w:tcPr>
            <w:tcW w:w="1307"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516.7</w:t>
            </w: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51.67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8" w:type="dxa"/>
            <w:noWrap/>
            <w:vAlign w:val="center"/>
          </w:tcPr>
          <w:p>
            <w:pPr>
              <w:adjustRightInd w:val="0"/>
              <w:snapToGrid w:val="0"/>
              <w:jc w:val="center"/>
              <w:rPr>
                <w:rFonts w:ascii="Times New Roman" w:hAnsi="Times New Roman" w:eastAsia="仿宋" w:cs="Times New Roman"/>
                <w:kern w:val="0"/>
                <w:sz w:val="18"/>
                <w:szCs w:val="18"/>
              </w:rPr>
            </w:pPr>
          </w:p>
        </w:tc>
        <w:tc>
          <w:tcPr>
            <w:tcW w:w="2422"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合计</w:t>
            </w:r>
          </w:p>
        </w:tc>
        <w:tc>
          <w:tcPr>
            <w:tcW w:w="1855" w:type="dxa"/>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元</w:t>
            </w:r>
          </w:p>
        </w:tc>
        <w:tc>
          <w:tcPr>
            <w:tcW w:w="675" w:type="dxa"/>
            <w:noWrap/>
            <w:vAlign w:val="center"/>
          </w:tcPr>
          <w:p>
            <w:pPr>
              <w:adjustRightInd w:val="0"/>
              <w:snapToGrid w:val="0"/>
              <w:jc w:val="center"/>
              <w:rPr>
                <w:rFonts w:ascii="Times New Roman" w:hAnsi="Times New Roman" w:eastAsia="仿宋" w:cs="Times New Roman"/>
                <w:kern w:val="0"/>
                <w:sz w:val="18"/>
                <w:szCs w:val="18"/>
              </w:rPr>
            </w:pPr>
          </w:p>
        </w:tc>
        <w:tc>
          <w:tcPr>
            <w:tcW w:w="1307" w:type="dxa"/>
            <w:noWrap/>
            <w:vAlign w:val="center"/>
          </w:tcPr>
          <w:p>
            <w:pPr>
              <w:adjustRightInd w:val="0"/>
              <w:snapToGrid w:val="0"/>
              <w:jc w:val="center"/>
              <w:rPr>
                <w:rFonts w:ascii="Times New Roman" w:hAnsi="Times New Roman" w:eastAsia="仿宋" w:cs="Times New Roman"/>
                <w:kern w:val="0"/>
                <w:sz w:val="18"/>
                <w:szCs w:val="18"/>
              </w:rPr>
            </w:pPr>
          </w:p>
        </w:tc>
        <w:tc>
          <w:tcPr>
            <w:tcW w:w="1586" w:type="dxa"/>
            <w:noWrap/>
            <w:vAlign w:val="center"/>
          </w:tcPr>
          <w:p>
            <w:pPr>
              <w:adjustRightInd w:val="0"/>
              <w:snapToGrid w:val="0"/>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568.37</w:t>
            </w:r>
          </w:p>
        </w:tc>
      </w:tr>
    </w:tbl>
    <w:p>
      <w:pPr>
        <w:pStyle w:val="3"/>
        <w:rPr>
          <w:rFonts w:ascii="Times New Roman" w:hAnsi="Times New Roman"/>
          <w:color w:val="auto"/>
        </w:rPr>
      </w:pPr>
    </w:p>
    <w:sectPr>
      <w:headerReference r:id="rId15" w:type="default"/>
      <w:pgSz w:w="11906" w:h="16838"/>
      <w:pgMar w:top="1418" w:right="1588" w:bottom="1418" w:left="1701" w:header="851" w:footer="850"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0002AFF" w:usb1="C000247B" w:usb2="00000009" w:usb3="00000000" w:csb0="200001FF" w:csb1="00000000"/>
  </w:font>
  <w:font w:name="方正仿宋简体">
    <w:panose1 w:val="02000000000000000000"/>
    <w:charset w:val="86"/>
    <w:family w:val="script"/>
    <w:pitch w:val="default"/>
    <w:sig w:usb0="A00002BF" w:usb1="184F6CFA" w:usb2="00000012" w:usb3="00000000" w:csb0="00040001" w:csb1="00000000"/>
  </w:font>
  <w:font w:name="微软雅黑">
    <w:panose1 w:val="020B0503020204020204"/>
    <w:charset w:val="86"/>
    <w:family w:val="swiss"/>
    <w:pitch w:val="default"/>
    <w:sig w:usb0="80000287" w:usb1="2ACF3C50" w:usb2="00000016" w:usb3="00000000" w:csb0="0004001F" w:csb1="00000000"/>
  </w:font>
  <w:font w:name="方正藏文新白体_Unicode">
    <w:altName w:val="Times New Roman"/>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rPr>
      <w:id w:val="90519755"/>
    </w:sdtPr>
    <w:sdtEndPr>
      <w:rPr>
        <w:rFonts w:ascii="Times New Roman" w:hAnsi="Times New Roman"/>
      </w:rPr>
    </w:sdtEndPr>
    <w:sdtContent>
      <w:p>
        <w:pPr>
          <w:pStyle w:val="28"/>
          <w:rPr>
            <w:rFonts w:ascii="Times New Roman" w:hAnsi="Times New Roman"/>
          </w:rPr>
        </w:pPr>
        <w:r>
          <w:rPr>
            <w:rFonts w:hint="eastAsia" w:ascii="Times New Roman" w:hAnsi="Times New Roman" w:eastAsia="仿宋_GB2312"/>
          </w:rPr>
          <w:t xml:space="preserve">四川保川工程勘察设计有限公司                    </w:t>
        </w: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III</w:t>
        </w:r>
        <w:r>
          <w:rPr>
            <w:rFonts w:ascii="Times New Roman" w:hAnsi="Times New Roman" w:cs="Times New Roma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ascii="Times New Roman" w:hAnsi="Times New Roma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pPr>
                      <w:pStyle w:val="28"/>
                    </w:pPr>
                    <w:r>
                      <w:fldChar w:fldCharType="begin"/>
                    </w:r>
                    <w:r>
                      <w:instrText xml:space="preserve"> PAGE  \* MERGEFORMAT </w:instrText>
                    </w:r>
                    <w:r>
                      <w:fldChar w:fldCharType="separate"/>
                    </w:r>
                    <w:r>
                      <w:t>I</w:t>
                    </w:r>
                    <w:r>
                      <w:fldChar w:fldCharType="end"/>
                    </w:r>
                  </w:p>
                </w:txbxContent>
              </v:textbox>
            </v:shape>
          </w:pict>
        </mc:Fallback>
      </mc:AlternateContent>
    </w:r>
    <w:sdt>
      <w:sdtPr>
        <w:rPr>
          <w:rFonts w:ascii="Times New Roman" w:hAnsi="Times New Roman"/>
        </w:rPr>
        <w:id w:val="719317724"/>
      </w:sdtPr>
      <w:sdtEndPr>
        <w:rPr>
          <w:rFonts w:ascii="Times New Roman" w:hAnsi="Times New Roman"/>
        </w:rPr>
      </w:sdtEndPr>
      <w:sdtContent>
        <w:r>
          <w:rPr>
            <w:rFonts w:hint="eastAsia" w:ascii="Times New Roman" w:hAnsi="Times New Roman" w:eastAsia="仿宋_GB2312"/>
          </w:rPr>
          <w:t xml:space="preserve">四川保川工程勘察设计有限公司                    </w:t>
        </w: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rPr>
        <w:rFonts w:ascii="Times New Roman" w:hAnsi="Times New Roman"/>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eastAsia="仿宋_GB2312"/>
      </w:rPr>
    </w:pPr>
    <w:r>
      <w:rPr>
        <w:rFonts w:hint="eastAsia" w:ascii="Times New Roman" w:hAnsi="Times New Roman" w:eastAsia="仿宋_GB2312"/>
      </w:rPr>
      <w:t>8、水土保持管理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eastAsia="仿宋_GB2312"/>
      </w:rPr>
    </w:pPr>
    <w:r>
      <w:rPr>
        <w:rFonts w:hint="eastAsia" w:ascii="Times New Roman" w:hAnsi="Times New Roman" w:eastAsia="仿宋_GB2312"/>
      </w:rPr>
      <w:t>附表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default" w:ascii="Times New Roman" w:hAnsi="Times New Roman" w:eastAsiaTheme="minorEastAsia"/>
        <w:lang w:val="en-US" w:eastAsia="zh-CN"/>
      </w:rPr>
    </w:pPr>
    <w:r>
      <w:rPr>
        <w:rFonts w:hint="eastAsia" w:ascii="Times New Roman" w:hAnsi="Times New Roman"/>
        <w:lang w:val="en-US" w:eastAsia="zh-CN"/>
      </w:rPr>
      <w:t>1</w:t>
    </w:r>
    <w:r>
      <w:rPr>
        <w:rFonts w:hint="eastAsia" w:ascii="Times New Roman" w:hAnsi="Times New Roman"/>
      </w:rPr>
      <w:t>、</w:t>
    </w:r>
    <w:r>
      <w:rPr>
        <w:rFonts w:hint="eastAsia" w:ascii="Times New Roman" w:hAnsi="Times New Roman"/>
        <w:lang w:val="en-US" w:eastAsia="zh-CN"/>
      </w:rPr>
      <w:t>综合说明</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default" w:ascii="Times New Roman" w:hAnsi="Times New Roman" w:eastAsiaTheme="minorEastAsia"/>
        <w:lang w:val="en-US" w:eastAsia="zh-CN"/>
      </w:rPr>
    </w:pPr>
    <w:r>
      <w:rPr>
        <w:rFonts w:hint="eastAsia" w:ascii="Times New Roman" w:hAnsi="Times New Roman"/>
        <w:lang w:val="en-US" w:eastAsia="zh-CN"/>
      </w:rPr>
      <w:t>2</w:t>
    </w:r>
    <w:r>
      <w:rPr>
        <w:rFonts w:hint="eastAsia" w:ascii="Times New Roman" w:hAnsi="Times New Roman"/>
      </w:rPr>
      <w:t>、</w:t>
    </w:r>
    <w:r>
      <w:rPr>
        <w:rFonts w:hint="eastAsia" w:ascii="Times New Roman" w:hAnsi="Times New Roman"/>
        <w:lang w:val="en-US" w:eastAsia="zh-CN"/>
      </w:rPr>
      <w:t>项目概况</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rPr>
    </w:pPr>
    <w:r>
      <w:rPr>
        <w:rFonts w:ascii="Times New Roman" w:hAnsi="Times New Roman"/>
      </w:rPr>
      <w:t>2</w:t>
    </w:r>
    <w:r>
      <w:rPr>
        <w:rFonts w:hint="eastAsia" w:ascii="Times New Roman" w:hAnsi="Times New Roman"/>
      </w:rPr>
      <w:t>、项目概况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rPr>
    </w:pPr>
    <w:r>
      <w:rPr>
        <w:rFonts w:hint="eastAsia" w:ascii="Times New Roman" w:hAnsi="Times New Roman"/>
      </w:rPr>
      <w:t>3、项目水土保持评价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eastAsia="仿宋_GB2312"/>
      </w:rPr>
    </w:pPr>
    <w:r>
      <w:rPr>
        <w:rFonts w:ascii="Times New Roman" w:hAnsi="Times New Roman" w:eastAsia="仿宋_GB2312"/>
      </w:rPr>
      <w:t>4</w:t>
    </w:r>
    <w:r>
      <w:rPr>
        <w:rFonts w:hint="eastAsia" w:ascii="Times New Roman" w:hAnsi="Times New Roman" w:eastAsia="仿宋_GB2312"/>
      </w:rPr>
      <w:t>、水土流失分析与预测</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eastAsia="仿宋_GB2312"/>
      </w:rPr>
    </w:pPr>
    <w:r>
      <w:rPr>
        <w:rFonts w:hint="eastAsia" w:ascii="Times New Roman" w:hAnsi="Times New Roman" w:eastAsia="仿宋_GB2312"/>
      </w:rPr>
      <w:t>5、水土保持措施</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eastAsia="仿宋_GB2312"/>
      </w:rPr>
    </w:pPr>
    <w:r>
      <w:rPr>
        <w:rFonts w:hint="eastAsia" w:ascii="Times New Roman" w:hAnsi="Times New Roman" w:eastAsia="仿宋_GB2312"/>
      </w:rPr>
      <w:t>6、水土保持监测</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ascii="Times New Roman" w:hAnsi="Times New Roman" w:eastAsia="仿宋_GB2312"/>
      </w:rPr>
    </w:pPr>
    <w:r>
      <w:rPr>
        <w:rFonts w:hint="eastAsia" w:ascii="Times New Roman" w:hAnsi="Times New Roman"/>
      </w:rPr>
      <w:t>7、水土保持投资估算及效益分析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E5820D"/>
    <w:multiLevelType w:val="singleLevel"/>
    <w:tmpl w:val="CFE5820D"/>
    <w:lvl w:ilvl="0" w:tentative="0">
      <w:start w:val="1"/>
      <w:numFmt w:val="decimal"/>
      <w:suff w:val="nothing"/>
      <w:lvlText w:val="%1、"/>
      <w:lvlJc w:val="left"/>
    </w:lvl>
  </w:abstractNum>
  <w:abstractNum w:abstractNumId="1">
    <w:nsid w:val="094991C4"/>
    <w:multiLevelType w:val="singleLevel"/>
    <w:tmpl w:val="094991C4"/>
    <w:lvl w:ilvl="0" w:tentative="0">
      <w:start w:val="1"/>
      <w:numFmt w:val="decimal"/>
      <w:suff w:val="nothing"/>
      <w:lvlText w:val="（%1）"/>
      <w:lvlJc w:val="left"/>
    </w:lvl>
  </w:abstractNum>
  <w:abstractNum w:abstractNumId="2">
    <w:nsid w:val="0BE0D6DE"/>
    <w:multiLevelType w:val="singleLevel"/>
    <w:tmpl w:val="0BE0D6DE"/>
    <w:lvl w:ilvl="0" w:tentative="0">
      <w:start w:val="1"/>
      <w:numFmt w:val="decimal"/>
      <w:suff w:val="nothing"/>
      <w:lvlText w:val="%1）"/>
      <w:lvlJc w:val="left"/>
    </w:lvl>
  </w:abstractNum>
  <w:abstractNum w:abstractNumId="3">
    <w:nsid w:val="29D97BBF"/>
    <w:multiLevelType w:val="singleLevel"/>
    <w:tmpl w:val="29D97BBF"/>
    <w:lvl w:ilvl="0" w:tentative="0">
      <w:start w:val="3"/>
      <w:numFmt w:val="decimal"/>
      <w:suff w:val="nothing"/>
      <w:lvlText w:val="%1、"/>
      <w:lvlJc w:val="left"/>
    </w:lvl>
  </w:abstractNum>
  <w:abstractNum w:abstractNumId="4">
    <w:nsid w:val="35BB9C50"/>
    <w:multiLevelType w:val="singleLevel"/>
    <w:tmpl w:val="35BB9C50"/>
    <w:lvl w:ilvl="0" w:tentative="0">
      <w:start w:val="2"/>
      <w:numFmt w:val="decimal"/>
      <w:suff w:val="nothing"/>
      <w:lvlText w:val="（%1）"/>
      <w:lvlJc w:val="left"/>
      <w:pPr>
        <w:ind w:left="-60"/>
      </w:pPr>
    </w:lvl>
  </w:abstractNum>
  <w:abstractNum w:abstractNumId="5">
    <w:nsid w:val="7DDB1DC0"/>
    <w:multiLevelType w:val="multilevel"/>
    <w:tmpl w:val="7DDB1DC0"/>
    <w:lvl w:ilvl="0" w:tentative="0">
      <w:start w:val="1"/>
      <w:numFmt w:val="decimal"/>
      <w:pStyle w:val="92"/>
      <w:lvlText w:val="%1"/>
      <w:lvlJc w:val="left"/>
      <w:pPr>
        <w:ind w:left="360" w:hanging="360"/>
      </w:pPr>
      <w:rPr>
        <w:rFonts w:hint="default"/>
      </w:rPr>
    </w:lvl>
    <w:lvl w:ilvl="1" w:tentative="0">
      <w:start w:val="1"/>
      <w:numFmt w:val="decimal"/>
      <w:isLgl/>
      <w:lvlText w:val="%1.%2"/>
      <w:lvlJc w:val="left"/>
      <w:pPr>
        <w:ind w:left="495" w:hanging="49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5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cp_ms" w:val="MHekUOVdCt0RpevWs6NlP1m/Jk8lG8YmcoTz6dkYB2OkXLpvDmCsW9ICGkQVRE5/AMy45khaZlayA112WJ6eNd/KWocGlUHClteUdfhIGeqx1RlPd50YuAC/WOspk7Z62NBWyDGaNzUnXD5mYlJiJC7Hyc+DkUwZV8buqTKzWWQUSMQf2EBscHShrDbZUqYcdhYwI8w/qlOuEBZIige+z0BzV5U7HvCdV8I4DH+rJKLNx1t6JtFPnkGji4l4OalavObUIjWschuHXmCTLTIpkuTpb8QwKgCuzcAOTv8qNkTAvB6cRPZ8IbkTnGh+N9c6Ao5bc0f6UIeypfklKMzbpueDO+42tWMupuLi7kRa84adLZUPenpeFdr4DUIA9WFmCwWD5yVpYmcM5ct/XGX/ke578tBNhQps/RFF2MIkdj9NxTYH0tU9iSGrLc2TD16EUcSuhRl8eXtxZuz1QvXRfJ6a2ZxCXuKEXRSbI/P+0nBq8wzE/pxespevcoOu1e6hmaGvZtjnRAHMfdbsDui/0aT9mWr6mmtvMiaarCfMwPQa6KYsuGu/dhs/bIAWlzWLyh2EnfTlYj83jP1IJjnij9hlJYe62z5ebGo/oTBTNWDjNEjq3dhHgksKokJSkUdsIEg/WKxyhaKKV0OtKOFzys6YXc3Gjl9hawtg0kbOrjDz53WEdX6MyJsTuk40DZCP8UV3LqtDNHpF1Yi9lHmFfsgsLTM/5Pe2SPcWnFix2zkNgae+eOWsDm3H46j5gBomdEOvlykj3aeX9K7XiMLXLfA2s0msl4l1/TDF+Oz+6MUxjz1zyRz+ZCK8C/gN/IS3ks+tVvMMPT13E12dIXXIitdQXa0sPC4PagagmnPN8mnDOSQ7f50dicPGC54eb7YEYlYiXfO2ZrOtnfjsYAJR4kH4RKWY7GmVK0ZxBKpnOAF8nAQaQhGBLcnpKx1WppWdnaBV2aBetqLiCc4m7oPzfNO2ebLNU04LcCLAE2J9JabAsU+Q3ILqZGXM6ZsXyarw"/>
    <w:docVar w:name="commondata" w:val="eyJoZGlkIjoiNDI4ZTViMGVmNDM1NTAyMzc5MGEzMjY2NTkyNjgwYzQifQ=="/>
  </w:docVars>
  <w:rsids>
    <w:rsidRoot w:val="007C56E9"/>
    <w:rsid w:val="0000012D"/>
    <w:rsid w:val="0000250D"/>
    <w:rsid w:val="00002957"/>
    <w:rsid w:val="00002BD6"/>
    <w:rsid w:val="0000306A"/>
    <w:rsid w:val="000031EB"/>
    <w:rsid w:val="0000433C"/>
    <w:rsid w:val="000047B9"/>
    <w:rsid w:val="00004BC8"/>
    <w:rsid w:val="00005A9D"/>
    <w:rsid w:val="00005D1E"/>
    <w:rsid w:val="00007773"/>
    <w:rsid w:val="00007F90"/>
    <w:rsid w:val="000109D2"/>
    <w:rsid w:val="00011FBF"/>
    <w:rsid w:val="000123D2"/>
    <w:rsid w:val="000125F3"/>
    <w:rsid w:val="00012D09"/>
    <w:rsid w:val="0001482C"/>
    <w:rsid w:val="000170BD"/>
    <w:rsid w:val="00017184"/>
    <w:rsid w:val="000207AF"/>
    <w:rsid w:val="00022F5C"/>
    <w:rsid w:val="0002522A"/>
    <w:rsid w:val="00025FA2"/>
    <w:rsid w:val="00027E65"/>
    <w:rsid w:val="0003094F"/>
    <w:rsid w:val="00031FAF"/>
    <w:rsid w:val="00031FF6"/>
    <w:rsid w:val="00032C44"/>
    <w:rsid w:val="00032E3F"/>
    <w:rsid w:val="00033C93"/>
    <w:rsid w:val="00033F77"/>
    <w:rsid w:val="000353F0"/>
    <w:rsid w:val="000402FE"/>
    <w:rsid w:val="00041A82"/>
    <w:rsid w:val="00041AFA"/>
    <w:rsid w:val="000424B1"/>
    <w:rsid w:val="00043BFF"/>
    <w:rsid w:val="00044079"/>
    <w:rsid w:val="0004476B"/>
    <w:rsid w:val="00045759"/>
    <w:rsid w:val="000467E4"/>
    <w:rsid w:val="0004711B"/>
    <w:rsid w:val="000502C2"/>
    <w:rsid w:val="00052293"/>
    <w:rsid w:val="00052F1D"/>
    <w:rsid w:val="00053DD6"/>
    <w:rsid w:val="00056989"/>
    <w:rsid w:val="00057AC9"/>
    <w:rsid w:val="00060F7E"/>
    <w:rsid w:val="00062241"/>
    <w:rsid w:val="00063D00"/>
    <w:rsid w:val="000645CF"/>
    <w:rsid w:val="00064D2C"/>
    <w:rsid w:val="00065736"/>
    <w:rsid w:val="000658BB"/>
    <w:rsid w:val="000673AD"/>
    <w:rsid w:val="0007030E"/>
    <w:rsid w:val="000704B5"/>
    <w:rsid w:val="00070D68"/>
    <w:rsid w:val="000741D5"/>
    <w:rsid w:val="000750C8"/>
    <w:rsid w:val="00075930"/>
    <w:rsid w:val="00076948"/>
    <w:rsid w:val="00076EC8"/>
    <w:rsid w:val="000801C6"/>
    <w:rsid w:val="00080364"/>
    <w:rsid w:val="00081EE0"/>
    <w:rsid w:val="00083035"/>
    <w:rsid w:val="00083BCF"/>
    <w:rsid w:val="00083F85"/>
    <w:rsid w:val="00084C5B"/>
    <w:rsid w:val="00085E29"/>
    <w:rsid w:val="00086FDC"/>
    <w:rsid w:val="000876D7"/>
    <w:rsid w:val="0009108D"/>
    <w:rsid w:val="0009126F"/>
    <w:rsid w:val="000912F0"/>
    <w:rsid w:val="00091C57"/>
    <w:rsid w:val="00092317"/>
    <w:rsid w:val="00093EF6"/>
    <w:rsid w:val="00094767"/>
    <w:rsid w:val="00094FF8"/>
    <w:rsid w:val="00095B33"/>
    <w:rsid w:val="000A06B6"/>
    <w:rsid w:val="000A30DC"/>
    <w:rsid w:val="000A748E"/>
    <w:rsid w:val="000A7BAF"/>
    <w:rsid w:val="000B2394"/>
    <w:rsid w:val="000B6487"/>
    <w:rsid w:val="000B6EEB"/>
    <w:rsid w:val="000B74B4"/>
    <w:rsid w:val="000B7BAC"/>
    <w:rsid w:val="000C09CF"/>
    <w:rsid w:val="000C17CD"/>
    <w:rsid w:val="000C2098"/>
    <w:rsid w:val="000C28D3"/>
    <w:rsid w:val="000C485F"/>
    <w:rsid w:val="000C57EF"/>
    <w:rsid w:val="000C7423"/>
    <w:rsid w:val="000C7FED"/>
    <w:rsid w:val="000D09C2"/>
    <w:rsid w:val="000D13ED"/>
    <w:rsid w:val="000D4A0E"/>
    <w:rsid w:val="000D4BC9"/>
    <w:rsid w:val="000D5A6C"/>
    <w:rsid w:val="000D5D9D"/>
    <w:rsid w:val="000D72C0"/>
    <w:rsid w:val="000D7FF6"/>
    <w:rsid w:val="000E185D"/>
    <w:rsid w:val="000E18FB"/>
    <w:rsid w:val="000E2E95"/>
    <w:rsid w:val="000E47FD"/>
    <w:rsid w:val="000F2FE8"/>
    <w:rsid w:val="000F3AB7"/>
    <w:rsid w:val="000F5404"/>
    <w:rsid w:val="000F7263"/>
    <w:rsid w:val="000F7F5D"/>
    <w:rsid w:val="00100263"/>
    <w:rsid w:val="00102845"/>
    <w:rsid w:val="00102AFD"/>
    <w:rsid w:val="00103492"/>
    <w:rsid w:val="00105125"/>
    <w:rsid w:val="00105E73"/>
    <w:rsid w:val="00106873"/>
    <w:rsid w:val="00106E7C"/>
    <w:rsid w:val="001071FB"/>
    <w:rsid w:val="0011056C"/>
    <w:rsid w:val="001121F6"/>
    <w:rsid w:val="00114648"/>
    <w:rsid w:val="001153FB"/>
    <w:rsid w:val="00115B37"/>
    <w:rsid w:val="00116050"/>
    <w:rsid w:val="0011670B"/>
    <w:rsid w:val="00121430"/>
    <w:rsid w:val="00121882"/>
    <w:rsid w:val="001224AE"/>
    <w:rsid w:val="00122DC9"/>
    <w:rsid w:val="001251BC"/>
    <w:rsid w:val="001258E9"/>
    <w:rsid w:val="00125A63"/>
    <w:rsid w:val="00126912"/>
    <w:rsid w:val="00126BBE"/>
    <w:rsid w:val="001303BA"/>
    <w:rsid w:val="00130567"/>
    <w:rsid w:val="001307D3"/>
    <w:rsid w:val="001313F7"/>
    <w:rsid w:val="00131AF5"/>
    <w:rsid w:val="00131E17"/>
    <w:rsid w:val="00132866"/>
    <w:rsid w:val="00134E21"/>
    <w:rsid w:val="001355B1"/>
    <w:rsid w:val="00135D2B"/>
    <w:rsid w:val="00141690"/>
    <w:rsid w:val="00142196"/>
    <w:rsid w:val="00142A6C"/>
    <w:rsid w:val="00142CEF"/>
    <w:rsid w:val="001454FC"/>
    <w:rsid w:val="00145C00"/>
    <w:rsid w:val="001470E3"/>
    <w:rsid w:val="00147C83"/>
    <w:rsid w:val="00150126"/>
    <w:rsid w:val="00151411"/>
    <w:rsid w:val="001523C2"/>
    <w:rsid w:val="001526F3"/>
    <w:rsid w:val="00154960"/>
    <w:rsid w:val="00156FC3"/>
    <w:rsid w:val="001579D3"/>
    <w:rsid w:val="001618C8"/>
    <w:rsid w:val="00163E43"/>
    <w:rsid w:val="00166002"/>
    <w:rsid w:val="00167505"/>
    <w:rsid w:val="001749E4"/>
    <w:rsid w:val="00174F96"/>
    <w:rsid w:val="00175EAF"/>
    <w:rsid w:val="001761F9"/>
    <w:rsid w:val="00180013"/>
    <w:rsid w:val="00181787"/>
    <w:rsid w:val="00185109"/>
    <w:rsid w:val="0018512B"/>
    <w:rsid w:val="00186FD6"/>
    <w:rsid w:val="001877EE"/>
    <w:rsid w:val="001904E8"/>
    <w:rsid w:val="00190ED8"/>
    <w:rsid w:val="001916B5"/>
    <w:rsid w:val="00195E0E"/>
    <w:rsid w:val="001A1401"/>
    <w:rsid w:val="001A214F"/>
    <w:rsid w:val="001A29E1"/>
    <w:rsid w:val="001A2E85"/>
    <w:rsid w:val="001A3846"/>
    <w:rsid w:val="001A6F3C"/>
    <w:rsid w:val="001A713F"/>
    <w:rsid w:val="001B038A"/>
    <w:rsid w:val="001B39FF"/>
    <w:rsid w:val="001B439F"/>
    <w:rsid w:val="001B59AA"/>
    <w:rsid w:val="001B65DF"/>
    <w:rsid w:val="001C21B6"/>
    <w:rsid w:val="001C2C39"/>
    <w:rsid w:val="001D00FE"/>
    <w:rsid w:val="001D0931"/>
    <w:rsid w:val="001D6542"/>
    <w:rsid w:val="001D7BE5"/>
    <w:rsid w:val="001D7E05"/>
    <w:rsid w:val="001E06F9"/>
    <w:rsid w:val="001E1BF8"/>
    <w:rsid w:val="001E472B"/>
    <w:rsid w:val="001E4BE5"/>
    <w:rsid w:val="001F0DE8"/>
    <w:rsid w:val="001F0FFC"/>
    <w:rsid w:val="001F2BC6"/>
    <w:rsid w:val="001F3C48"/>
    <w:rsid w:val="001F5378"/>
    <w:rsid w:val="001F6F15"/>
    <w:rsid w:val="001F707C"/>
    <w:rsid w:val="00200A8F"/>
    <w:rsid w:val="00201A1F"/>
    <w:rsid w:val="0020240E"/>
    <w:rsid w:val="00202463"/>
    <w:rsid w:val="00202AF9"/>
    <w:rsid w:val="00202F2E"/>
    <w:rsid w:val="0020528C"/>
    <w:rsid w:val="00206E63"/>
    <w:rsid w:val="00207CEB"/>
    <w:rsid w:val="00210332"/>
    <w:rsid w:val="00210483"/>
    <w:rsid w:val="00211C18"/>
    <w:rsid w:val="002131E0"/>
    <w:rsid w:val="0021518F"/>
    <w:rsid w:val="0021523A"/>
    <w:rsid w:val="002167B7"/>
    <w:rsid w:val="0021778A"/>
    <w:rsid w:val="002177AE"/>
    <w:rsid w:val="00222B57"/>
    <w:rsid w:val="00227BD9"/>
    <w:rsid w:val="002304A0"/>
    <w:rsid w:val="002328C6"/>
    <w:rsid w:val="0023297C"/>
    <w:rsid w:val="00235419"/>
    <w:rsid w:val="00235973"/>
    <w:rsid w:val="002364E8"/>
    <w:rsid w:val="002374E4"/>
    <w:rsid w:val="002379AE"/>
    <w:rsid w:val="00237B5E"/>
    <w:rsid w:val="00240A92"/>
    <w:rsid w:val="0024363A"/>
    <w:rsid w:val="002438A4"/>
    <w:rsid w:val="002460D2"/>
    <w:rsid w:val="00250599"/>
    <w:rsid w:val="002510A5"/>
    <w:rsid w:val="0025224A"/>
    <w:rsid w:val="002523EF"/>
    <w:rsid w:val="00253FB3"/>
    <w:rsid w:val="002541E5"/>
    <w:rsid w:val="00257D37"/>
    <w:rsid w:val="00264C08"/>
    <w:rsid w:val="002656FC"/>
    <w:rsid w:val="002667D7"/>
    <w:rsid w:val="002669A5"/>
    <w:rsid w:val="00267F60"/>
    <w:rsid w:val="00270EB7"/>
    <w:rsid w:val="00270FB5"/>
    <w:rsid w:val="00273554"/>
    <w:rsid w:val="00276567"/>
    <w:rsid w:val="00277AF5"/>
    <w:rsid w:val="002805CC"/>
    <w:rsid w:val="00281060"/>
    <w:rsid w:val="0028134E"/>
    <w:rsid w:val="00282F5C"/>
    <w:rsid w:val="00284224"/>
    <w:rsid w:val="0028665C"/>
    <w:rsid w:val="00287D2B"/>
    <w:rsid w:val="00287DAE"/>
    <w:rsid w:val="00293A74"/>
    <w:rsid w:val="0029459E"/>
    <w:rsid w:val="00294956"/>
    <w:rsid w:val="00295BD5"/>
    <w:rsid w:val="00296358"/>
    <w:rsid w:val="002A0563"/>
    <w:rsid w:val="002A073C"/>
    <w:rsid w:val="002A2388"/>
    <w:rsid w:val="002A4126"/>
    <w:rsid w:val="002A6F7B"/>
    <w:rsid w:val="002B0722"/>
    <w:rsid w:val="002B1063"/>
    <w:rsid w:val="002B175F"/>
    <w:rsid w:val="002B24DC"/>
    <w:rsid w:val="002B51E8"/>
    <w:rsid w:val="002B5F3D"/>
    <w:rsid w:val="002B75CE"/>
    <w:rsid w:val="002B7976"/>
    <w:rsid w:val="002C0E93"/>
    <w:rsid w:val="002C169A"/>
    <w:rsid w:val="002C2C4C"/>
    <w:rsid w:val="002C36E0"/>
    <w:rsid w:val="002C6A7D"/>
    <w:rsid w:val="002C72AE"/>
    <w:rsid w:val="002C7825"/>
    <w:rsid w:val="002C7E2F"/>
    <w:rsid w:val="002D12AC"/>
    <w:rsid w:val="002D2230"/>
    <w:rsid w:val="002D3067"/>
    <w:rsid w:val="002D3210"/>
    <w:rsid w:val="002D3E56"/>
    <w:rsid w:val="002D46BA"/>
    <w:rsid w:val="002D4EEE"/>
    <w:rsid w:val="002E040D"/>
    <w:rsid w:val="002E13F0"/>
    <w:rsid w:val="002E2F3C"/>
    <w:rsid w:val="002E324A"/>
    <w:rsid w:val="002E404A"/>
    <w:rsid w:val="002E528F"/>
    <w:rsid w:val="002E70AD"/>
    <w:rsid w:val="002F5779"/>
    <w:rsid w:val="002F61B6"/>
    <w:rsid w:val="002F7B48"/>
    <w:rsid w:val="002F7D1B"/>
    <w:rsid w:val="00300BBE"/>
    <w:rsid w:val="00301ABD"/>
    <w:rsid w:val="00304B49"/>
    <w:rsid w:val="00310E6E"/>
    <w:rsid w:val="00313424"/>
    <w:rsid w:val="00313A62"/>
    <w:rsid w:val="0031558D"/>
    <w:rsid w:val="00316210"/>
    <w:rsid w:val="0031622D"/>
    <w:rsid w:val="00316436"/>
    <w:rsid w:val="003217B6"/>
    <w:rsid w:val="00324D1F"/>
    <w:rsid w:val="00325277"/>
    <w:rsid w:val="00325AA6"/>
    <w:rsid w:val="00330499"/>
    <w:rsid w:val="00333CC5"/>
    <w:rsid w:val="00334449"/>
    <w:rsid w:val="00334EF0"/>
    <w:rsid w:val="003351D5"/>
    <w:rsid w:val="0033713F"/>
    <w:rsid w:val="0034116F"/>
    <w:rsid w:val="00341CB7"/>
    <w:rsid w:val="003449C0"/>
    <w:rsid w:val="00347484"/>
    <w:rsid w:val="003503BB"/>
    <w:rsid w:val="0035250B"/>
    <w:rsid w:val="00352D8D"/>
    <w:rsid w:val="00353509"/>
    <w:rsid w:val="00353A6A"/>
    <w:rsid w:val="0035473A"/>
    <w:rsid w:val="00355B62"/>
    <w:rsid w:val="00356E90"/>
    <w:rsid w:val="00360860"/>
    <w:rsid w:val="00361A40"/>
    <w:rsid w:val="00362EBD"/>
    <w:rsid w:val="00364428"/>
    <w:rsid w:val="00364EC1"/>
    <w:rsid w:val="0036736A"/>
    <w:rsid w:val="00370191"/>
    <w:rsid w:val="00371125"/>
    <w:rsid w:val="003727F5"/>
    <w:rsid w:val="003731B5"/>
    <w:rsid w:val="00374096"/>
    <w:rsid w:val="00375AA8"/>
    <w:rsid w:val="00376C0B"/>
    <w:rsid w:val="00376C14"/>
    <w:rsid w:val="00376DEA"/>
    <w:rsid w:val="00380B38"/>
    <w:rsid w:val="0038213F"/>
    <w:rsid w:val="00384BFC"/>
    <w:rsid w:val="0038501E"/>
    <w:rsid w:val="003856B1"/>
    <w:rsid w:val="00390DE7"/>
    <w:rsid w:val="0039625C"/>
    <w:rsid w:val="00396B93"/>
    <w:rsid w:val="0039783B"/>
    <w:rsid w:val="003A1749"/>
    <w:rsid w:val="003A5DCA"/>
    <w:rsid w:val="003A6530"/>
    <w:rsid w:val="003A68A8"/>
    <w:rsid w:val="003A77A4"/>
    <w:rsid w:val="003B1E5F"/>
    <w:rsid w:val="003B45DD"/>
    <w:rsid w:val="003B73C1"/>
    <w:rsid w:val="003C3752"/>
    <w:rsid w:val="003C3DA1"/>
    <w:rsid w:val="003C57AF"/>
    <w:rsid w:val="003D1490"/>
    <w:rsid w:val="003D1E63"/>
    <w:rsid w:val="003D37CF"/>
    <w:rsid w:val="003D4054"/>
    <w:rsid w:val="003D4EA1"/>
    <w:rsid w:val="003D50CE"/>
    <w:rsid w:val="003D571A"/>
    <w:rsid w:val="003D69B2"/>
    <w:rsid w:val="003E0A7B"/>
    <w:rsid w:val="003E168B"/>
    <w:rsid w:val="003E205F"/>
    <w:rsid w:val="003E213F"/>
    <w:rsid w:val="003E3370"/>
    <w:rsid w:val="003E3652"/>
    <w:rsid w:val="003E4B8C"/>
    <w:rsid w:val="003E7D4C"/>
    <w:rsid w:val="003F00E9"/>
    <w:rsid w:val="003F045A"/>
    <w:rsid w:val="003F089A"/>
    <w:rsid w:val="003F15D7"/>
    <w:rsid w:val="003F23D8"/>
    <w:rsid w:val="003F4BCE"/>
    <w:rsid w:val="004006F6"/>
    <w:rsid w:val="004039D3"/>
    <w:rsid w:val="00403FFB"/>
    <w:rsid w:val="00406477"/>
    <w:rsid w:val="004069DA"/>
    <w:rsid w:val="00406E40"/>
    <w:rsid w:val="00407C2A"/>
    <w:rsid w:val="00407C7A"/>
    <w:rsid w:val="00411C95"/>
    <w:rsid w:val="00413110"/>
    <w:rsid w:val="00413575"/>
    <w:rsid w:val="00416130"/>
    <w:rsid w:val="00416840"/>
    <w:rsid w:val="00417268"/>
    <w:rsid w:val="00417901"/>
    <w:rsid w:val="00423A9F"/>
    <w:rsid w:val="00425359"/>
    <w:rsid w:val="00425866"/>
    <w:rsid w:val="0042717C"/>
    <w:rsid w:val="004311FB"/>
    <w:rsid w:val="004312E6"/>
    <w:rsid w:val="00432660"/>
    <w:rsid w:val="00432A52"/>
    <w:rsid w:val="00432EB5"/>
    <w:rsid w:val="0043521D"/>
    <w:rsid w:val="004362A1"/>
    <w:rsid w:val="0044183D"/>
    <w:rsid w:val="004461A6"/>
    <w:rsid w:val="004507AD"/>
    <w:rsid w:val="00455004"/>
    <w:rsid w:val="00461F36"/>
    <w:rsid w:val="00465A5F"/>
    <w:rsid w:val="00466592"/>
    <w:rsid w:val="0046678E"/>
    <w:rsid w:val="0047080C"/>
    <w:rsid w:val="004711D8"/>
    <w:rsid w:val="00474511"/>
    <w:rsid w:val="00475365"/>
    <w:rsid w:val="00482BB3"/>
    <w:rsid w:val="00483572"/>
    <w:rsid w:val="00484F6F"/>
    <w:rsid w:val="00486D75"/>
    <w:rsid w:val="00490E5D"/>
    <w:rsid w:val="004954E2"/>
    <w:rsid w:val="004954FE"/>
    <w:rsid w:val="0049633B"/>
    <w:rsid w:val="004965D4"/>
    <w:rsid w:val="004971A0"/>
    <w:rsid w:val="004A1D18"/>
    <w:rsid w:val="004A237C"/>
    <w:rsid w:val="004A26CC"/>
    <w:rsid w:val="004A3F72"/>
    <w:rsid w:val="004A4CCE"/>
    <w:rsid w:val="004A598D"/>
    <w:rsid w:val="004B02C7"/>
    <w:rsid w:val="004B0C3E"/>
    <w:rsid w:val="004B2FCF"/>
    <w:rsid w:val="004B30CD"/>
    <w:rsid w:val="004B3778"/>
    <w:rsid w:val="004B5284"/>
    <w:rsid w:val="004B579F"/>
    <w:rsid w:val="004B6BB8"/>
    <w:rsid w:val="004B750F"/>
    <w:rsid w:val="004B7D53"/>
    <w:rsid w:val="004C0C60"/>
    <w:rsid w:val="004C4787"/>
    <w:rsid w:val="004C59C3"/>
    <w:rsid w:val="004C5D41"/>
    <w:rsid w:val="004C611F"/>
    <w:rsid w:val="004D1BBC"/>
    <w:rsid w:val="004D3311"/>
    <w:rsid w:val="004D37B7"/>
    <w:rsid w:val="004D5DBD"/>
    <w:rsid w:val="004D7A07"/>
    <w:rsid w:val="004E0B4D"/>
    <w:rsid w:val="004E0D11"/>
    <w:rsid w:val="004E0E72"/>
    <w:rsid w:val="004E5A05"/>
    <w:rsid w:val="004F0C6C"/>
    <w:rsid w:val="004F1952"/>
    <w:rsid w:val="004F4674"/>
    <w:rsid w:val="004F47C8"/>
    <w:rsid w:val="004F514A"/>
    <w:rsid w:val="004F6176"/>
    <w:rsid w:val="004F69D9"/>
    <w:rsid w:val="00500F16"/>
    <w:rsid w:val="0050147C"/>
    <w:rsid w:val="00501D7C"/>
    <w:rsid w:val="00501F0F"/>
    <w:rsid w:val="0050266C"/>
    <w:rsid w:val="00502EB9"/>
    <w:rsid w:val="00503D70"/>
    <w:rsid w:val="00503E31"/>
    <w:rsid w:val="00505936"/>
    <w:rsid w:val="00507F3E"/>
    <w:rsid w:val="00510B6E"/>
    <w:rsid w:val="0051241D"/>
    <w:rsid w:val="005146F8"/>
    <w:rsid w:val="00515F4C"/>
    <w:rsid w:val="0052039E"/>
    <w:rsid w:val="005203BF"/>
    <w:rsid w:val="00521FC8"/>
    <w:rsid w:val="00522735"/>
    <w:rsid w:val="005229D9"/>
    <w:rsid w:val="005232FF"/>
    <w:rsid w:val="00524AF3"/>
    <w:rsid w:val="00533017"/>
    <w:rsid w:val="005332F9"/>
    <w:rsid w:val="00535EC2"/>
    <w:rsid w:val="00536389"/>
    <w:rsid w:val="00536790"/>
    <w:rsid w:val="00537FA7"/>
    <w:rsid w:val="00540626"/>
    <w:rsid w:val="005434A3"/>
    <w:rsid w:val="00544E37"/>
    <w:rsid w:val="005470F6"/>
    <w:rsid w:val="00547E3B"/>
    <w:rsid w:val="00547E4D"/>
    <w:rsid w:val="005523C8"/>
    <w:rsid w:val="00553425"/>
    <w:rsid w:val="00553C7A"/>
    <w:rsid w:val="00556F62"/>
    <w:rsid w:val="0056020E"/>
    <w:rsid w:val="00563C71"/>
    <w:rsid w:val="00565074"/>
    <w:rsid w:val="0056557C"/>
    <w:rsid w:val="00565E55"/>
    <w:rsid w:val="00567D98"/>
    <w:rsid w:val="00571595"/>
    <w:rsid w:val="00572D25"/>
    <w:rsid w:val="00572E90"/>
    <w:rsid w:val="005742A5"/>
    <w:rsid w:val="00576DA9"/>
    <w:rsid w:val="0057732F"/>
    <w:rsid w:val="005813CA"/>
    <w:rsid w:val="00582573"/>
    <w:rsid w:val="005836E8"/>
    <w:rsid w:val="00584416"/>
    <w:rsid w:val="00586B2D"/>
    <w:rsid w:val="00591A4B"/>
    <w:rsid w:val="00591A94"/>
    <w:rsid w:val="005920ED"/>
    <w:rsid w:val="00592B48"/>
    <w:rsid w:val="00593D5E"/>
    <w:rsid w:val="0059535B"/>
    <w:rsid w:val="0059661B"/>
    <w:rsid w:val="005A0D7E"/>
    <w:rsid w:val="005A33D0"/>
    <w:rsid w:val="005A3AC2"/>
    <w:rsid w:val="005B1FC0"/>
    <w:rsid w:val="005B2113"/>
    <w:rsid w:val="005B2CAF"/>
    <w:rsid w:val="005B2E4B"/>
    <w:rsid w:val="005B46A9"/>
    <w:rsid w:val="005B67C7"/>
    <w:rsid w:val="005B7627"/>
    <w:rsid w:val="005C1EEE"/>
    <w:rsid w:val="005C23E8"/>
    <w:rsid w:val="005C2EB2"/>
    <w:rsid w:val="005C39B7"/>
    <w:rsid w:val="005C3BB6"/>
    <w:rsid w:val="005C5D5D"/>
    <w:rsid w:val="005C5EDF"/>
    <w:rsid w:val="005C6B0B"/>
    <w:rsid w:val="005D26BC"/>
    <w:rsid w:val="005D2DFB"/>
    <w:rsid w:val="005D3563"/>
    <w:rsid w:val="005D4105"/>
    <w:rsid w:val="005D5E82"/>
    <w:rsid w:val="005D61B8"/>
    <w:rsid w:val="005D7486"/>
    <w:rsid w:val="005E39CA"/>
    <w:rsid w:val="005E63F8"/>
    <w:rsid w:val="005E752A"/>
    <w:rsid w:val="005E77A4"/>
    <w:rsid w:val="005E77EC"/>
    <w:rsid w:val="005F1E0F"/>
    <w:rsid w:val="005F1E60"/>
    <w:rsid w:val="005F20C3"/>
    <w:rsid w:val="005F3536"/>
    <w:rsid w:val="005F3BE1"/>
    <w:rsid w:val="005F3F28"/>
    <w:rsid w:val="005F5865"/>
    <w:rsid w:val="00601514"/>
    <w:rsid w:val="0060791D"/>
    <w:rsid w:val="006136FD"/>
    <w:rsid w:val="0061474E"/>
    <w:rsid w:val="00620740"/>
    <w:rsid w:val="006222F8"/>
    <w:rsid w:val="00623446"/>
    <w:rsid w:val="006242C4"/>
    <w:rsid w:val="00624B28"/>
    <w:rsid w:val="00624C96"/>
    <w:rsid w:val="00625954"/>
    <w:rsid w:val="006270F4"/>
    <w:rsid w:val="00627A4B"/>
    <w:rsid w:val="00630332"/>
    <w:rsid w:val="00630BB3"/>
    <w:rsid w:val="00630FA2"/>
    <w:rsid w:val="00631215"/>
    <w:rsid w:val="00632BB4"/>
    <w:rsid w:val="00634D17"/>
    <w:rsid w:val="00636C4B"/>
    <w:rsid w:val="00642136"/>
    <w:rsid w:val="006427F1"/>
    <w:rsid w:val="006435E5"/>
    <w:rsid w:val="006452F7"/>
    <w:rsid w:val="006456C0"/>
    <w:rsid w:val="00646E26"/>
    <w:rsid w:val="00652DE8"/>
    <w:rsid w:val="00662A4C"/>
    <w:rsid w:val="006639EF"/>
    <w:rsid w:val="00664495"/>
    <w:rsid w:val="00666234"/>
    <w:rsid w:val="00667E3F"/>
    <w:rsid w:val="006735A0"/>
    <w:rsid w:val="00676AEB"/>
    <w:rsid w:val="00676BB5"/>
    <w:rsid w:val="00677094"/>
    <w:rsid w:val="00680F28"/>
    <w:rsid w:val="006813C8"/>
    <w:rsid w:val="0068265B"/>
    <w:rsid w:val="00684930"/>
    <w:rsid w:val="00685FD5"/>
    <w:rsid w:val="00687214"/>
    <w:rsid w:val="00691330"/>
    <w:rsid w:val="00692238"/>
    <w:rsid w:val="00693812"/>
    <w:rsid w:val="00693E1F"/>
    <w:rsid w:val="006941E5"/>
    <w:rsid w:val="00694DCB"/>
    <w:rsid w:val="0069501D"/>
    <w:rsid w:val="006A01C0"/>
    <w:rsid w:val="006A209D"/>
    <w:rsid w:val="006B02FE"/>
    <w:rsid w:val="006B0978"/>
    <w:rsid w:val="006B148B"/>
    <w:rsid w:val="006B32C8"/>
    <w:rsid w:val="006B56D3"/>
    <w:rsid w:val="006B59BB"/>
    <w:rsid w:val="006B5FE8"/>
    <w:rsid w:val="006B78DB"/>
    <w:rsid w:val="006B7B26"/>
    <w:rsid w:val="006C193F"/>
    <w:rsid w:val="006C30CC"/>
    <w:rsid w:val="006C664F"/>
    <w:rsid w:val="006D23D3"/>
    <w:rsid w:val="006D2863"/>
    <w:rsid w:val="006D4DE3"/>
    <w:rsid w:val="006D6227"/>
    <w:rsid w:val="006D6DD7"/>
    <w:rsid w:val="006D7A0B"/>
    <w:rsid w:val="006E037A"/>
    <w:rsid w:val="006E50E3"/>
    <w:rsid w:val="006E5432"/>
    <w:rsid w:val="006E628B"/>
    <w:rsid w:val="006F00A0"/>
    <w:rsid w:val="006F57D9"/>
    <w:rsid w:val="006F59FE"/>
    <w:rsid w:val="006F5A3C"/>
    <w:rsid w:val="00700BB9"/>
    <w:rsid w:val="00702315"/>
    <w:rsid w:val="00702652"/>
    <w:rsid w:val="007028B7"/>
    <w:rsid w:val="00702FD8"/>
    <w:rsid w:val="0070564C"/>
    <w:rsid w:val="00706101"/>
    <w:rsid w:val="00710D5E"/>
    <w:rsid w:val="00711D04"/>
    <w:rsid w:val="0071300C"/>
    <w:rsid w:val="0071579D"/>
    <w:rsid w:val="007170DD"/>
    <w:rsid w:val="0072393A"/>
    <w:rsid w:val="007260CC"/>
    <w:rsid w:val="00726118"/>
    <w:rsid w:val="007266D1"/>
    <w:rsid w:val="0073116D"/>
    <w:rsid w:val="00732034"/>
    <w:rsid w:val="00733391"/>
    <w:rsid w:val="007334B7"/>
    <w:rsid w:val="0073533B"/>
    <w:rsid w:val="0073566D"/>
    <w:rsid w:val="007361B1"/>
    <w:rsid w:val="00736266"/>
    <w:rsid w:val="00742544"/>
    <w:rsid w:val="00742AD7"/>
    <w:rsid w:val="007447D9"/>
    <w:rsid w:val="00745820"/>
    <w:rsid w:val="00746B26"/>
    <w:rsid w:val="007472F1"/>
    <w:rsid w:val="0074797B"/>
    <w:rsid w:val="00747C60"/>
    <w:rsid w:val="0075054F"/>
    <w:rsid w:val="007515A4"/>
    <w:rsid w:val="00754C48"/>
    <w:rsid w:val="00756666"/>
    <w:rsid w:val="00760FF5"/>
    <w:rsid w:val="00760FFB"/>
    <w:rsid w:val="00761BE6"/>
    <w:rsid w:val="0076274D"/>
    <w:rsid w:val="00763C26"/>
    <w:rsid w:val="0076519D"/>
    <w:rsid w:val="0077094F"/>
    <w:rsid w:val="0077203A"/>
    <w:rsid w:val="007738FB"/>
    <w:rsid w:val="00774AF7"/>
    <w:rsid w:val="00775B6F"/>
    <w:rsid w:val="00775E93"/>
    <w:rsid w:val="00776ACA"/>
    <w:rsid w:val="007775A9"/>
    <w:rsid w:val="00777D1C"/>
    <w:rsid w:val="00780D47"/>
    <w:rsid w:val="00782106"/>
    <w:rsid w:val="007844EF"/>
    <w:rsid w:val="00785C7A"/>
    <w:rsid w:val="00787AC8"/>
    <w:rsid w:val="00790589"/>
    <w:rsid w:val="00790C37"/>
    <w:rsid w:val="00791F4B"/>
    <w:rsid w:val="007931DF"/>
    <w:rsid w:val="007937FF"/>
    <w:rsid w:val="00796852"/>
    <w:rsid w:val="007A00BB"/>
    <w:rsid w:val="007A1EBB"/>
    <w:rsid w:val="007A26DD"/>
    <w:rsid w:val="007A2F9A"/>
    <w:rsid w:val="007B2B91"/>
    <w:rsid w:val="007B36AD"/>
    <w:rsid w:val="007B782F"/>
    <w:rsid w:val="007C154D"/>
    <w:rsid w:val="007C2397"/>
    <w:rsid w:val="007C2861"/>
    <w:rsid w:val="007C344A"/>
    <w:rsid w:val="007C4AAC"/>
    <w:rsid w:val="007C56E9"/>
    <w:rsid w:val="007C736D"/>
    <w:rsid w:val="007D294D"/>
    <w:rsid w:val="007D3095"/>
    <w:rsid w:val="007D3469"/>
    <w:rsid w:val="007D3DD9"/>
    <w:rsid w:val="007D74F1"/>
    <w:rsid w:val="007D7714"/>
    <w:rsid w:val="007E4F55"/>
    <w:rsid w:val="007E7956"/>
    <w:rsid w:val="007F0231"/>
    <w:rsid w:val="007F0DE0"/>
    <w:rsid w:val="007F23C2"/>
    <w:rsid w:val="007F264B"/>
    <w:rsid w:val="007F3A01"/>
    <w:rsid w:val="007F7ACD"/>
    <w:rsid w:val="007F7EEC"/>
    <w:rsid w:val="007F7F37"/>
    <w:rsid w:val="00801206"/>
    <w:rsid w:val="00803364"/>
    <w:rsid w:val="008073C4"/>
    <w:rsid w:val="0080762D"/>
    <w:rsid w:val="00807EF1"/>
    <w:rsid w:val="0081339D"/>
    <w:rsid w:val="0081382D"/>
    <w:rsid w:val="008148C6"/>
    <w:rsid w:val="00814E61"/>
    <w:rsid w:val="0081546B"/>
    <w:rsid w:val="0081571C"/>
    <w:rsid w:val="00815F50"/>
    <w:rsid w:val="00817F0D"/>
    <w:rsid w:val="00830137"/>
    <w:rsid w:val="00830744"/>
    <w:rsid w:val="008379CC"/>
    <w:rsid w:val="00840A55"/>
    <w:rsid w:val="00840CD2"/>
    <w:rsid w:val="00841382"/>
    <w:rsid w:val="00841EF8"/>
    <w:rsid w:val="0084693E"/>
    <w:rsid w:val="00846C78"/>
    <w:rsid w:val="00851CCA"/>
    <w:rsid w:val="008551DA"/>
    <w:rsid w:val="008558E2"/>
    <w:rsid w:val="00856404"/>
    <w:rsid w:val="00857DD0"/>
    <w:rsid w:val="00860D15"/>
    <w:rsid w:val="00861E2E"/>
    <w:rsid w:val="00862B24"/>
    <w:rsid w:val="00863C7F"/>
    <w:rsid w:val="008640A9"/>
    <w:rsid w:val="00865D5F"/>
    <w:rsid w:val="00870B4F"/>
    <w:rsid w:val="0087227B"/>
    <w:rsid w:val="00872451"/>
    <w:rsid w:val="00872775"/>
    <w:rsid w:val="008730E8"/>
    <w:rsid w:val="00873A43"/>
    <w:rsid w:val="008768E1"/>
    <w:rsid w:val="00877CCC"/>
    <w:rsid w:val="0088314F"/>
    <w:rsid w:val="008847BE"/>
    <w:rsid w:val="00885520"/>
    <w:rsid w:val="00893192"/>
    <w:rsid w:val="00895081"/>
    <w:rsid w:val="00895558"/>
    <w:rsid w:val="0089636B"/>
    <w:rsid w:val="00896395"/>
    <w:rsid w:val="008963A7"/>
    <w:rsid w:val="00896A56"/>
    <w:rsid w:val="008A1CCA"/>
    <w:rsid w:val="008A3F40"/>
    <w:rsid w:val="008A610E"/>
    <w:rsid w:val="008A6F77"/>
    <w:rsid w:val="008A701B"/>
    <w:rsid w:val="008A7B11"/>
    <w:rsid w:val="008A7EB6"/>
    <w:rsid w:val="008B210F"/>
    <w:rsid w:val="008B313C"/>
    <w:rsid w:val="008B44B1"/>
    <w:rsid w:val="008B47B1"/>
    <w:rsid w:val="008B539E"/>
    <w:rsid w:val="008B5A28"/>
    <w:rsid w:val="008B5CBB"/>
    <w:rsid w:val="008B69F7"/>
    <w:rsid w:val="008B7396"/>
    <w:rsid w:val="008C0167"/>
    <w:rsid w:val="008D06BA"/>
    <w:rsid w:val="008D1266"/>
    <w:rsid w:val="008D225B"/>
    <w:rsid w:val="008D27E4"/>
    <w:rsid w:val="008D48FA"/>
    <w:rsid w:val="008D66DB"/>
    <w:rsid w:val="008D7436"/>
    <w:rsid w:val="008E1E2C"/>
    <w:rsid w:val="008E2FF8"/>
    <w:rsid w:val="008E3D0D"/>
    <w:rsid w:val="008E4326"/>
    <w:rsid w:val="008F06C2"/>
    <w:rsid w:val="008F0D20"/>
    <w:rsid w:val="008F11F0"/>
    <w:rsid w:val="008F287E"/>
    <w:rsid w:val="008F78B8"/>
    <w:rsid w:val="0090104E"/>
    <w:rsid w:val="00902D11"/>
    <w:rsid w:val="009035D2"/>
    <w:rsid w:val="009039CC"/>
    <w:rsid w:val="009040EE"/>
    <w:rsid w:val="00904F21"/>
    <w:rsid w:val="0091108B"/>
    <w:rsid w:val="009125DF"/>
    <w:rsid w:val="0091271A"/>
    <w:rsid w:val="009128F1"/>
    <w:rsid w:val="00913C55"/>
    <w:rsid w:val="009165FB"/>
    <w:rsid w:val="00923664"/>
    <w:rsid w:val="00923C05"/>
    <w:rsid w:val="009253E0"/>
    <w:rsid w:val="009257B5"/>
    <w:rsid w:val="00930FD0"/>
    <w:rsid w:val="0093279E"/>
    <w:rsid w:val="009337CC"/>
    <w:rsid w:val="00933F8D"/>
    <w:rsid w:val="00934935"/>
    <w:rsid w:val="0093711C"/>
    <w:rsid w:val="0094304F"/>
    <w:rsid w:val="009444FD"/>
    <w:rsid w:val="00944A47"/>
    <w:rsid w:val="00944B1E"/>
    <w:rsid w:val="00945009"/>
    <w:rsid w:val="009454DE"/>
    <w:rsid w:val="009478CD"/>
    <w:rsid w:val="009507D0"/>
    <w:rsid w:val="00952EAD"/>
    <w:rsid w:val="00954E44"/>
    <w:rsid w:val="00956018"/>
    <w:rsid w:val="0096005A"/>
    <w:rsid w:val="00963101"/>
    <w:rsid w:val="00963A5D"/>
    <w:rsid w:val="009640DA"/>
    <w:rsid w:val="00966F74"/>
    <w:rsid w:val="009722AF"/>
    <w:rsid w:val="00974390"/>
    <w:rsid w:val="00975B45"/>
    <w:rsid w:val="009808DC"/>
    <w:rsid w:val="00980981"/>
    <w:rsid w:val="00984EC4"/>
    <w:rsid w:val="009866E4"/>
    <w:rsid w:val="00987439"/>
    <w:rsid w:val="0099056E"/>
    <w:rsid w:val="00991626"/>
    <w:rsid w:val="009918D4"/>
    <w:rsid w:val="00991DB7"/>
    <w:rsid w:val="009968E1"/>
    <w:rsid w:val="009974A0"/>
    <w:rsid w:val="00997C96"/>
    <w:rsid w:val="009A59B2"/>
    <w:rsid w:val="009A62F3"/>
    <w:rsid w:val="009A6A8C"/>
    <w:rsid w:val="009A71DB"/>
    <w:rsid w:val="009B16C5"/>
    <w:rsid w:val="009B1B5D"/>
    <w:rsid w:val="009B2560"/>
    <w:rsid w:val="009B279F"/>
    <w:rsid w:val="009B3C07"/>
    <w:rsid w:val="009B4238"/>
    <w:rsid w:val="009B57EE"/>
    <w:rsid w:val="009B7520"/>
    <w:rsid w:val="009B760B"/>
    <w:rsid w:val="009C08CE"/>
    <w:rsid w:val="009C0AD3"/>
    <w:rsid w:val="009C329A"/>
    <w:rsid w:val="009C77C1"/>
    <w:rsid w:val="009D0784"/>
    <w:rsid w:val="009D16FC"/>
    <w:rsid w:val="009D421A"/>
    <w:rsid w:val="009D42F4"/>
    <w:rsid w:val="009D5066"/>
    <w:rsid w:val="009D554F"/>
    <w:rsid w:val="009D6A5F"/>
    <w:rsid w:val="009D773B"/>
    <w:rsid w:val="009D78AB"/>
    <w:rsid w:val="009E0487"/>
    <w:rsid w:val="009E05F3"/>
    <w:rsid w:val="009E18F0"/>
    <w:rsid w:val="009E1E2A"/>
    <w:rsid w:val="009E3B3A"/>
    <w:rsid w:val="009E6142"/>
    <w:rsid w:val="009E7325"/>
    <w:rsid w:val="009E7BB3"/>
    <w:rsid w:val="009F2F45"/>
    <w:rsid w:val="009F30C8"/>
    <w:rsid w:val="009F3DB0"/>
    <w:rsid w:val="009F533E"/>
    <w:rsid w:val="009F7907"/>
    <w:rsid w:val="00A00064"/>
    <w:rsid w:val="00A011E7"/>
    <w:rsid w:val="00A0166C"/>
    <w:rsid w:val="00A02347"/>
    <w:rsid w:val="00A042E7"/>
    <w:rsid w:val="00A117EC"/>
    <w:rsid w:val="00A11FF0"/>
    <w:rsid w:val="00A14146"/>
    <w:rsid w:val="00A153AC"/>
    <w:rsid w:val="00A1574D"/>
    <w:rsid w:val="00A15C41"/>
    <w:rsid w:val="00A1676B"/>
    <w:rsid w:val="00A1797E"/>
    <w:rsid w:val="00A203EF"/>
    <w:rsid w:val="00A214A9"/>
    <w:rsid w:val="00A2200F"/>
    <w:rsid w:val="00A227F4"/>
    <w:rsid w:val="00A31CB2"/>
    <w:rsid w:val="00A32E26"/>
    <w:rsid w:val="00A37C0E"/>
    <w:rsid w:val="00A41335"/>
    <w:rsid w:val="00A41C87"/>
    <w:rsid w:val="00A424F1"/>
    <w:rsid w:val="00A42A3C"/>
    <w:rsid w:val="00A459D1"/>
    <w:rsid w:val="00A46ACD"/>
    <w:rsid w:val="00A46AD9"/>
    <w:rsid w:val="00A47FC3"/>
    <w:rsid w:val="00A5050C"/>
    <w:rsid w:val="00A50822"/>
    <w:rsid w:val="00A51289"/>
    <w:rsid w:val="00A51EE4"/>
    <w:rsid w:val="00A56B6C"/>
    <w:rsid w:val="00A57D8B"/>
    <w:rsid w:val="00A63B66"/>
    <w:rsid w:val="00A655CB"/>
    <w:rsid w:val="00A65735"/>
    <w:rsid w:val="00A72410"/>
    <w:rsid w:val="00A73630"/>
    <w:rsid w:val="00A76223"/>
    <w:rsid w:val="00A76322"/>
    <w:rsid w:val="00A77EA2"/>
    <w:rsid w:val="00A83F5D"/>
    <w:rsid w:val="00A84A17"/>
    <w:rsid w:val="00A85471"/>
    <w:rsid w:val="00A8581C"/>
    <w:rsid w:val="00A86386"/>
    <w:rsid w:val="00A91105"/>
    <w:rsid w:val="00A91B27"/>
    <w:rsid w:val="00A91BA2"/>
    <w:rsid w:val="00A9263A"/>
    <w:rsid w:val="00A957DC"/>
    <w:rsid w:val="00A97421"/>
    <w:rsid w:val="00A97859"/>
    <w:rsid w:val="00AA0248"/>
    <w:rsid w:val="00AA2C4B"/>
    <w:rsid w:val="00AA4C44"/>
    <w:rsid w:val="00AA6F30"/>
    <w:rsid w:val="00AA7422"/>
    <w:rsid w:val="00AC035E"/>
    <w:rsid w:val="00AC0C20"/>
    <w:rsid w:val="00AC14B7"/>
    <w:rsid w:val="00AC379E"/>
    <w:rsid w:val="00AC4651"/>
    <w:rsid w:val="00AC729C"/>
    <w:rsid w:val="00AC72F3"/>
    <w:rsid w:val="00AC7E85"/>
    <w:rsid w:val="00AD059B"/>
    <w:rsid w:val="00AD1127"/>
    <w:rsid w:val="00AD1DAB"/>
    <w:rsid w:val="00AD209D"/>
    <w:rsid w:val="00AD36D9"/>
    <w:rsid w:val="00AD4629"/>
    <w:rsid w:val="00AD4C9C"/>
    <w:rsid w:val="00AD73B1"/>
    <w:rsid w:val="00AD76A4"/>
    <w:rsid w:val="00AE133D"/>
    <w:rsid w:val="00AE3068"/>
    <w:rsid w:val="00AE51CD"/>
    <w:rsid w:val="00AF7A11"/>
    <w:rsid w:val="00B04397"/>
    <w:rsid w:val="00B05194"/>
    <w:rsid w:val="00B065CD"/>
    <w:rsid w:val="00B07599"/>
    <w:rsid w:val="00B10827"/>
    <w:rsid w:val="00B1120A"/>
    <w:rsid w:val="00B1374D"/>
    <w:rsid w:val="00B13D7B"/>
    <w:rsid w:val="00B13E6D"/>
    <w:rsid w:val="00B16CE3"/>
    <w:rsid w:val="00B21ACB"/>
    <w:rsid w:val="00B22268"/>
    <w:rsid w:val="00B23097"/>
    <w:rsid w:val="00B23B93"/>
    <w:rsid w:val="00B3077A"/>
    <w:rsid w:val="00B30C69"/>
    <w:rsid w:val="00B334FE"/>
    <w:rsid w:val="00B33723"/>
    <w:rsid w:val="00B33960"/>
    <w:rsid w:val="00B33B7A"/>
    <w:rsid w:val="00B34C21"/>
    <w:rsid w:val="00B362B3"/>
    <w:rsid w:val="00B37450"/>
    <w:rsid w:val="00B378F6"/>
    <w:rsid w:val="00B4180D"/>
    <w:rsid w:val="00B41DB9"/>
    <w:rsid w:val="00B4210F"/>
    <w:rsid w:val="00B42830"/>
    <w:rsid w:val="00B453EC"/>
    <w:rsid w:val="00B463EE"/>
    <w:rsid w:val="00B47F7A"/>
    <w:rsid w:val="00B51BA3"/>
    <w:rsid w:val="00B51FBB"/>
    <w:rsid w:val="00B533C4"/>
    <w:rsid w:val="00B53849"/>
    <w:rsid w:val="00B540F3"/>
    <w:rsid w:val="00B56E44"/>
    <w:rsid w:val="00B602F3"/>
    <w:rsid w:val="00B60443"/>
    <w:rsid w:val="00B620BA"/>
    <w:rsid w:val="00B6226F"/>
    <w:rsid w:val="00B62C14"/>
    <w:rsid w:val="00B65CCF"/>
    <w:rsid w:val="00B66B34"/>
    <w:rsid w:val="00B66C27"/>
    <w:rsid w:val="00B67BA6"/>
    <w:rsid w:val="00B7194C"/>
    <w:rsid w:val="00B74ED5"/>
    <w:rsid w:val="00B77E93"/>
    <w:rsid w:val="00B8001A"/>
    <w:rsid w:val="00B86365"/>
    <w:rsid w:val="00B86E9A"/>
    <w:rsid w:val="00B87A42"/>
    <w:rsid w:val="00B87F2A"/>
    <w:rsid w:val="00B91BD6"/>
    <w:rsid w:val="00B934D9"/>
    <w:rsid w:val="00B93F84"/>
    <w:rsid w:val="00B94710"/>
    <w:rsid w:val="00B97325"/>
    <w:rsid w:val="00BA084F"/>
    <w:rsid w:val="00BA0CB1"/>
    <w:rsid w:val="00BA0ED0"/>
    <w:rsid w:val="00BA21CD"/>
    <w:rsid w:val="00BA4AC1"/>
    <w:rsid w:val="00BA5E5A"/>
    <w:rsid w:val="00BA6183"/>
    <w:rsid w:val="00BA6444"/>
    <w:rsid w:val="00BB01EF"/>
    <w:rsid w:val="00BB400A"/>
    <w:rsid w:val="00BB7207"/>
    <w:rsid w:val="00BC0E5A"/>
    <w:rsid w:val="00BC30FE"/>
    <w:rsid w:val="00BC3291"/>
    <w:rsid w:val="00BC73C1"/>
    <w:rsid w:val="00BC7418"/>
    <w:rsid w:val="00BC795F"/>
    <w:rsid w:val="00BC7B3A"/>
    <w:rsid w:val="00BD0E9C"/>
    <w:rsid w:val="00BD2FDF"/>
    <w:rsid w:val="00BD39CE"/>
    <w:rsid w:val="00BD43A1"/>
    <w:rsid w:val="00BD4E6D"/>
    <w:rsid w:val="00BD6517"/>
    <w:rsid w:val="00BD6F05"/>
    <w:rsid w:val="00BE0E5B"/>
    <w:rsid w:val="00BE280E"/>
    <w:rsid w:val="00BE305E"/>
    <w:rsid w:val="00BE3A88"/>
    <w:rsid w:val="00BE46E1"/>
    <w:rsid w:val="00BE5AFB"/>
    <w:rsid w:val="00BE6228"/>
    <w:rsid w:val="00BE64DF"/>
    <w:rsid w:val="00BF26BB"/>
    <w:rsid w:val="00BF2962"/>
    <w:rsid w:val="00BF35C0"/>
    <w:rsid w:val="00BF3899"/>
    <w:rsid w:val="00BF603E"/>
    <w:rsid w:val="00BF65F0"/>
    <w:rsid w:val="00C01D20"/>
    <w:rsid w:val="00C026EF"/>
    <w:rsid w:val="00C0272C"/>
    <w:rsid w:val="00C03790"/>
    <w:rsid w:val="00C04DEF"/>
    <w:rsid w:val="00C0508B"/>
    <w:rsid w:val="00C057A6"/>
    <w:rsid w:val="00C05B9D"/>
    <w:rsid w:val="00C066E2"/>
    <w:rsid w:val="00C07245"/>
    <w:rsid w:val="00C13D68"/>
    <w:rsid w:val="00C179E8"/>
    <w:rsid w:val="00C17E61"/>
    <w:rsid w:val="00C203CF"/>
    <w:rsid w:val="00C203F3"/>
    <w:rsid w:val="00C23B80"/>
    <w:rsid w:val="00C23BBD"/>
    <w:rsid w:val="00C26FA5"/>
    <w:rsid w:val="00C304DE"/>
    <w:rsid w:val="00C3112C"/>
    <w:rsid w:val="00C318DE"/>
    <w:rsid w:val="00C32E08"/>
    <w:rsid w:val="00C337A9"/>
    <w:rsid w:val="00C33C33"/>
    <w:rsid w:val="00C35324"/>
    <w:rsid w:val="00C356D8"/>
    <w:rsid w:val="00C36323"/>
    <w:rsid w:val="00C36638"/>
    <w:rsid w:val="00C37028"/>
    <w:rsid w:val="00C44CCE"/>
    <w:rsid w:val="00C46A72"/>
    <w:rsid w:val="00C478CB"/>
    <w:rsid w:val="00C505E5"/>
    <w:rsid w:val="00C54369"/>
    <w:rsid w:val="00C54D7A"/>
    <w:rsid w:val="00C56EA4"/>
    <w:rsid w:val="00C601B4"/>
    <w:rsid w:val="00C61580"/>
    <w:rsid w:val="00C63AFB"/>
    <w:rsid w:val="00C65074"/>
    <w:rsid w:val="00C6515A"/>
    <w:rsid w:val="00C6519F"/>
    <w:rsid w:val="00C67C2D"/>
    <w:rsid w:val="00C72278"/>
    <w:rsid w:val="00C73154"/>
    <w:rsid w:val="00C75CBA"/>
    <w:rsid w:val="00C778FB"/>
    <w:rsid w:val="00C804C5"/>
    <w:rsid w:val="00C83099"/>
    <w:rsid w:val="00C841C8"/>
    <w:rsid w:val="00C843CE"/>
    <w:rsid w:val="00C85A2A"/>
    <w:rsid w:val="00C863AE"/>
    <w:rsid w:val="00C90D46"/>
    <w:rsid w:val="00C91216"/>
    <w:rsid w:val="00C92EC3"/>
    <w:rsid w:val="00C9315F"/>
    <w:rsid w:val="00C94FB0"/>
    <w:rsid w:val="00C95DEE"/>
    <w:rsid w:val="00CA5EB9"/>
    <w:rsid w:val="00CA65D1"/>
    <w:rsid w:val="00CA722A"/>
    <w:rsid w:val="00CA72E6"/>
    <w:rsid w:val="00CB2E9F"/>
    <w:rsid w:val="00CB4505"/>
    <w:rsid w:val="00CB548B"/>
    <w:rsid w:val="00CB6F15"/>
    <w:rsid w:val="00CB7035"/>
    <w:rsid w:val="00CC0F24"/>
    <w:rsid w:val="00CC155C"/>
    <w:rsid w:val="00CC19B1"/>
    <w:rsid w:val="00CC19E0"/>
    <w:rsid w:val="00CC40AE"/>
    <w:rsid w:val="00CC57C4"/>
    <w:rsid w:val="00CC581D"/>
    <w:rsid w:val="00CC5C3C"/>
    <w:rsid w:val="00CC7030"/>
    <w:rsid w:val="00CD0021"/>
    <w:rsid w:val="00CD0A23"/>
    <w:rsid w:val="00CD1BBB"/>
    <w:rsid w:val="00CD3393"/>
    <w:rsid w:val="00CD3B3E"/>
    <w:rsid w:val="00CD6ED6"/>
    <w:rsid w:val="00CD77A8"/>
    <w:rsid w:val="00CE02C7"/>
    <w:rsid w:val="00CE060E"/>
    <w:rsid w:val="00CE34CA"/>
    <w:rsid w:val="00CE5055"/>
    <w:rsid w:val="00CE6A3E"/>
    <w:rsid w:val="00CE7AA9"/>
    <w:rsid w:val="00CF0AAA"/>
    <w:rsid w:val="00CF2F2F"/>
    <w:rsid w:val="00CF321A"/>
    <w:rsid w:val="00CF3824"/>
    <w:rsid w:val="00CF42EC"/>
    <w:rsid w:val="00CF44CA"/>
    <w:rsid w:val="00CF4A1B"/>
    <w:rsid w:val="00CF5E36"/>
    <w:rsid w:val="00CF6A49"/>
    <w:rsid w:val="00CF7911"/>
    <w:rsid w:val="00CF7B1D"/>
    <w:rsid w:val="00D005C0"/>
    <w:rsid w:val="00D00CB1"/>
    <w:rsid w:val="00D01BB0"/>
    <w:rsid w:val="00D03632"/>
    <w:rsid w:val="00D03750"/>
    <w:rsid w:val="00D04CE0"/>
    <w:rsid w:val="00D06177"/>
    <w:rsid w:val="00D073B1"/>
    <w:rsid w:val="00D10C36"/>
    <w:rsid w:val="00D12D0A"/>
    <w:rsid w:val="00D132EF"/>
    <w:rsid w:val="00D134AC"/>
    <w:rsid w:val="00D156FE"/>
    <w:rsid w:val="00D15845"/>
    <w:rsid w:val="00D15B36"/>
    <w:rsid w:val="00D2056B"/>
    <w:rsid w:val="00D20B71"/>
    <w:rsid w:val="00D22459"/>
    <w:rsid w:val="00D22AB8"/>
    <w:rsid w:val="00D25B22"/>
    <w:rsid w:val="00D26CF6"/>
    <w:rsid w:val="00D27802"/>
    <w:rsid w:val="00D3067A"/>
    <w:rsid w:val="00D30E6B"/>
    <w:rsid w:val="00D32F0C"/>
    <w:rsid w:val="00D34FBD"/>
    <w:rsid w:val="00D36DEA"/>
    <w:rsid w:val="00D371A7"/>
    <w:rsid w:val="00D41221"/>
    <w:rsid w:val="00D42517"/>
    <w:rsid w:val="00D42B58"/>
    <w:rsid w:val="00D43523"/>
    <w:rsid w:val="00D44A0D"/>
    <w:rsid w:val="00D451BC"/>
    <w:rsid w:val="00D45D21"/>
    <w:rsid w:val="00D46AAD"/>
    <w:rsid w:val="00D46CB0"/>
    <w:rsid w:val="00D47E14"/>
    <w:rsid w:val="00D522B6"/>
    <w:rsid w:val="00D5283E"/>
    <w:rsid w:val="00D52DFC"/>
    <w:rsid w:val="00D54C07"/>
    <w:rsid w:val="00D55374"/>
    <w:rsid w:val="00D55AFD"/>
    <w:rsid w:val="00D650FD"/>
    <w:rsid w:val="00D65395"/>
    <w:rsid w:val="00D65BD6"/>
    <w:rsid w:val="00D65E2C"/>
    <w:rsid w:val="00D6741A"/>
    <w:rsid w:val="00D67869"/>
    <w:rsid w:val="00D705E5"/>
    <w:rsid w:val="00D72BD2"/>
    <w:rsid w:val="00D77CA5"/>
    <w:rsid w:val="00D8254A"/>
    <w:rsid w:val="00D849C6"/>
    <w:rsid w:val="00D85D9B"/>
    <w:rsid w:val="00D86AFD"/>
    <w:rsid w:val="00D86E7A"/>
    <w:rsid w:val="00D92F32"/>
    <w:rsid w:val="00D9683A"/>
    <w:rsid w:val="00DA11B5"/>
    <w:rsid w:val="00DA4FB5"/>
    <w:rsid w:val="00DB04E1"/>
    <w:rsid w:val="00DB2364"/>
    <w:rsid w:val="00DB3BCC"/>
    <w:rsid w:val="00DB6726"/>
    <w:rsid w:val="00DC071E"/>
    <w:rsid w:val="00DC11B0"/>
    <w:rsid w:val="00DC21D5"/>
    <w:rsid w:val="00DC5630"/>
    <w:rsid w:val="00DC5EC8"/>
    <w:rsid w:val="00DD3FDD"/>
    <w:rsid w:val="00DD41A5"/>
    <w:rsid w:val="00DD6D3C"/>
    <w:rsid w:val="00DE0BF6"/>
    <w:rsid w:val="00DE1B96"/>
    <w:rsid w:val="00DE1C0C"/>
    <w:rsid w:val="00DE2DBC"/>
    <w:rsid w:val="00DE755B"/>
    <w:rsid w:val="00DF16C9"/>
    <w:rsid w:val="00DF2EDA"/>
    <w:rsid w:val="00DF4347"/>
    <w:rsid w:val="00DF6DEF"/>
    <w:rsid w:val="00DF6F0F"/>
    <w:rsid w:val="00E0167F"/>
    <w:rsid w:val="00E01E5A"/>
    <w:rsid w:val="00E03311"/>
    <w:rsid w:val="00E06E4F"/>
    <w:rsid w:val="00E10200"/>
    <w:rsid w:val="00E1056F"/>
    <w:rsid w:val="00E11602"/>
    <w:rsid w:val="00E11DB5"/>
    <w:rsid w:val="00E12365"/>
    <w:rsid w:val="00E12AD2"/>
    <w:rsid w:val="00E132D3"/>
    <w:rsid w:val="00E17D2D"/>
    <w:rsid w:val="00E213A4"/>
    <w:rsid w:val="00E21B0C"/>
    <w:rsid w:val="00E220EB"/>
    <w:rsid w:val="00E23C16"/>
    <w:rsid w:val="00E24AD6"/>
    <w:rsid w:val="00E26FE0"/>
    <w:rsid w:val="00E304B5"/>
    <w:rsid w:val="00E31948"/>
    <w:rsid w:val="00E3282A"/>
    <w:rsid w:val="00E3412A"/>
    <w:rsid w:val="00E3678D"/>
    <w:rsid w:val="00E37316"/>
    <w:rsid w:val="00E40E01"/>
    <w:rsid w:val="00E4263C"/>
    <w:rsid w:val="00E42C34"/>
    <w:rsid w:val="00E43648"/>
    <w:rsid w:val="00E46E70"/>
    <w:rsid w:val="00E47114"/>
    <w:rsid w:val="00E47CF6"/>
    <w:rsid w:val="00E52E86"/>
    <w:rsid w:val="00E5447C"/>
    <w:rsid w:val="00E54879"/>
    <w:rsid w:val="00E54DEB"/>
    <w:rsid w:val="00E54FD2"/>
    <w:rsid w:val="00E56044"/>
    <w:rsid w:val="00E56298"/>
    <w:rsid w:val="00E56A98"/>
    <w:rsid w:val="00E56F53"/>
    <w:rsid w:val="00E574B2"/>
    <w:rsid w:val="00E60226"/>
    <w:rsid w:val="00E6101A"/>
    <w:rsid w:val="00E6348D"/>
    <w:rsid w:val="00E64F42"/>
    <w:rsid w:val="00E7092D"/>
    <w:rsid w:val="00E710B5"/>
    <w:rsid w:val="00E725CF"/>
    <w:rsid w:val="00E73558"/>
    <w:rsid w:val="00E73939"/>
    <w:rsid w:val="00E74C62"/>
    <w:rsid w:val="00E74D61"/>
    <w:rsid w:val="00E7723E"/>
    <w:rsid w:val="00E77C50"/>
    <w:rsid w:val="00E80D80"/>
    <w:rsid w:val="00E80F48"/>
    <w:rsid w:val="00E8158C"/>
    <w:rsid w:val="00E84302"/>
    <w:rsid w:val="00E8723D"/>
    <w:rsid w:val="00E9429A"/>
    <w:rsid w:val="00E94EB0"/>
    <w:rsid w:val="00E965C2"/>
    <w:rsid w:val="00E97217"/>
    <w:rsid w:val="00EA328A"/>
    <w:rsid w:val="00EA5411"/>
    <w:rsid w:val="00EA6B62"/>
    <w:rsid w:val="00EA6DCC"/>
    <w:rsid w:val="00EA7354"/>
    <w:rsid w:val="00EB0A83"/>
    <w:rsid w:val="00EB2663"/>
    <w:rsid w:val="00EB3315"/>
    <w:rsid w:val="00EB354B"/>
    <w:rsid w:val="00EB3E80"/>
    <w:rsid w:val="00EB5D83"/>
    <w:rsid w:val="00EB621E"/>
    <w:rsid w:val="00EC0FAE"/>
    <w:rsid w:val="00EC4393"/>
    <w:rsid w:val="00EC5A95"/>
    <w:rsid w:val="00EC7634"/>
    <w:rsid w:val="00ED09A7"/>
    <w:rsid w:val="00ED12BB"/>
    <w:rsid w:val="00ED1FBC"/>
    <w:rsid w:val="00ED5737"/>
    <w:rsid w:val="00ED5FBB"/>
    <w:rsid w:val="00EE0D11"/>
    <w:rsid w:val="00EE20E7"/>
    <w:rsid w:val="00EE30EE"/>
    <w:rsid w:val="00EE4CB2"/>
    <w:rsid w:val="00EE6DA2"/>
    <w:rsid w:val="00EE72EB"/>
    <w:rsid w:val="00EE7879"/>
    <w:rsid w:val="00EF2505"/>
    <w:rsid w:val="00EF2534"/>
    <w:rsid w:val="00F032A9"/>
    <w:rsid w:val="00F03DF4"/>
    <w:rsid w:val="00F04161"/>
    <w:rsid w:val="00F054C3"/>
    <w:rsid w:val="00F1302B"/>
    <w:rsid w:val="00F131E3"/>
    <w:rsid w:val="00F1442A"/>
    <w:rsid w:val="00F15E24"/>
    <w:rsid w:val="00F15E3E"/>
    <w:rsid w:val="00F15EDE"/>
    <w:rsid w:val="00F17B11"/>
    <w:rsid w:val="00F17E39"/>
    <w:rsid w:val="00F20CF0"/>
    <w:rsid w:val="00F22556"/>
    <w:rsid w:val="00F23BF2"/>
    <w:rsid w:val="00F2432F"/>
    <w:rsid w:val="00F25EF8"/>
    <w:rsid w:val="00F269F1"/>
    <w:rsid w:val="00F27097"/>
    <w:rsid w:val="00F27C9E"/>
    <w:rsid w:val="00F302F5"/>
    <w:rsid w:val="00F31616"/>
    <w:rsid w:val="00F331A1"/>
    <w:rsid w:val="00F347E9"/>
    <w:rsid w:val="00F35717"/>
    <w:rsid w:val="00F37299"/>
    <w:rsid w:val="00F44225"/>
    <w:rsid w:val="00F5065A"/>
    <w:rsid w:val="00F52401"/>
    <w:rsid w:val="00F56DFD"/>
    <w:rsid w:val="00F613CD"/>
    <w:rsid w:val="00F615C8"/>
    <w:rsid w:val="00F61F40"/>
    <w:rsid w:val="00F67000"/>
    <w:rsid w:val="00F67ACE"/>
    <w:rsid w:val="00F67B13"/>
    <w:rsid w:val="00F67B3D"/>
    <w:rsid w:val="00F702FA"/>
    <w:rsid w:val="00F70650"/>
    <w:rsid w:val="00F72B0D"/>
    <w:rsid w:val="00F730F5"/>
    <w:rsid w:val="00F73F3F"/>
    <w:rsid w:val="00F74496"/>
    <w:rsid w:val="00F75B00"/>
    <w:rsid w:val="00F75BAD"/>
    <w:rsid w:val="00F761BB"/>
    <w:rsid w:val="00F76AD6"/>
    <w:rsid w:val="00F76EFB"/>
    <w:rsid w:val="00F76FEB"/>
    <w:rsid w:val="00F77FA0"/>
    <w:rsid w:val="00F80226"/>
    <w:rsid w:val="00F86CD2"/>
    <w:rsid w:val="00F87BFA"/>
    <w:rsid w:val="00F87C4F"/>
    <w:rsid w:val="00F9015E"/>
    <w:rsid w:val="00F9301D"/>
    <w:rsid w:val="00F94EDF"/>
    <w:rsid w:val="00F95445"/>
    <w:rsid w:val="00F96C01"/>
    <w:rsid w:val="00F96E44"/>
    <w:rsid w:val="00FA61F2"/>
    <w:rsid w:val="00FA6928"/>
    <w:rsid w:val="00FA7CBC"/>
    <w:rsid w:val="00FB38D5"/>
    <w:rsid w:val="00FB7AAF"/>
    <w:rsid w:val="00FC078C"/>
    <w:rsid w:val="00FC3ED8"/>
    <w:rsid w:val="00FC6EA4"/>
    <w:rsid w:val="00FD052C"/>
    <w:rsid w:val="00FD2281"/>
    <w:rsid w:val="00FD3696"/>
    <w:rsid w:val="00FD4E9D"/>
    <w:rsid w:val="00FD656C"/>
    <w:rsid w:val="00FD6F24"/>
    <w:rsid w:val="00FD6F68"/>
    <w:rsid w:val="00FE5B7C"/>
    <w:rsid w:val="00FE6A50"/>
    <w:rsid w:val="00FF0559"/>
    <w:rsid w:val="00FF05A4"/>
    <w:rsid w:val="00FF1F3E"/>
    <w:rsid w:val="00FF3D0D"/>
    <w:rsid w:val="00FF3FDF"/>
    <w:rsid w:val="00FF4530"/>
    <w:rsid w:val="00FF4599"/>
    <w:rsid w:val="00FF505C"/>
    <w:rsid w:val="00FF5ED6"/>
    <w:rsid w:val="029641AA"/>
    <w:rsid w:val="032D31C2"/>
    <w:rsid w:val="034D56D9"/>
    <w:rsid w:val="03AE2338"/>
    <w:rsid w:val="03B87990"/>
    <w:rsid w:val="041159FA"/>
    <w:rsid w:val="04833C85"/>
    <w:rsid w:val="048617EB"/>
    <w:rsid w:val="05EF6911"/>
    <w:rsid w:val="06090165"/>
    <w:rsid w:val="07404C3C"/>
    <w:rsid w:val="07A3789D"/>
    <w:rsid w:val="07ED19E8"/>
    <w:rsid w:val="08225C00"/>
    <w:rsid w:val="09485807"/>
    <w:rsid w:val="096E14B3"/>
    <w:rsid w:val="097C75B5"/>
    <w:rsid w:val="097C7F3E"/>
    <w:rsid w:val="098B3F5B"/>
    <w:rsid w:val="0C222E3B"/>
    <w:rsid w:val="0C2B5ABF"/>
    <w:rsid w:val="0D2255D2"/>
    <w:rsid w:val="0D783E02"/>
    <w:rsid w:val="0D961194"/>
    <w:rsid w:val="0DA040E4"/>
    <w:rsid w:val="0DEF5EA9"/>
    <w:rsid w:val="0FA47DF2"/>
    <w:rsid w:val="0FAB6210"/>
    <w:rsid w:val="114B3AA0"/>
    <w:rsid w:val="12720AF9"/>
    <w:rsid w:val="12FF1DCD"/>
    <w:rsid w:val="135F7909"/>
    <w:rsid w:val="141B356F"/>
    <w:rsid w:val="1421490C"/>
    <w:rsid w:val="1450179C"/>
    <w:rsid w:val="14B922F8"/>
    <w:rsid w:val="14B92820"/>
    <w:rsid w:val="17086981"/>
    <w:rsid w:val="18572E48"/>
    <w:rsid w:val="194F2454"/>
    <w:rsid w:val="19772984"/>
    <w:rsid w:val="1A987987"/>
    <w:rsid w:val="1AB05A50"/>
    <w:rsid w:val="1D881D23"/>
    <w:rsid w:val="206C2F35"/>
    <w:rsid w:val="207F5AAA"/>
    <w:rsid w:val="20DD7870"/>
    <w:rsid w:val="214B7736"/>
    <w:rsid w:val="23372A80"/>
    <w:rsid w:val="25DA057D"/>
    <w:rsid w:val="26534169"/>
    <w:rsid w:val="27AC59D4"/>
    <w:rsid w:val="2855451D"/>
    <w:rsid w:val="28617066"/>
    <w:rsid w:val="28F922BC"/>
    <w:rsid w:val="2B891E1C"/>
    <w:rsid w:val="2B973A61"/>
    <w:rsid w:val="2C1B7207"/>
    <w:rsid w:val="2E3711A6"/>
    <w:rsid w:val="2E91450F"/>
    <w:rsid w:val="2FFB4387"/>
    <w:rsid w:val="30E0075F"/>
    <w:rsid w:val="310704BF"/>
    <w:rsid w:val="318C7850"/>
    <w:rsid w:val="31B45EC9"/>
    <w:rsid w:val="33154C2D"/>
    <w:rsid w:val="341C3082"/>
    <w:rsid w:val="34352DEB"/>
    <w:rsid w:val="349B14DD"/>
    <w:rsid w:val="34BD3FB4"/>
    <w:rsid w:val="34C951CC"/>
    <w:rsid w:val="34FB5AA8"/>
    <w:rsid w:val="350B7733"/>
    <w:rsid w:val="35BE73C4"/>
    <w:rsid w:val="36517C33"/>
    <w:rsid w:val="370772C1"/>
    <w:rsid w:val="38AA0F31"/>
    <w:rsid w:val="3A103F57"/>
    <w:rsid w:val="3BD97BA0"/>
    <w:rsid w:val="3D0E6008"/>
    <w:rsid w:val="3D691640"/>
    <w:rsid w:val="3E717222"/>
    <w:rsid w:val="3EB83C47"/>
    <w:rsid w:val="3ED31852"/>
    <w:rsid w:val="3F695128"/>
    <w:rsid w:val="3F6F0715"/>
    <w:rsid w:val="3FB912F8"/>
    <w:rsid w:val="3FCE535D"/>
    <w:rsid w:val="401744E3"/>
    <w:rsid w:val="404B43B7"/>
    <w:rsid w:val="40ED4882"/>
    <w:rsid w:val="43536EFE"/>
    <w:rsid w:val="445015D4"/>
    <w:rsid w:val="44A01E33"/>
    <w:rsid w:val="451520F9"/>
    <w:rsid w:val="47827958"/>
    <w:rsid w:val="479B4DD1"/>
    <w:rsid w:val="496F39A3"/>
    <w:rsid w:val="4A633296"/>
    <w:rsid w:val="4B60281A"/>
    <w:rsid w:val="4C52098A"/>
    <w:rsid w:val="4D6C745C"/>
    <w:rsid w:val="4EA0753B"/>
    <w:rsid w:val="4F07144A"/>
    <w:rsid w:val="514B1E21"/>
    <w:rsid w:val="521B286C"/>
    <w:rsid w:val="525272EE"/>
    <w:rsid w:val="52787FDA"/>
    <w:rsid w:val="528C72B0"/>
    <w:rsid w:val="52CA3976"/>
    <w:rsid w:val="54061581"/>
    <w:rsid w:val="543673E7"/>
    <w:rsid w:val="55283E48"/>
    <w:rsid w:val="5550633E"/>
    <w:rsid w:val="55B4172B"/>
    <w:rsid w:val="55C711C3"/>
    <w:rsid w:val="56F70D1F"/>
    <w:rsid w:val="593D55A1"/>
    <w:rsid w:val="5AB04BD0"/>
    <w:rsid w:val="5AC94244"/>
    <w:rsid w:val="5B13077E"/>
    <w:rsid w:val="5B1B05AC"/>
    <w:rsid w:val="5C0A04F6"/>
    <w:rsid w:val="5C8F63C6"/>
    <w:rsid w:val="5D8E54FD"/>
    <w:rsid w:val="5DA06129"/>
    <w:rsid w:val="5E9273F2"/>
    <w:rsid w:val="610054B2"/>
    <w:rsid w:val="6135046C"/>
    <w:rsid w:val="61F1293A"/>
    <w:rsid w:val="62852C5D"/>
    <w:rsid w:val="62966DA1"/>
    <w:rsid w:val="62CE314F"/>
    <w:rsid w:val="64F313AE"/>
    <w:rsid w:val="655143CF"/>
    <w:rsid w:val="66833B41"/>
    <w:rsid w:val="680A06F4"/>
    <w:rsid w:val="68AE5C18"/>
    <w:rsid w:val="692F0747"/>
    <w:rsid w:val="697A7627"/>
    <w:rsid w:val="6BBD49BD"/>
    <w:rsid w:val="6C232B6E"/>
    <w:rsid w:val="6D12630D"/>
    <w:rsid w:val="6DBE4DC4"/>
    <w:rsid w:val="6DD923EE"/>
    <w:rsid w:val="6F2B3723"/>
    <w:rsid w:val="6FAC442F"/>
    <w:rsid w:val="708E2419"/>
    <w:rsid w:val="71B97C54"/>
    <w:rsid w:val="71D14599"/>
    <w:rsid w:val="72830938"/>
    <w:rsid w:val="73036DC3"/>
    <w:rsid w:val="73B120A9"/>
    <w:rsid w:val="73ED1608"/>
    <w:rsid w:val="7511011E"/>
    <w:rsid w:val="75320FFF"/>
    <w:rsid w:val="757A6675"/>
    <w:rsid w:val="758B3EFB"/>
    <w:rsid w:val="75B33EA0"/>
    <w:rsid w:val="75D44A67"/>
    <w:rsid w:val="7670631C"/>
    <w:rsid w:val="767232FD"/>
    <w:rsid w:val="76A538FA"/>
    <w:rsid w:val="77B71100"/>
    <w:rsid w:val="77DB0C75"/>
    <w:rsid w:val="77E5226C"/>
    <w:rsid w:val="78C54614"/>
    <w:rsid w:val="78C57FA3"/>
    <w:rsid w:val="79400893"/>
    <w:rsid w:val="7A27548E"/>
    <w:rsid w:val="7A2A6FDD"/>
    <w:rsid w:val="7A5D0CE9"/>
    <w:rsid w:val="7ABC25F2"/>
    <w:rsid w:val="7AC61980"/>
    <w:rsid w:val="7C511CFB"/>
    <w:rsid w:val="7CE109A1"/>
    <w:rsid w:val="7D91083F"/>
    <w:rsid w:val="7DB2104E"/>
    <w:rsid w:val="7E1A65EE"/>
    <w:rsid w:val="7E671363"/>
    <w:rsid w:val="7EB76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99"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qFormat="1" w:unhideWhenUsed="0" w:uiPriority="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name="Body Text First Indent"/>
    <w:lsdException w:uiPriority="99" w:name="Body Text First Indent 2"/>
    <w:lsdException w:uiPriority="99" w:name="Note Heading"/>
    <w:lsdException w:qFormat="1"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5"/>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4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51"/>
    <w:unhideWhenUsed/>
    <w:qFormat/>
    <w:uiPriority w:val="0"/>
    <w:pPr>
      <w:keepNext/>
      <w:keepLines/>
      <w:spacing w:before="260" w:after="260" w:line="416" w:lineRule="auto"/>
      <w:outlineLvl w:val="2"/>
    </w:pPr>
    <w:rPr>
      <w:b/>
      <w:bCs/>
      <w:sz w:val="32"/>
      <w:szCs w:val="32"/>
    </w:rPr>
  </w:style>
  <w:style w:type="paragraph" w:styleId="7">
    <w:name w:val="heading 4"/>
    <w:basedOn w:val="8"/>
    <w:next w:val="8"/>
    <w:link w:val="52"/>
    <w:unhideWhenUsed/>
    <w:qFormat/>
    <w:uiPriority w:val="0"/>
    <w:pPr>
      <w:keepNext/>
      <w:keepLines/>
      <w:ind w:firstLine="0" w:firstLineChars="0"/>
      <w:outlineLvl w:val="3"/>
    </w:pPr>
    <w:rPr>
      <w:rFonts w:cstheme="majorBidi"/>
      <w:b/>
      <w:bCs/>
      <w:szCs w:val="28"/>
    </w:rPr>
  </w:style>
  <w:style w:type="paragraph" w:styleId="9">
    <w:name w:val="heading 5"/>
    <w:basedOn w:val="1"/>
    <w:next w:val="10"/>
    <w:link w:val="78"/>
    <w:qFormat/>
    <w:uiPriority w:val="0"/>
    <w:pPr>
      <w:keepNext/>
      <w:keepLines/>
      <w:tabs>
        <w:tab w:val="left" w:pos="1008"/>
        <w:tab w:val="left" w:pos="1134"/>
      </w:tabs>
      <w:adjustRightInd w:val="0"/>
      <w:spacing w:beforeLines="50" w:line="300" w:lineRule="auto"/>
      <w:ind w:left="1008" w:hanging="1008"/>
      <w:jc w:val="center"/>
      <w:outlineLvl w:val="4"/>
    </w:pPr>
    <w:rPr>
      <w:rFonts w:ascii="黑体" w:hAnsi="Times New Roman" w:eastAsia="黑体" w:cs="Times New Roman"/>
      <w:color w:val="000000"/>
      <w:kern w:val="30"/>
      <w:sz w:val="24"/>
      <w:szCs w:val="30"/>
    </w:rPr>
  </w:style>
  <w:style w:type="paragraph" w:styleId="12">
    <w:name w:val="heading 6"/>
    <w:basedOn w:val="1"/>
    <w:next w:val="10"/>
    <w:link w:val="79"/>
    <w:qFormat/>
    <w:uiPriority w:val="0"/>
    <w:pPr>
      <w:keepLines/>
      <w:tabs>
        <w:tab w:val="left" w:pos="1077"/>
      </w:tabs>
      <w:adjustRightInd w:val="0"/>
      <w:spacing w:before="120" w:line="420" w:lineRule="auto"/>
      <w:ind w:left="1152" w:hanging="1152"/>
      <w:jc w:val="center"/>
      <w:outlineLvl w:val="5"/>
    </w:pPr>
    <w:rPr>
      <w:rFonts w:ascii="黑体" w:hAnsi="Arial" w:eastAsia="黑体" w:cs="Times New Roman"/>
      <w:color w:val="000000"/>
      <w:kern w:val="30"/>
      <w:sz w:val="24"/>
      <w:szCs w:val="30"/>
    </w:rPr>
  </w:style>
  <w:style w:type="paragraph" w:styleId="13">
    <w:name w:val="heading 7"/>
    <w:basedOn w:val="1"/>
    <w:next w:val="10"/>
    <w:link w:val="80"/>
    <w:qFormat/>
    <w:uiPriority w:val="0"/>
    <w:pPr>
      <w:keepNext/>
      <w:tabs>
        <w:tab w:val="left" w:pos="1296"/>
      </w:tabs>
      <w:autoSpaceDE w:val="0"/>
      <w:autoSpaceDN w:val="0"/>
      <w:adjustRightInd w:val="0"/>
      <w:spacing w:before="240" w:line="300" w:lineRule="auto"/>
      <w:ind w:left="1296" w:hanging="1296"/>
      <w:jc w:val="center"/>
      <w:outlineLvl w:val="6"/>
    </w:pPr>
    <w:rPr>
      <w:rFonts w:ascii="黑体" w:hAnsi="Times New Roman" w:eastAsia="黑体" w:cs="Times New Roman"/>
      <w:kern w:val="30"/>
      <w:sz w:val="24"/>
      <w:szCs w:val="20"/>
    </w:rPr>
  </w:style>
  <w:style w:type="paragraph" w:styleId="14">
    <w:name w:val="heading 8"/>
    <w:basedOn w:val="1"/>
    <w:next w:val="10"/>
    <w:link w:val="81"/>
    <w:qFormat/>
    <w:uiPriority w:val="0"/>
    <w:pPr>
      <w:keepNext/>
      <w:keepLines/>
      <w:tabs>
        <w:tab w:val="left" w:pos="737"/>
        <w:tab w:val="left" w:pos="1440"/>
      </w:tabs>
      <w:autoSpaceDE w:val="0"/>
      <w:autoSpaceDN w:val="0"/>
      <w:adjustRightInd w:val="0"/>
      <w:spacing w:before="240" w:line="300" w:lineRule="auto"/>
      <w:ind w:left="1440" w:hanging="1440"/>
      <w:jc w:val="center"/>
      <w:outlineLvl w:val="7"/>
    </w:pPr>
    <w:rPr>
      <w:rFonts w:ascii="Arial" w:hAnsi="Arial" w:eastAsia="黑体" w:cs="Times New Roman"/>
      <w:color w:val="000000"/>
      <w:kern w:val="30"/>
      <w:sz w:val="24"/>
      <w:szCs w:val="20"/>
    </w:rPr>
  </w:style>
  <w:style w:type="paragraph" w:styleId="15">
    <w:name w:val="heading 9"/>
    <w:basedOn w:val="1"/>
    <w:next w:val="1"/>
    <w:link w:val="82"/>
    <w:qFormat/>
    <w:uiPriority w:val="0"/>
    <w:pPr>
      <w:keepNext/>
      <w:keepLines/>
      <w:tabs>
        <w:tab w:val="left" w:pos="1584"/>
        <w:tab w:val="left" w:pos="1727"/>
        <w:tab w:val="left" w:pos="1884"/>
      </w:tabs>
      <w:autoSpaceDE w:val="0"/>
      <w:autoSpaceDN w:val="0"/>
      <w:adjustRightInd w:val="0"/>
      <w:spacing w:before="240" w:line="300" w:lineRule="auto"/>
      <w:ind w:left="1584" w:hanging="1584"/>
      <w:outlineLvl w:val="8"/>
    </w:pPr>
    <w:rPr>
      <w:rFonts w:ascii="Arial" w:hAnsi="Arial" w:eastAsia="黑体" w:cs="Times New Roman"/>
      <w:color w:val="000000"/>
      <w:kern w:val="30"/>
      <w:sz w:val="28"/>
      <w:szCs w:val="2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2">
    <w:name w:val="index heading"/>
    <w:basedOn w:val="1"/>
    <w:next w:val="3"/>
    <w:semiHidden/>
    <w:qFormat/>
    <w:uiPriority w:val="0"/>
    <w:pPr>
      <w:spacing w:line="360" w:lineRule="auto"/>
      <w:ind w:firstLine="560" w:firstLineChars="200"/>
    </w:pPr>
    <w:rPr>
      <w:rFonts w:ascii="Times New Roman" w:hAnsi="Times New Roman" w:eastAsia="仿宋_GB2312" w:cs="Times New Roman"/>
      <w:sz w:val="28"/>
      <w:szCs w:val="24"/>
    </w:rPr>
  </w:style>
  <w:style w:type="paragraph" w:styleId="3">
    <w:name w:val="index 1"/>
    <w:basedOn w:val="1"/>
    <w:next w:val="1"/>
    <w:semiHidden/>
    <w:unhideWhenUsed/>
    <w:qFormat/>
    <w:uiPriority w:val="99"/>
  </w:style>
  <w:style w:type="paragraph" w:customStyle="1" w:styleId="8">
    <w:name w:val="论文助手－正文"/>
    <w:basedOn w:val="1"/>
    <w:link w:val="53"/>
    <w:qFormat/>
    <w:uiPriority w:val="0"/>
    <w:pPr>
      <w:adjustRightInd w:val="0"/>
      <w:snapToGrid w:val="0"/>
      <w:spacing w:line="360" w:lineRule="auto"/>
      <w:ind w:firstLine="200" w:firstLineChars="200"/>
    </w:pPr>
    <w:rPr>
      <w:rFonts w:ascii="Times New Roman" w:hAnsi="Times New Roman" w:eastAsia="仿宋_GB2312" w:cs="Times New Roman"/>
      <w:sz w:val="24"/>
    </w:rPr>
  </w:style>
  <w:style w:type="paragraph" w:styleId="10">
    <w:name w:val="Body Text First Indent"/>
    <w:basedOn w:val="11"/>
    <w:link w:val="83"/>
    <w:semiHidden/>
    <w:unhideWhenUsed/>
    <w:qFormat/>
    <w:uiPriority w:val="99"/>
    <w:pPr>
      <w:ind w:firstLine="420" w:firstLineChars="100"/>
    </w:pPr>
    <w:rPr>
      <w:rFonts w:eastAsia="仿宋"/>
      <w:sz w:val="24"/>
    </w:rPr>
  </w:style>
  <w:style w:type="paragraph" w:styleId="11">
    <w:name w:val="Body Text"/>
    <w:basedOn w:val="1"/>
    <w:link w:val="72"/>
    <w:unhideWhenUsed/>
    <w:qFormat/>
    <w:uiPriority w:val="0"/>
    <w:pPr>
      <w:spacing w:after="120"/>
    </w:pPr>
  </w:style>
  <w:style w:type="paragraph" w:styleId="16">
    <w:name w:val="toc 7"/>
    <w:basedOn w:val="1"/>
    <w:next w:val="1"/>
    <w:unhideWhenUsed/>
    <w:qFormat/>
    <w:uiPriority w:val="39"/>
    <w:pPr>
      <w:ind w:left="1260"/>
    </w:pPr>
    <w:rPr>
      <w:rFonts w:eastAsiaTheme="minorHAnsi"/>
      <w:sz w:val="20"/>
      <w:szCs w:val="20"/>
    </w:rPr>
  </w:style>
  <w:style w:type="paragraph" w:styleId="17">
    <w:name w:val="Normal Indent"/>
    <w:basedOn w:val="1"/>
    <w:link w:val="94"/>
    <w:qFormat/>
    <w:uiPriority w:val="0"/>
    <w:pPr>
      <w:ind w:firstLine="420"/>
    </w:pPr>
    <w:rPr>
      <w:rFonts w:ascii="Calibri" w:hAnsi="Calibri" w:eastAsia="宋体" w:cs="Arial"/>
      <w:kern w:val="0"/>
      <w:sz w:val="20"/>
      <w:szCs w:val="20"/>
    </w:rPr>
  </w:style>
  <w:style w:type="paragraph" w:styleId="18">
    <w:name w:val="Document Map"/>
    <w:basedOn w:val="1"/>
    <w:link w:val="84"/>
    <w:semiHidden/>
    <w:unhideWhenUsed/>
    <w:qFormat/>
    <w:uiPriority w:val="99"/>
    <w:rPr>
      <w:rFonts w:ascii="宋体" w:eastAsia="宋体"/>
      <w:sz w:val="18"/>
      <w:szCs w:val="18"/>
    </w:rPr>
  </w:style>
  <w:style w:type="paragraph" w:styleId="19">
    <w:name w:val="annotation text"/>
    <w:basedOn w:val="1"/>
    <w:link w:val="65"/>
    <w:unhideWhenUsed/>
    <w:qFormat/>
    <w:uiPriority w:val="0"/>
  </w:style>
  <w:style w:type="paragraph" w:styleId="20">
    <w:name w:val="Body Text Indent"/>
    <w:basedOn w:val="1"/>
    <w:link w:val="85"/>
    <w:semiHidden/>
    <w:unhideWhenUsed/>
    <w:qFormat/>
    <w:uiPriority w:val="99"/>
    <w:pPr>
      <w:spacing w:after="120"/>
      <w:ind w:left="420" w:leftChars="200"/>
    </w:pPr>
    <w:rPr>
      <w:rFonts w:eastAsia="仿宋"/>
      <w:sz w:val="24"/>
    </w:rPr>
  </w:style>
  <w:style w:type="paragraph" w:styleId="21">
    <w:name w:val="index 4"/>
    <w:basedOn w:val="1"/>
    <w:next w:val="1"/>
    <w:unhideWhenUsed/>
    <w:qFormat/>
    <w:uiPriority w:val="99"/>
    <w:pPr>
      <w:ind w:left="600" w:leftChars="600"/>
    </w:pPr>
    <w:rPr>
      <w:rFonts w:eastAsia="仿宋"/>
      <w:sz w:val="24"/>
    </w:rPr>
  </w:style>
  <w:style w:type="paragraph" w:styleId="22">
    <w:name w:val="toc 5"/>
    <w:basedOn w:val="1"/>
    <w:next w:val="1"/>
    <w:unhideWhenUsed/>
    <w:qFormat/>
    <w:uiPriority w:val="39"/>
    <w:pPr>
      <w:ind w:left="840"/>
    </w:pPr>
    <w:rPr>
      <w:rFonts w:eastAsiaTheme="minorHAnsi"/>
      <w:sz w:val="20"/>
      <w:szCs w:val="20"/>
    </w:rPr>
  </w:style>
  <w:style w:type="paragraph" w:styleId="23">
    <w:name w:val="toc 3"/>
    <w:basedOn w:val="1"/>
    <w:next w:val="1"/>
    <w:unhideWhenUsed/>
    <w:qFormat/>
    <w:uiPriority w:val="39"/>
    <w:pPr>
      <w:ind w:left="420"/>
    </w:pPr>
    <w:rPr>
      <w:rFonts w:eastAsiaTheme="minorHAnsi"/>
      <w:sz w:val="20"/>
      <w:szCs w:val="20"/>
    </w:rPr>
  </w:style>
  <w:style w:type="paragraph" w:styleId="24">
    <w:name w:val="Plain Text"/>
    <w:basedOn w:val="1"/>
    <w:link w:val="86"/>
    <w:qFormat/>
    <w:uiPriority w:val="0"/>
    <w:rPr>
      <w:rFonts w:ascii="宋体" w:hAnsi="Courier New" w:eastAsia="宋体" w:cs="Courier New"/>
      <w:szCs w:val="21"/>
    </w:rPr>
  </w:style>
  <w:style w:type="paragraph" w:styleId="25">
    <w:name w:val="toc 8"/>
    <w:basedOn w:val="1"/>
    <w:next w:val="1"/>
    <w:unhideWhenUsed/>
    <w:qFormat/>
    <w:uiPriority w:val="39"/>
    <w:pPr>
      <w:ind w:left="1470"/>
    </w:pPr>
    <w:rPr>
      <w:rFonts w:eastAsiaTheme="minorHAnsi"/>
      <w:sz w:val="20"/>
      <w:szCs w:val="20"/>
    </w:rPr>
  </w:style>
  <w:style w:type="paragraph" w:styleId="26">
    <w:name w:val="Date"/>
    <w:basedOn w:val="1"/>
    <w:next w:val="1"/>
    <w:link w:val="68"/>
    <w:semiHidden/>
    <w:unhideWhenUsed/>
    <w:qFormat/>
    <w:uiPriority w:val="99"/>
    <w:pPr>
      <w:ind w:left="100" w:leftChars="2500"/>
    </w:pPr>
  </w:style>
  <w:style w:type="paragraph" w:styleId="27">
    <w:name w:val="Balloon Text"/>
    <w:basedOn w:val="1"/>
    <w:link w:val="60"/>
    <w:semiHidden/>
    <w:unhideWhenUsed/>
    <w:qFormat/>
    <w:uiPriority w:val="99"/>
    <w:rPr>
      <w:sz w:val="18"/>
      <w:szCs w:val="18"/>
    </w:rPr>
  </w:style>
  <w:style w:type="paragraph" w:styleId="28">
    <w:name w:val="footer"/>
    <w:basedOn w:val="1"/>
    <w:link w:val="49"/>
    <w:unhideWhenUsed/>
    <w:qFormat/>
    <w:uiPriority w:val="99"/>
    <w:pPr>
      <w:tabs>
        <w:tab w:val="center" w:pos="4153"/>
        <w:tab w:val="right" w:pos="8306"/>
      </w:tabs>
      <w:snapToGrid w:val="0"/>
    </w:pPr>
    <w:rPr>
      <w:sz w:val="18"/>
      <w:szCs w:val="18"/>
    </w:rPr>
  </w:style>
  <w:style w:type="paragraph" w:styleId="29">
    <w:name w:val="header"/>
    <w:basedOn w:val="1"/>
    <w:link w:val="48"/>
    <w:unhideWhenUsed/>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unhideWhenUsed/>
    <w:qFormat/>
    <w:uiPriority w:val="39"/>
    <w:pPr>
      <w:spacing w:before="240" w:after="120"/>
    </w:pPr>
    <w:rPr>
      <w:rFonts w:eastAsiaTheme="minorHAnsi"/>
      <w:b/>
      <w:bCs/>
      <w:sz w:val="20"/>
      <w:szCs w:val="20"/>
    </w:rPr>
  </w:style>
  <w:style w:type="paragraph" w:styleId="31">
    <w:name w:val="toc 4"/>
    <w:basedOn w:val="1"/>
    <w:next w:val="1"/>
    <w:unhideWhenUsed/>
    <w:qFormat/>
    <w:uiPriority w:val="39"/>
    <w:pPr>
      <w:ind w:left="630"/>
    </w:pPr>
    <w:rPr>
      <w:rFonts w:eastAsiaTheme="minorHAnsi"/>
      <w:sz w:val="20"/>
      <w:szCs w:val="20"/>
    </w:rPr>
  </w:style>
  <w:style w:type="paragraph" w:styleId="32">
    <w:name w:val="toc 6"/>
    <w:basedOn w:val="1"/>
    <w:next w:val="1"/>
    <w:unhideWhenUsed/>
    <w:qFormat/>
    <w:uiPriority w:val="39"/>
    <w:pPr>
      <w:ind w:left="1050"/>
    </w:pPr>
    <w:rPr>
      <w:rFonts w:eastAsiaTheme="minorHAnsi"/>
      <w:sz w:val="20"/>
      <w:szCs w:val="20"/>
    </w:rPr>
  </w:style>
  <w:style w:type="paragraph" w:styleId="33">
    <w:name w:val="toc 2"/>
    <w:basedOn w:val="1"/>
    <w:next w:val="1"/>
    <w:unhideWhenUsed/>
    <w:qFormat/>
    <w:uiPriority w:val="39"/>
    <w:pPr>
      <w:spacing w:before="120"/>
      <w:ind w:left="210"/>
    </w:pPr>
    <w:rPr>
      <w:rFonts w:eastAsiaTheme="minorHAnsi"/>
      <w:i/>
      <w:iCs/>
      <w:sz w:val="20"/>
      <w:szCs w:val="20"/>
    </w:rPr>
  </w:style>
  <w:style w:type="paragraph" w:styleId="34">
    <w:name w:val="toc 9"/>
    <w:basedOn w:val="1"/>
    <w:next w:val="1"/>
    <w:unhideWhenUsed/>
    <w:qFormat/>
    <w:uiPriority w:val="39"/>
    <w:pPr>
      <w:ind w:left="1680"/>
    </w:pPr>
    <w:rPr>
      <w:rFonts w:eastAsiaTheme="minorHAnsi"/>
      <w:sz w:val="20"/>
      <w:szCs w:val="20"/>
    </w:rPr>
  </w:style>
  <w:style w:type="paragraph" w:styleId="35">
    <w:name w:val="Body Text 2"/>
    <w:basedOn w:val="1"/>
    <w:link w:val="71"/>
    <w:unhideWhenUsed/>
    <w:qFormat/>
    <w:uiPriority w:val="0"/>
    <w:pPr>
      <w:spacing w:after="120" w:line="480" w:lineRule="auto"/>
    </w:pPr>
  </w:style>
  <w:style w:type="paragraph" w:styleId="36">
    <w:name w:val="Normal (Web)"/>
    <w:basedOn w:val="1"/>
    <w:semiHidden/>
    <w:unhideWhenUsed/>
    <w:qFormat/>
    <w:uiPriority w:val="99"/>
    <w:pPr>
      <w:spacing w:before="100" w:beforeAutospacing="1" w:after="100" w:afterAutospacing="1"/>
    </w:pPr>
    <w:rPr>
      <w:rFonts w:ascii="宋体" w:hAnsi="宋体" w:eastAsia="宋体" w:cs="宋体"/>
      <w:kern w:val="0"/>
      <w:sz w:val="24"/>
      <w:szCs w:val="24"/>
    </w:rPr>
  </w:style>
  <w:style w:type="paragraph" w:styleId="37">
    <w:name w:val="Title"/>
    <w:basedOn w:val="1"/>
    <w:next w:val="1"/>
    <w:link w:val="50"/>
    <w:qFormat/>
    <w:uiPriority w:val="10"/>
    <w:pPr>
      <w:spacing w:before="240" w:after="60"/>
      <w:jc w:val="center"/>
      <w:outlineLvl w:val="0"/>
    </w:pPr>
    <w:rPr>
      <w:rFonts w:eastAsia="宋体" w:asciiTheme="majorHAnsi" w:hAnsiTheme="majorHAnsi" w:cstheme="majorBidi"/>
      <w:b/>
      <w:bCs/>
      <w:sz w:val="32"/>
      <w:szCs w:val="32"/>
    </w:rPr>
  </w:style>
  <w:style w:type="paragraph" w:styleId="38">
    <w:name w:val="annotation subject"/>
    <w:basedOn w:val="19"/>
    <w:next w:val="19"/>
    <w:link w:val="66"/>
    <w:semiHidden/>
    <w:unhideWhenUsed/>
    <w:qFormat/>
    <w:uiPriority w:val="99"/>
    <w:rPr>
      <w:b/>
      <w:bCs/>
    </w:rPr>
  </w:style>
  <w:style w:type="table" w:styleId="40">
    <w:name w:val="Table Grid"/>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FollowedHyperlink"/>
    <w:basedOn w:val="41"/>
    <w:semiHidden/>
    <w:unhideWhenUsed/>
    <w:qFormat/>
    <w:uiPriority w:val="99"/>
    <w:rPr>
      <w:color w:val="954F72"/>
      <w:u w:val="single"/>
    </w:rPr>
  </w:style>
  <w:style w:type="character" w:styleId="43">
    <w:name w:val="Hyperlink"/>
    <w:basedOn w:val="41"/>
    <w:unhideWhenUsed/>
    <w:qFormat/>
    <w:uiPriority w:val="99"/>
    <w:rPr>
      <w:color w:val="0563C1" w:themeColor="hyperlink"/>
      <w:u w:val="single"/>
      <w14:textFill>
        <w14:solidFill>
          <w14:schemeClr w14:val="hlink"/>
        </w14:solidFill>
      </w14:textFill>
    </w:rPr>
  </w:style>
  <w:style w:type="character" w:styleId="44">
    <w:name w:val="annotation reference"/>
    <w:basedOn w:val="41"/>
    <w:unhideWhenUsed/>
    <w:qFormat/>
    <w:uiPriority w:val="0"/>
    <w:rPr>
      <w:sz w:val="21"/>
      <w:szCs w:val="21"/>
    </w:rPr>
  </w:style>
  <w:style w:type="character" w:customStyle="1" w:styleId="45">
    <w:name w:val="标题 1 字符"/>
    <w:basedOn w:val="41"/>
    <w:link w:val="4"/>
    <w:qFormat/>
    <w:uiPriority w:val="9"/>
    <w:rPr>
      <w:b/>
      <w:bCs/>
      <w:kern w:val="44"/>
      <w:sz w:val="44"/>
      <w:szCs w:val="44"/>
    </w:rPr>
  </w:style>
  <w:style w:type="character" w:customStyle="1" w:styleId="46">
    <w:name w:val="标题 2 字符"/>
    <w:basedOn w:val="41"/>
    <w:link w:val="5"/>
    <w:qFormat/>
    <w:uiPriority w:val="9"/>
    <w:rPr>
      <w:rFonts w:asciiTheme="majorHAnsi" w:hAnsiTheme="majorHAnsi" w:eastAsiaTheme="majorEastAsia" w:cstheme="majorBidi"/>
      <w:b/>
      <w:bCs/>
      <w:sz w:val="32"/>
      <w:szCs w:val="32"/>
    </w:rPr>
  </w:style>
  <w:style w:type="paragraph" w:styleId="47">
    <w:name w:val="List Paragraph"/>
    <w:basedOn w:val="1"/>
    <w:link w:val="99"/>
    <w:qFormat/>
    <w:uiPriority w:val="34"/>
    <w:pPr>
      <w:ind w:firstLine="420" w:firstLineChars="200"/>
    </w:pPr>
  </w:style>
  <w:style w:type="character" w:customStyle="1" w:styleId="48">
    <w:name w:val="页眉 字符"/>
    <w:basedOn w:val="41"/>
    <w:link w:val="29"/>
    <w:qFormat/>
    <w:uiPriority w:val="99"/>
    <w:rPr>
      <w:sz w:val="18"/>
      <w:szCs w:val="18"/>
    </w:rPr>
  </w:style>
  <w:style w:type="character" w:customStyle="1" w:styleId="49">
    <w:name w:val="页脚 字符"/>
    <w:basedOn w:val="41"/>
    <w:link w:val="28"/>
    <w:qFormat/>
    <w:uiPriority w:val="99"/>
    <w:rPr>
      <w:sz w:val="18"/>
      <w:szCs w:val="18"/>
    </w:rPr>
  </w:style>
  <w:style w:type="character" w:customStyle="1" w:styleId="50">
    <w:name w:val="标题 字符"/>
    <w:basedOn w:val="41"/>
    <w:link w:val="37"/>
    <w:qFormat/>
    <w:uiPriority w:val="10"/>
    <w:rPr>
      <w:rFonts w:eastAsia="宋体" w:asciiTheme="majorHAnsi" w:hAnsiTheme="majorHAnsi" w:cstheme="majorBidi"/>
      <w:b/>
      <w:bCs/>
      <w:sz w:val="32"/>
      <w:szCs w:val="32"/>
    </w:rPr>
  </w:style>
  <w:style w:type="character" w:customStyle="1" w:styleId="51">
    <w:name w:val="标题 3 字符"/>
    <w:basedOn w:val="41"/>
    <w:link w:val="6"/>
    <w:qFormat/>
    <w:uiPriority w:val="0"/>
    <w:rPr>
      <w:b/>
      <w:bCs/>
      <w:sz w:val="32"/>
      <w:szCs w:val="32"/>
    </w:rPr>
  </w:style>
  <w:style w:type="character" w:customStyle="1" w:styleId="52">
    <w:name w:val="标题 4 字符"/>
    <w:basedOn w:val="41"/>
    <w:link w:val="7"/>
    <w:qFormat/>
    <w:uiPriority w:val="0"/>
    <w:rPr>
      <w:rFonts w:ascii="Times New Roman" w:hAnsi="Times New Roman" w:eastAsia="仿宋_GB2312" w:cstheme="majorBidi"/>
      <w:b/>
      <w:bCs/>
      <w:kern w:val="2"/>
      <w:sz w:val="24"/>
      <w:szCs w:val="28"/>
    </w:rPr>
  </w:style>
  <w:style w:type="character" w:customStyle="1" w:styleId="53">
    <w:name w:val="论文助手－正文 Char"/>
    <w:basedOn w:val="50"/>
    <w:link w:val="8"/>
    <w:qFormat/>
    <w:uiPriority w:val="0"/>
    <w:rPr>
      <w:rFonts w:ascii="Times New Roman" w:hAnsi="Times New Roman" w:eastAsia="仿宋_GB2312" w:cs="Times New Roman"/>
      <w:b w:val="0"/>
      <w:bCs w:val="0"/>
      <w:kern w:val="2"/>
      <w:sz w:val="24"/>
      <w:szCs w:val="22"/>
    </w:rPr>
  </w:style>
  <w:style w:type="paragraph" w:customStyle="1" w:styleId="54">
    <w:name w:val="论文助手－标题1"/>
    <w:basedOn w:val="4"/>
    <w:next w:val="8"/>
    <w:link w:val="55"/>
    <w:qFormat/>
    <w:uiPriority w:val="0"/>
    <w:pPr>
      <w:adjustRightInd w:val="0"/>
      <w:snapToGrid w:val="0"/>
      <w:spacing w:line="360" w:lineRule="auto"/>
      <w:jc w:val="center"/>
    </w:pPr>
    <w:rPr>
      <w:rFonts w:ascii="Times New Roman" w:hAnsi="Times New Roman" w:eastAsia="仿宋_GB2312" w:cs="Times New Roman"/>
      <w:sz w:val="32"/>
    </w:rPr>
  </w:style>
  <w:style w:type="character" w:customStyle="1" w:styleId="55">
    <w:name w:val="论文助手－标题1 Char"/>
    <w:basedOn w:val="50"/>
    <w:link w:val="54"/>
    <w:qFormat/>
    <w:uiPriority w:val="0"/>
    <w:rPr>
      <w:rFonts w:ascii="Times New Roman" w:hAnsi="Times New Roman" w:eastAsia="仿宋_GB2312" w:cs="Times New Roman"/>
      <w:kern w:val="44"/>
      <w:sz w:val="32"/>
      <w:szCs w:val="44"/>
    </w:rPr>
  </w:style>
  <w:style w:type="paragraph" w:customStyle="1" w:styleId="56">
    <w:name w:val="论文助手－标题2"/>
    <w:basedOn w:val="1"/>
    <w:next w:val="8"/>
    <w:link w:val="57"/>
    <w:qFormat/>
    <w:uiPriority w:val="0"/>
    <w:pPr>
      <w:adjustRightInd w:val="0"/>
      <w:snapToGrid w:val="0"/>
      <w:spacing w:line="360" w:lineRule="auto"/>
      <w:outlineLvl w:val="1"/>
    </w:pPr>
    <w:rPr>
      <w:rFonts w:ascii="Times New Roman" w:hAnsi="Times New Roman" w:eastAsia="仿宋_GB2312" w:cs="Times New Roman"/>
      <w:b/>
      <w:sz w:val="30"/>
      <w:szCs w:val="28"/>
    </w:rPr>
  </w:style>
  <w:style w:type="character" w:customStyle="1" w:styleId="57">
    <w:name w:val="论文助手－标题2 Char"/>
    <w:basedOn w:val="46"/>
    <w:link w:val="56"/>
    <w:qFormat/>
    <w:uiPriority w:val="0"/>
    <w:rPr>
      <w:rFonts w:ascii="Times New Roman" w:hAnsi="Times New Roman" w:eastAsia="仿宋_GB2312" w:cs="Times New Roman"/>
      <w:bCs w:val="0"/>
      <w:kern w:val="2"/>
      <w:sz w:val="30"/>
      <w:szCs w:val="28"/>
    </w:rPr>
  </w:style>
  <w:style w:type="paragraph" w:customStyle="1" w:styleId="58">
    <w:name w:val="论文助手－标题3"/>
    <w:basedOn w:val="1"/>
    <w:next w:val="8"/>
    <w:link w:val="59"/>
    <w:qFormat/>
    <w:uiPriority w:val="0"/>
    <w:pPr>
      <w:adjustRightInd w:val="0"/>
      <w:snapToGrid w:val="0"/>
      <w:spacing w:line="360" w:lineRule="auto"/>
      <w:outlineLvl w:val="2"/>
    </w:pPr>
    <w:rPr>
      <w:rFonts w:ascii="Times New Roman" w:hAnsi="Times New Roman" w:eastAsia="仿宋_GB2312" w:cs="Times New Roman"/>
      <w:b/>
      <w:sz w:val="28"/>
      <w:szCs w:val="24"/>
    </w:rPr>
  </w:style>
  <w:style w:type="character" w:customStyle="1" w:styleId="59">
    <w:name w:val="论文助手－标题3 Char"/>
    <w:basedOn w:val="51"/>
    <w:link w:val="58"/>
    <w:qFormat/>
    <w:uiPriority w:val="0"/>
    <w:rPr>
      <w:rFonts w:ascii="Times New Roman" w:hAnsi="Times New Roman" w:eastAsia="仿宋_GB2312" w:cs="Times New Roman"/>
      <w:bCs w:val="0"/>
      <w:kern w:val="2"/>
      <w:sz w:val="28"/>
      <w:szCs w:val="24"/>
    </w:rPr>
  </w:style>
  <w:style w:type="character" w:customStyle="1" w:styleId="60">
    <w:name w:val="批注框文本 字符"/>
    <w:basedOn w:val="41"/>
    <w:link w:val="27"/>
    <w:semiHidden/>
    <w:qFormat/>
    <w:uiPriority w:val="99"/>
    <w:rPr>
      <w:kern w:val="2"/>
      <w:sz w:val="18"/>
      <w:szCs w:val="18"/>
    </w:rPr>
  </w:style>
  <w:style w:type="paragraph" w:customStyle="1" w:styleId="61">
    <w:name w:val="论文助手－目录"/>
    <w:basedOn w:val="1"/>
    <w:next w:val="8"/>
    <w:link w:val="62"/>
    <w:qFormat/>
    <w:uiPriority w:val="0"/>
    <w:pPr>
      <w:tabs>
        <w:tab w:val="left" w:leader="dot" w:pos="7937"/>
      </w:tabs>
      <w:ind w:left="-2" w:leftChars="-1" w:firstLine="1"/>
      <w:jc w:val="center"/>
    </w:pPr>
    <w:rPr>
      <w:rFonts w:ascii="Times New Roman" w:hAnsi="Times New Roman" w:eastAsia="宋体" w:cs="Times New Roman"/>
      <w:szCs w:val="32"/>
    </w:rPr>
  </w:style>
  <w:style w:type="character" w:customStyle="1" w:styleId="62">
    <w:name w:val="论文助手－目录 Char"/>
    <w:basedOn w:val="41"/>
    <w:link w:val="61"/>
    <w:qFormat/>
    <w:uiPriority w:val="0"/>
    <w:rPr>
      <w:rFonts w:ascii="Times New Roman" w:hAnsi="Times New Roman" w:eastAsia="宋体" w:cs="Times New Roman"/>
      <w:kern w:val="2"/>
      <w:sz w:val="21"/>
      <w:szCs w:val="32"/>
    </w:rPr>
  </w:style>
  <w:style w:type="paragraph" w:customStyle="1" w:styleId="63">
    <w:name w:val="表名"/>
    <w:basedOn w:val="8"/>
    <w:next w:val="1"/>
    <w:qFormat/>
    <w:uiPriority w:val="0"/>
    <w:pPr>
      <w:spacing w:line="240" w:lineRule="auto"/>
      <w:ind w:firstLine="0" w:firstLineChars="0"/>
      <w:jc w:val="center"/>
    </w:pPr>
    <w:rPr>
      <w:b/>
      <w:sz w:val="21"/>
    </w:rPr>
  </w:style>
  <w:style w:type="paragraph" w:customStyle="1" w:styleId="64">
    <w:name w:val="表格"/>
    <w:basedOn w:val="63"/>
    <w:next w:val="8"/>
    <w:link w:val="67"/>
    <w:qFormat/>
    <w:uiPriority w:val="0"/>
    <w:rPr>
      <w:b w:val="0"/>
    </w:rPr>
  </w:style>
  <w:style w:type="character" w:customStyle="1" w:styleId="65">
    <w:name w:val="批注文字 字符"/>
    <w:basedOn w:val="41"/>
    <w:link w:val="19"/>
    <w:semiHidden/>
    <w:qFormat/>
    <w:uiPriority w:val="99"/>
    <w:rPr>
      <w:kern w:val="2"/>
      <w:sz w:val="21"/>
      <w:szCs w:val="22"/>
    </w:rPr>
  </w:style>
  <w:style w:type="character" w:customStyle="1" w:styleId="66">
    <w:name w:val="批注主题 字符"/>
    <w:basedOn w:val="65"/>
    <w:link w:val="38"/>
    <w:semiHidden/>
    <w:qFormat/>
    <w:uiPriority w:val="99"/>
    <w:rPr>
      <w:b/>
      <w:bCs/>
      <w:kern w:val="2"/>
      <w:sz w:val="21"/>
      <w:szCs w:val="22"/>
    </w:rPr>
  </w:style>
  <w:style w:type="character" w:customStyle="1" w:styleId="67">
    <w:name w:val="表格 Char"/>
    <w:link w:val="64"/>
    <w:qFormat/>
    <w:uiPriority w:val="0"/>
    <w:rPr>
      <w:rFonts w:ascii="Times New Roman" w:hAnsi="Times New Roman" w:eastAsia="仿宋_GB2312" w:cs="Times New Roman"/>
      <w:kern w:val="2"/>
      <w:sz w:val="21"/>
      <w:szCs w:val="22"/>
    </w:rPr>
  </w:style>
  <w:style w:type="character" w:customStyle="1" w:styleId="68">
    <w:name w:val="日期 字符"/>
    <w:basedOn w:val="41"/>
    <w:link w:val="26"/>
    <w:semiHidden/>
    <w:qFormat/>
    <w:uiPriority w:val="99"/>
    <w:rPr>
      <w:kern w:val="2"/>
      <w:sz w:val="21"/>
      <w:szCs w:val="22"/>
    </w:rPr>
  </w:style>
  <w:style w:type="character" w:customStyle="1" w:styleId="69">
    <w:name w:val="表格文字 Char Char"/>
    <w:link w:val="70"/>
    <w:qFormat/>
    <w:uiPriority w:val="0"/>
    <w:rPr>
      <w:rFonts w:ascii="宋体" w:hAnsi="宋体" w:eastAsia="宋体" w:cs="宋体"/>
      <w:sz w:val="18"/>
      <w:szCs w:val="18"/>
    </w:rPr>
  </w:style>
  <w:style w:type="paragraph" w:customStyle="1" w:styleId="70">
    <w:name w:val="表格文字 Char"/>
    <w:basedOn w:val="35"/>
    <w:link w:val="69"/>
    <w:qFormat/>
    <w:uiPriority w:val="0"/>
    <w:pPr>
      <w:adjustRightInd w:val="0"/>
      <w:spacing w:after="0" w:line="240" w:lineRule="auto"/>
      <w:ind w:firstLine="200" w:firstLineChars="200"/>
      <w:jc w:val="center"/>
      <w:textAlignment w:val="center"/>
    </w:pPr>
    <w:rPr>
      <w:rFonts w:ascii="宋体" w:hAnsi="宋体" w:eastAsia="宋体" w:cs="宋体"/>
      <w:kern w:val="0"/>
      <w:sz w:val="18"/>
      <w:szCs w:val="18"/>
    </w:rPr>
  </w:style>
  <w:style w:type="character" w:customStyle="1" w:styleId="71">
    <w:name w:val="正文文本 2 字符"/>
    <w:basedOn w:val="41"/>
    <w:link w:val="35"/>
    <w:qFormat/>
    <w:uiPriority w:val="0"/>
    <w:rPr>
      <w:kern w:val="2"/>
      <w:sz w:val="21"/>
      <w:szCs w:val="22"/>
    </w:rPr>
  </w:style>
  <w:style w:type="character" w:customStyle="1" w:styleId="72">
    <w:name w:val="正文文本 字符"/>
    <w:basedOn w:val="41"/>
    <w:link w:val="11"/>
    <w:qFormat/>
    <w:uiPriority w:val="0"/>
    <w:rPr>
      <w:kern w:val="2"/>
      <w:sz w:val="21"/>
      <w:szCs w:val="22"/>
    </w:rPr>
  </w:style>
  <w:style w:type="table" w:customStyle="1" w:styleId="73">
    <w:name w:val="Table Normal"/>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4">
    <w:name w:val="Table Normal1"/>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75">
    <w:name w:val="Table Paragraph"/>
    <w:basedOn w:val="1"/>
    <w:qFormat/>
    <w:uiPriority w:val="1"/>
    <w:pPr>
      <w:autoSpaceDE w:val="0"/>
      <w:autoSpaceDN w:val="0"/>
    </w:pPr>
    <w:rPr>
      <w:rFonts w:ascii="Arial Unicode MS" w:hAnsi="Arial Unicode MS" w:eastAsia="Arial Unicode MS" w:cs="Arial Unicode MS"/>
      <w:kern w:val="0"/>
      <w:sz w:val="22"/>
      <w:lang w:eastAsia="en-US"/>
    </w:rPr>
  </w:style>
  <w:style w:type="table" w:customStyle="1" w:styleId="76">
    <w:name w:val="Table Normal2"/>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77">
    <w:name w:val="网格型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8">
    <w:name w:val="标题 5 字符"/>
    <w:basedOn w:val="41"/>
    <w:link w:val="9"/>
    <w:qFormat/>
    <w:uiPriority w:val="0"/>
    <w:rPr>
      <w:rFonts w:ascii="黑体" w:hAnsi="Times New Roman" w:eastAsia="黑体" w:cs="Times New Roman"/>
      <w:color w:val="000000"/>
      <w:kern w:val="30"/>
      <w:sz w:val="24"/>
      <w:szCs w:val="30"/>
    </w:rPr>
  </w:style>
  <w:style w:type="character" w:customStyle="1" w:styleId="79">
    <w:name w:val="标题 6 字符"/>
    <w:basedOn w:val="41"/>
    <w:link w:val="12"/>
    <w:qFormat/>
    <w:uiPriority w:val="0"/>
    <w:rPr>
      <w:rFonts w:ascii="黑体" w:hAnsi="Arial" w:eastAsia="黑体" w:cs="Times New Roman"/>
      <w:color w:val="000000"/>
      <w:kern w:val="30"/>
      <w:sz w:val="24"/>
      <w:szCs w:val="30"/>
    </w:rPr>
  </w:style>
  <w:style w:type="character" w:customStyle="1" w:styleId="80">
    <w:name w:val="标题 7 字符"/>
    <w:basedOn w:val="41"/>
    <w:link w:val="13"/>
    <w:qFormat/>
    <w:uiPriority w:val="0"/>
    <w:rPr>
      <w:rFonts w:ascii="黑体" w:hAnsi="Times New Roman" w:eastAsia="黑体" w:cs="Times New Roman"/>
      <w:kern w:val="30"/>
      <w:sz w:val="24"/>
    </w:rPr>
  </w:style>
  <w:style w:type="character" w:customStyle="1" w:styleId="81">
    <w:name w:val="标题 8 字符"/>
    <w:basedOn w:val="41"/>
    <w:link w:val="14"/>
    <w:qFormat/>
    <w:uiPriority w:val="0"/>
    <w:rPr>
      <w:rFonts w:ascii="Arial" w:hAnsi="Arial" w:eastAsia="黑体" w:cs="Times New Roman"/>
      <w:color w:val="000000"/>
      <w:kern w:val="30"/>
      <w:sz w:val="24"/>
    </w:rPr>
  </w:style>
  <w:style w:type="character" w:customStyle="1" w:styleId="82">
    <w:name w:val="标题 9 字符"/>
    <w:basedOn w:val="41"/>
    <w:link w:val="15"/>
    <w:qFormat/>
    <w:uiPriority w:val="0"/>
    <w:rPr>
      <w:rFonts w:ascii="Arial" w:hAnsi="Arial" w:eastAsia="黑体" w:cs="Times New Roman"/>
      <w:color w:val="000000"/>
      <w:kern w:val="30"/>
      <w:sz w:val="28"/>
    </w:rPr>
  </w:style>
  <w:style w:type="character" w:customStyle="1" w:styleId="83">
    <w:name w:val="正文首行缩进 字符"/>
    <w:basedOn w:val="72"/>
    <w:link w:val="10"/>
    <w:semiHidden/>
    <w:qFormat/>
    <w:uiPriority w:val="99"/>
    <w:rPr>
      <w:rFonts w:eastAsia="仿宋"/>
      <w:kern w:val="2"/>
      <w:sz w:val="24"/>
      <w:szCs w:val="22"/>
    </w:rPr>
  </w:style>
  <w:style w:type="character" w:customStyle="1" w:styleId="84">
    <w:name w:val="文档结构图 字符"/>
    <w:basedOn w:val="41"/>
    <w:link w:val="18"/>
    <w:semiHidden/>
    <w:qFormat/>
    <w:uiPriority w:val="99"/>
    <w:rPr>
      <w:rFonts w:ascii="宋体" w:eastAsia="宋体"/>
      <w:kern w:val="2"/>
      <w:sz w:val="18"/>
      <w:szCs w:val="18"/>
    </w:rPr>
  </w:style>
  <w:style w:type="character" w:customStyle="1" w:styleId="85">
    <w:name w:val="正文文本缩进 字符"/>
    <w:basedOn w:val="41"/>
    <w:link w:val="20"/>
    <w:semiHidden/>
    <w:qFormat/>
    <w:uiPriority w:val="99"/>
    <w:rPr>
      <w:rFonts w:eastAsia="仿宋"/>
      <w:kern w:val="2"/>
      <w:sz w:val="24"/>
      <w:szCs w:val="22"/>
    </w:rPr>
  </w:style>
  <w:style w:type="character" w:customStyle="1" w:styleId="86">
    <w:name w:val="纯文本 字符"/>
    <w:basedOn w:val="41"/>
    <w:link w:val="24"/>
    <w:qFormat/>
    <w:uiPriority w:val="0"/>
    <w:rPr>
      <w:rFonts w:ascii="宋体" w:hAnsi="Courier New" w:eastAsia="宋体" w:cs="Courier New"/>
      <w:kern w:val="2"/>
      <w:sz w:val="21"/>
      <w:szCs w:val="21"/>
    </w:rPr>
  </w:style>
  <w:style w:type="table" w:customStyle="1" w:styleId="87">
    <w:name w:val="网格型2"/>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8">
    <w:name w:val="超链接1"/>
    <w:basedOn w:val="41"/>
    <w:unhideWhenUsed/>
    <w:qFormat/>
    <w:uiPriority w:val="99"/>
    <w:rPr>
      <w:color w:val="0563C1"/>
      <w:u w:val="single"/>
    </w:rPr>
  </w:style>
  <w:style w:type="character" w:customStyle="1" w:styleId="89">
    <w:name w:val="正文文本 Char1"/>
    <w:basedOn w:val="41"/>
    <w:semiHidden/>
    <w:qFormat/>
    <w:uiPriority w:val="99"/>
  </w:style>
  <w:style w:type="paragraph" w:customStyle="1" w:styleId="90">
    <w:name w:val="样式 样式 四号 行距: 最小值 12 磅 + 首行缩进:  2 字符"/>
    <w:basedOn w:val="1"/>
    <w:qFormat/>
    <w:uiPriority w:val="0"/>
    <w:pPr>
      <w:tabs>
        <w:tab w:val="left" w:pos="7716"/>
      </w:tabs>
      <w:adjustRightInd w:val="0"/>
      <w:snapToGrid w:val="0"/>
      <w:spacing w:line="360" w:lineRule="auto"/>
      <w:ind w:firstLine="480" w:firstLineChars="200"/>
    </w:pPr>
    <w:rPr>
      <w:rFonts w:ascii="Times New Roman" w:hAnsi="Times New Roman" w:eastAsia="宋体" w:cs="Times New Roman"/>
      <w:bCs/>
      <w:color w:val="000000"/>
      <w:kern w:val="28"/>
      <w:sz w:val="24"/>
      <w:szCs w:val="24"/>
    </w:rPr>
  </w:style>
  <w:style w:type="paragraph" w:customStyle="1" w:styleId="91">
    <w:name w:val="图表内容"/>
    <w:basedOn w:val="1"/>
    <w:qFormat/>
    <w:uiPriority w:val="0"/>
    <w:pPr>
      <w:jc w:val="center"/>
    </w:pPr>
    <w:rPr>
      <w:rFonts w:ascii="仿宋_GB2312" w:hAnsi="Times New Roman" w:eastAsia="Times New Roman" w:cs="Times New Roman"/>
      <w:kern w:val="0"/>
      <w:sz w:val="24"/>
      <w:szCs w:val="28"/>
    </w:rPr>
  </w:style>
  <w:style w:type="paragraph" w:customStyle="1" w:styleId="92">
    <w:name w:val="00 正文"/>
    <w:basedOn w:val="4"/>
    <w:next w:val="1"/>
    <w:link w:val="93"/>
    <w:qFormat/>
    <w:uiPriority w:val="0"/>
    <w:pPr>
      <w:numPr>
        <w:ilvl w:val="0"/>
        <w:numId w:val="1"/>
      </w:numPr>
      <w:snapToGrid w:val="0"/>
      <w:spacing w:before="0" w:after="0" w:line="360" w:lineRule="auto"/>
      <w:ind w:left="0" w:firstLine="0"/>
    </w:pPr>
    <w:rPr>
      <w:rFonts w:ascii="Times New Roman" w:hAnsi="Times New Roman" w:eastAsia="宋体" w:cs="Times New Roman"/>
      <w:lang w:val="zh-CN"/>
    </w:rPr>
  </w:style>
  <w:style w:type="character" w:customStyle="1" w:styleId="93">
    <w:name w:val="00 正文 Char"/>
    <w:link w:val="92"/>
    <w:qFormat/>
    <w:uiPriority w:val="0"/>
    <w:rPr>
      <w:rFonts w:ascii="Times New Roman" w:hAnsi="Times New Roman" w:eastAsia="宋体" w:cs="Times New Roman"/>
      <w:b/>
      <w:bCs/>
      <w:kern w:val="44"/>
      <w:sz w:val="44"/>
      <w:szCs w:val="44"/>
      <w:lang w:val="zh-CN"/>
    </w:rPr>
  </w:style>
  <w:style w:type="character" w:customStyle="1" w:styleId="94">
    <w:name w:val="正文缩进 字符"/>
    <w:link w:val="17"/>
    <w:qFormat/>
    <w:uiPriority w:val="0"/>
    <w:rPr>
      <w:rFonts w:ascii="Calibri" w:hAnsi="Calibri" w:eastAsia="宋体" w:cs="Arial"/>
    </w:rPr>
  </w:style>
  <w:style w:type="paragraph" w:customStyle="1" w:styleId="95">
    <w:name w:val="正文1"/>
    <w:basedOn w:val="1"/>
    <w:link w:val="96"/>
    <w:qFormat/>
    <w:uiPriority w:val="0"/>
    <w:rPr>
      <w:rFonts w:ascii="Times New Roman" w:hAnsi="Times New Roman" w:eastAsia="宋体" w:cs="Times New Roman"/>
      <w:sz w:val="24"/>
      <w:szCs w:val="20"/>
    </w:rPr>
  </w:style>
  <w:style w:type="character" w:customStyle="1" w:styleId="96">
    <w:name w:val="正文1 字符"/>
    <w:link w:val="95"/>
    <w:qFormat/>
    <w:locked/>
    <w:uiPriority w:val="0"/>
    <w:rPr>
      <w:rFonts w:ascii="Times New Roman" w:hAnsi="Times New Roman" w:eastAsia="宋体" w:cs="Times New Roman"/>
      <w:kern w:val="2"/>
      <w:sz w:val="24"/>
    </w:rPr>
  </w:style>
  <w:style w:type="paragraph" w:customStyle="1" w:styleId="97">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98">
    <w:name w:val="TOC 标题1"/>
    <w:basedOn w:val="4"/>
    <w:next w:val="1"/>
    <w:unhideWhenUsed/>
    <w:qFormat/>
    <w:uiPriority w:val="39"/>
    <w:pPr>
      <w:spacing w:before="240" w:after="0" w:line="259" w:lineRule="auto"/>
      <w:outlineLvl w:val="9"/>
    </w:pPr>
    <w:rPr>
      <w:rFonts w:ascii="Calibri Light" w:hAnsi="Calibri Light" w:eastAsia="宋体" w:cs="Times New Roman"/>
      <w:b w:val="0"/>
      <w:bCs w:val="0"/>
      <w:color w:val="2E74B5"/>
      <w:kern w:val="0"/>
      <w:sz w:val="32"/>
      <w:szCs w:val="32"/>
    </w:rPr>
  </w:style>
  <w:style w:type="character" w:customStyle="1" w:styleId="99">
    <w:name w:val="列出段落 字符"/>
    <w:link w:val="47"/>
    <w:qFormat/>
    <w:locked/>
    <w:uiPriority w:val="34"/>
    <w:rPr>
      <w:kern w:val="2"/>
      <w:sz w:val="21"/>
      <w:szCs w:val="22"/>
    </w:rPr>
  </w:style>
  <w:style w:type="paragraph" w:customStyle="1" w:styleId="10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01">
    <w:name w:val="zhengwen"/>
    <w:basedOn w:val="1"/>
    <w:link w:val="102"/>
    <w:qFormat/>
    <w:uiPriority w:val="0"/>
    <w:pPr>
      <w:spacing w:line="360" w:lineRule="auto"/>
      <w:ind w:firstLine="200" w:firstLineChars="200"/>
    </w:pPr>
    <w:rPr>
      <w:rFonts w:ascii="Arial" w:hAnsi="Arial" w:eastAsia="宋体" w:cs="Arial"/>
      <w:sz w:val="24"/>
      <w:szCs w:val="24"/>
    </w:rPr>
  </w:style>
  <w:style w:type="character" w:customStyle="1" w:styleId="102">
    <w:name w:val="zhengwen Char1"/>
    <w:basedOn w:val="41"/>
    <w:link w:val="101"/>
    <w:qFormat/>
    <w:uiPriority w:val="0"/>
    <w:rPr>
      <w:rFonts w:ascii="Arial" w:hAnsi="Arial" w:eastAsia="宋体" w:cs="Arial"/>
      <w:kern w:val="2"/>
      <w:sz w:val="24"/>
      <w:szCs w:val="24"/>
    </w:rPr>
  </w:style>
  <w:style w:type="paragraph" w:customStyle="1" w:styleId="103">
    <w:name w:val="样式 正文文字 21 + 小四 首行缩进:  2 字符 行距: 1.5 倍行距"/>
    <w:basedOn w:val="1"/>
    <w:qFormat/>
    <w:uiPriority w:val="0"/>
    <w:pPr>
      <w:spacing w:line="360" w:lineRule="auto"/>
      <w:ind w:firstLine="504" w:firstLineChars="200"/>
    </w:pPr>
    <w:rPr>
      <w:rFonts w:ascii="Arial" w:hAnsi="Arial" w:eastAsia="宋体" w:cs="Arial"/>
      <w:spacing w:val="6"/>
      <w:sz w:val="24"/>
      <w:szCs w:val="24"/>
    </w:rPr>
  </w:style>
  <w:style w:type="paragraph" w:customStyle="1" w:styleId="104">
    <w:name w:val="表正文"/>
    <w:basedOn w:val="1"/>
    <w:qFormat/>
    <w:uiPriority w:val="0"/>
    <w:pPr>
      <w:adjustRightInd w:val="0"/>
      <w:snapToGrid w:val="0"/>
      <w:spacing w:beforeLines="20" w:afterLines="10" w:line="300" w:lineRule="auto"/>
      <w:jc w:val="center"/>
      <w:textAlignment w:val="baseline"/>
    </w:pPr>
    <w:rPr>
      <w:rFonts w:ascii="仿宋_GB2312" w:hAnsi="Times New Roman" w:eastAsia="仿宋_GB2312" w:cs="Times New Roman"/>
      <w:kern w:val="0"/>
      <w:sz w:val="24"/>
      <w:szCs w:val="20"/>
    </w:rPr>
  </w:style>
  <w:style w:type="character" w:customStyle="1" w:styleId="105">
    <w:name w:val="纯文本 Char"/>
    <w:basedOn w:val="41"/>
    <w:semiHidden/>
    <w:qFormat/>
    <w:uiPriority w:val="99"/>
    <w:rPr>
      <w:rFonts w:ascii="宋体" w:hAnsi="Courier New" w:cs="Courier New"/>
      <w:kern w:val="2"/>
      <w:sz w:val="21"/>
      <w:szCs w:val="21"/>
    </w:rPr>
  </w:style>
  <w:style w:type="paragraph" w:customStyle="1" w:styleId="106">
    <w:name w:val="标题4"/>
    <w:basedOn w:val="21"/>
    <w:qFormat/>
    <w:uiPriority w:val="0"/>
    <w:pPr>
      <w:spacing w:before="60" w:after="60" w:line="324" w:lineRule="auto"/>
      <w:ind w:left="0" w:leftChars="0"/>
      <w:outlineLvl w:val="3"/>
    </w:pPr>
    <w:rPr>
      <w:rFonts w:ascii="Times New Roman" w:hAnsi="Times New Roman" w:eastAsia="黑体" w:cs="Times New Roman"/>
      <w:b/>
      <w:bCs/>
      <w:szCs w:val="24"/>
    </w:rPr>
  </w:style>
  <w:style w:type="paragraph" w:customStyle="1" w:styleId="107">
    <w:name w:val="样式 样式 (西文) 宋体 四号 首行缩进:  2 字符 + 首行缩进:  2 字符1"/>
    <w:basedOn w:val="1"/>
    <w:qFormat/>
    <w:uiPriority w:val="0"/>
    <w:pPr>
      <w:snapToGrid w:val="0"/>
      <w:spacing w:line="360" w:lineRule="auto"/>
      <w:ind w:firstLine="480" w:firstLineChars="200"/>
    </w:pPr>
    <w:rPr>
      <w:rFonts w:ascii="Arial" w:hAnsi="Arial" w:eastAsia="宋体" w:cs="Arial"/>
      <w:color w:val="FF0000"/>
      <w:kern w:val="0"/>
      <w:sz w:val="24"/>
      <w:szCs w:val="21"/>
      <w:lang w:val="zh-CN"/>
    </w:rPr>
  </w:style>
  <w:style w:type="paragraph" w:customStyle="1" w:styleId="108">
    <w:name w:val="样式1"/>
    <w:basedOn w:val="1"/>
    <w:qFormat/>
    <w:uiPriority w:val="0"/>
    <w:pPr>
      <w:spacing w:line="600" w:lineRule="exact"/>
      <w:ind w:firstLine="200" w:firstLineChars="200"/>
    </w:pPr>
    <w:rPr>
      <w:rFonts w:ascii="Times New Roman" w:hAnsi="Times New Roman" w:eastAsia="方正仿宋简体" w:cs="Times New Roman"/>
      <w:sz w:val="32"/>
      <w:szCs w:val="24"/>
    </w:rPr>
  </w:style>
  <w:style w:type="character" w:customStyle="1" w:styleId="109">
    <w:name w:val="正文缩进 Char"/>
    <w:basedOn w:val="41"/>
    <w:qFormat/>
    <w:uiPriority w:val="0"/>
    <w:rPr>
      <w:rFonts w:ascii="仿宋_GB2312" w:eastAsia="仿宋_GB2312"/>
      <w:kern w:val="30"/>
      <w:sz w:val="30"/>
      <w:szCs w:val="30"/>
      <w:lang w:val="en-US" w:eastAsia="zh-CN" w:bidi="ar-SA"/>
    </w:rPr>
  </w:style>
  <w:style w:type="table" w:customStyle="1" w:styleId="110">
    <w:name w:val="网格型3"/>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1">
    <w:name w:val="修订2"/>
    <w:hidden/>
    <w:semiHidden/>
    <w:qFormat/>
    <w:uiPriority w:val="99"/>
    <w:rPr>
      <w:rFonts w:asciiTheme="minorHAnsi" w:hAnsiTheme="minorHAnsi" w:eastAsiaTheme="minorEastAsia" w:cstheme="minorBidi"/>
      <w:kern w:val="2"/>
      <w:sz w:val="21"/>
      <w:szCs w:val="22"/>
      <w:lang w:val="en-US" w:eastAsia="zh-CN" w:bidi="ar-SA"/>
    </w:rPr>
  </w:style>
  <w:style w:type="table" w:customStyle="1" w:styleId="112">
    <w:name w:val="网格型3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32"/>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4">
    <w:name w:val="网格型33"/>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5">
    <w:name w:val="网格型4"/>
    <w:basedOn w:val="39"/>
    <w:qFormat/>
    <w:uiPriority w:val="39"/>
    <w:pPr>
      <w:adjustRightInd w:val="0"/>
      <w:snapToGrid w:val="0"/>
    </w:pPr>
    <w:rPr>
      <w:rFonts w:eastAsia="仿宋_GB2312"/>
      <w:sz w:val="18"/>
    </w:rPr>
    <w:tblPr>
      <w:tblBorders>
        <w:top w:val="single" w:color="auto" w:sz="12" w:space="0"/>
        <w:bottom w:val="single" w:color="auto" w:sz="12" w:space="0"/>
        <w:insideH w:val="single" w:color="auto" w:sz="4" w:space="0"/>
        <w:insideV w:val="single" w:color="auto" w:sz="4" w:space="0"/>
      </w:tblBorders>
    </w:tblPr>
  </w:style>
  <w:style w:type="paragraph" w:customStyle="1" w:styleId="116">
    <w:name w:val="font5"/>
    <w:basedOn w:val="1"/>
    <w:qFormat/>
    <w:uiPriority w:val="0"/>
    <w:pPr>
      <w:spacing w:before="100" w:beforeAutospacing="1" w:after="100" w:afterAutospacing="1"/>
    </w:pPr>
    <w:rPr>
      <w:rFonts w:ascii="Times New Roman" w:hAnsi="Times New Roman" w:eastAsia="宋体" w:cs="Times New Roman"/>
      <w:color w:val="000000"/>
      <w:kern w:val="0"/>
      <w:sz w:val="18"/>
      <w:szCs w:val="18"/>
    </w:rPr>
  </w:style>
  <w:style w:type="paragraph" w:customStyle="1" w:styleId="117">
    <w:name w:val="font6"/>
    <w:basedOn w:val="1"/>
    <w:qFormat/>
    <w:uiPriority w:val="0"/>
    <w:pPr>
      <w:spacing w:before="100" w:beforeAutospacing="1" w:after="100" w:afterAutospacing="1"/>
    </w:pPr>
    <w:rPr>
      <w:rFonts w:ascii="Times New Roman" w:hAnsi="Times New Roman" w:eastAsia="宋体" w:cs="Times New Roman"/>
      <w:color w:val="000000"/>
      <w:kern w:val="0"/>
      <w:sz w:val="18"/>
      <w:szCs w:val="18"/>
    </w:rPr>
  </w:style>
  <w:style w:type="paragraph" w:customStyle="1" w:styleId="118">
    <w:name w:val="font7"/>
    <w:basedOn w:val="1"/>
    <w:qFormat/>
    <w:uiPriority w:val="0"/>
    <w:pPr>
      <w:spacing w:before="100" w:beforeAutospacing="1" w:after="100" w:afterAutospacing="1"/>
    </w:pPr>
    <w:rPr>
      <w:rFonts w:ascii="Times New Roman" w:hAnsi="Times New Roman" w:eastAsia="宋体" w:cs="Times New Roman"/>
      <w:b/>
      <w:bCs/>
      <w:color w:val="000000"/>
      <w:kern w:val="0"/>
      <w:sz w:val="18"/>
      <w:szCs w:val="18"/>
    </w:rPr>
  </w:style>
  <w:style w:type="paragraph" w:customStyle="1" w:styleId="119">
    <w:name w:val="font8"/>
    <w:basedOn w:val="1"/>
    <w:qFormat/>
    <w:uiPriority w:val="0"/>
    <w:pPr>
      <w:spacing w:before="100" w:beforeAutospacing="1" w:after="100" w:afterAutospacing="1"/>
    </w:pPr>
    <w:rPr>
      <w:rFonts w:ascii="Times New Roman" w:hAnsi="Times New Roman" w:eastAsia="宋体" w:cs="Times New Roman"/>
      <w:b/>
      <w:bCs/>
      <w:color w:val="000000"/>
      <w:kern w:val="0"/>
      <w:sz w:val="18"/>
      <w:szCs w:val="18"/>
    </w:rPr>
  </w:style>
  <w:style w:type="paragraph" w:customStyle="1" w:styleId="120">
    <w:name w:val="font9"/>
    <w:basedOn w:val="1"/>
    <w:qFormat/>
    <w:uiPriority w:val="0"/>
    <w:pPr>
      <w:spacing w:before="100" w:beforeAutospacing="1" w:after="100" w:afterAutospacing="1"/>
    </w:pPr>
    <w:rPr>
      <w:rFonts w:ascii="等线" w:hAnsi="等线" w:eastAsia="等线" w:cs="宋体"/>
      <w:kern w:val="0"/>
      <w:sz w:val="18"/>
      <w:szCs w:val="18"/>
    </w:rPr>
  </w:style>
  <w:style w:type="paragraph" w:customStyle="1" w:styleId="121">
    <w:name w:val="font10"/>
    <w:basedOn w:val="1"/>
    <w:qFormat/>
    <w:uiPriority w:val="0"/>
    <w:pPr>
      <w:spacing w:before="100" w:beforeAutospacing="1" w:after="100" w:afterAutospacing="1"/>
    </w:pPr>
    <w:rPr>
      <w:rFonts w:ascii="宋体" w:hAnsi="宋体" w:eastAsia="宋体" w:cs="宋体"/>
      <w:color w:val="000000"/>
      <w:kern w:val="0"/>
      <w:sz w:val="18"/>
      <w:szCs w:val="18"/>
    </w:rPr>
  </w:style>
  <w:style w:type="paragraph" w:customStyle="1" w:styleId="122">
    <w:name w:val="font11"/>
    <w:basedOn w:val="1"/>
    <w:qFormat/>
    <w:uiPriority w:val="0"/>
    <w:pPr>
      <w:spacing w:before="100" w:beforeAutospacing="1" w:after="100" w:afterAutospacing="1"/>
    </w:pPr>
    <w:rPr>
      <w:rFonts w:ascii="宋体" w:hAnsi="宋体" w:eastAsia="宋体" w:cs="宋体"/>
      <w:b/>
      <w:bCs/>
      <w:color w:val="000000"/>
      <w:kern w:val="0"/>
      <w:sz w:val="18"/>
      <w:szCs w:val="18"/>
    </w:rPr>
  </w:style>
  <w:style w:type="paragraph" w:customStyle="1" w:styleId="123">
    <w:name w:val="font12"/>
    <w:basedOn w:val="1"/>
    <w:qFormat/>
    <w:uiPriority w:val="0"/>
    <w:pPr>
      <w:spacing w:before="100" w:beforeAutospacing="1" w:after="100" w:afterAutospacing="1"/>
    </w:pPr>
    <w:rPr>
      <w:rFonts w:ascii="Times New Roman" w:hAnsi="Times New Roman" w:eastAsia="宋体" w:cs="Times New Roman"/>
      <w:color w:val="000000"/>
      <w:kern w:val="0"/>
      <w:sz w:val="18"/>
      <w:szCs w:val="18"/>
    </w:rPr>
  </w:style>
  <w:style w:type="paragraph" w:customStyle="1" w:styleId="124">
    <w:name w:val="font13"/>
    <w:basedOn w:val="1"/>
    <w:qFormat/>
    <w:uiPriority w:val="0"/>
    <w:pPr>
      <w:spacing w:before="100" w:beforeAutospacing="1" w:after="100" w:afterAutospacing="1"/>
    </w:pPr>
    <w:rPr>
      <w:rFonts w:ascii="Times New Roman" w:hAnsi="Times New Roman" w:eastAsia="宋体" w:cs="Times New Roman"/>
      <w:color w:val="000000"/>
      <w:kern w:val="0"/>
      <w:sz w:val="18"/>
      <w:szCs w:val="18"/>
    </w:rPr>
  </w:style>
  <w:style w:type="paragraph" w:customStyle="1" w:styleId="125">
    <w:name w:val="font14"/>
    <w:basedOn w:val="1"/>
    <w:qFormat/>
    <w:uiPriority w:val="0"/>
    <w:pPr>
      <w:spacing w:before="100" w:beforeAutospacing="1" w:after="100" w:afterAutospacing="1"/>
    </w:pPr>
    <w:rPr>
      <w:rFonts w:ascii="宋体" w:hAnsi="宋体" w:eastAsia="宋体" w:cs="宋体"/>
      <w:color w:val="000000"/>
      <w:kern w:val="0"/>
      <w:sz w:val="18"/>
      <w:szCs w:val="18"/>
    </w:rPr>
  </w:style>
  <w:style w:type="paragraph" w:customStyle="1" w:styleId="126">
    <w:name w:val="font15"/>
    <w:basedOn w:val="1"/>
    <w:qFormat/>
    <w:uiPriority w:val="0"/>
    <w:pPr>
      <w:spacing w:before="100" w:beforeAutospacing="1" w:after="100" w:afterAutospacing="1"/>
    </w:pPr>
    <w:rPr>
      <w:rFonts w:ascii="Times New Roman" w:hAnsi="Times New Roman" w:eastAsia="宋体" w:cs="Times New Roman"/>
      <w:b/>
      <w:bCs/>
      <w:color w:val="000000"/>
      <w:kern w:val="0"/>
      <w:sz w:val="18"/>
      <w:szCs w:val="18"/>
    </w:rPr>
  </w:style>
  <w:style w:type="paragraph" w:customStyle="1" w:styleId="127">
    <w:name w:val="font16"/>
    <w:basedOn w:val="1"/>
    <w:qFormat/>
    <w:uiPriority w:val="0"/>
    <w:pPr>
      <w:spacing w:before="100" w:beforeAutospacing="1" w:after="100" w:afterAutospacing="1"/>
    </w:pPr>
    <w:rPr>
      <w:rFonts w:ascii="Times New Roman" w:hAnsi="Times New Roman" w:eastAsia="宋体" w:cs="Times New Roman"/>
      <w:b/>
      <w:bCs/>
      <w:color w:val="000000"/>
      <w:kern w:val="0"/>
      <w:sz w:val="18"/>
      <w:szCs w:val="18"/>
    </w:rPr>
  </w:style>
  <w:style w:type="paragraph" w:customStyle="1" w:styleId="128">
    <w:name w:val="font17"/>
    <w:basedOn w:val="1"/>
    <w:qFormat/>
    <w:uiPriority w:val="0"/>
    <w:pPr>
      <w:spacing w:before="100" w:beforeAutospacing="1" w:after="100" w:afterAutospacing="1"/>
    </w:pPr>
    <w:rPr>
      <w:rFonts w:ascii="Times New Roman" w:hAnsi="Times New Roman" w:eastAsia="宋体" w:cs="Times New Roman"/>
      <w:b/>
      <w:bCs/>
      <w:color w:val="000000"/>
      <w:kern w:val="0"/>
      <w:sz w:val="18"/>
      <w:szCs w:val="18"/>
    </w:rPr>
  </w:style>
  <w:style w:type="paragraph" w:customStyle="1" w:styleId="129">
    <w:name w:val="font18"/>
    <w:basedOn w:val="1"/>
    <w:qFormat/>
    <w:uiPriority w:val="0"/>
    <w:pPr>
      <w:spacing w:before="100" w:beforeAutospacing="1" w:after="100" w:afterAutospacing="1"/>
    </w:pPr>
    <w:rPr>
      <w:rFonts w:ascii="Times New Roman" w:hAnsi="Times New Roman" w:eastAsia="宋体" w:cs="Times New Roman"/>
      <w:color w:val="000000"/>
      <w:kern w:val="0"/>
      <w:sz w:val="18"/>
      <w:szCs w:val="18"/>
    </w:rPr>
  </w:style>
  <w:style w:type="paragraph" w:customStyle="1" w:styleId="130">
    <w:name w:val="font19"/>
    <w:basedOn w:val="1"/>
    <w:qFormat/>
    <w:uiPriority w:val="0"/>
    <w:pPr>
      <w:spacing w:before="100" w:beforeAutospacing="1" w:after="100" w:afterAutospacing="1"/>
    </w:pPr>
    <w:rPr>
      <w:rFonts w:ascii="宋体" w:hAnsi="宋体" w:eastAsia="宋体" w:cs="宋体"/>
      <w:color w:val="000000"/>
      <w:kern w:val="0"/>
      <w:sz w:val="18"/>
      <w:szCs w:val="18"/>
    </w:rPr>
  </w:style>
  <w:style w:type="paragraph" w:customStyle="1" w:styleId="131">
    <w:name w:val="font20"/>
    <w:basedOn w:val="1"/>
    <w:qFormat/>
    <w:uiPriority w:val="0"/>
    <w:pPr>
      <w:spacing w:before="100" w:beforeAutospacing="1" w:after="100" w:afterAutospacing="1"/>
    </w:pPr>
    <w:rPr>
      <w:rFonts w:ascii="宋体" w:hAnsi="宋体" w:eastAsia="宋体" w:cs="宋体"/>
      <w:b/>
      <w:bCs/>
      <w:color w:val="000000"/>
      <w:kern w:val="0"/>
      <w:sz w:val="18"/>
      <w:szCs w:val="18"/>
    </w:rPr>
  </w:style>
  <w:style w:type="paragraph" w:customStyle="1" w:styleId="132">
    <w:name w:val="font21"/>
    <w:basedOn w:val="1"/>
    <w:qFormat/>
    <w:uiPriority w:val="0"/>
    <w:pPr>
      <w:spacing w:before="100" w:beforeAutospacing="1" w:after="100" w:afterAutospacing="1"/>
    </w:pPr>
    <w:rPr>
      <w:rFonts w:ascii="宋体" w:hAnsi="宋体" w:eastAsia="宋体" w:cs="宋体"/>
      <w:b/>
      <w:bCs/>
      <w:color w:val="000000"/>
      <w:kern w:val="0"/>
      <w:sz w:val="18"/>
      <w:szCs w:val="18"/>
    </w:rPr>
  </w:style>
  <w:style w:type="paragraph" w:customStyle="1" w:styleId="133">
    <w:name w:val="font22"/>
    <w:basedOn w:val="1"/>
    <w:qFormat/>
    <w:uiPriority w:val="0"/>
    <w:pPr>
      <w:spacing w:before="100" w:beforeAutospacing="1" w:after="100" w:afterAutospacing="1"/>
    </w:pPr>
    <w:rPr>
      <w:rFonts w:ascii="Times New Roman" w:hAnsi="Times New Roman" w:eastAsia="宋体" w:cs="Times New Roman"/>
      <w:color w:val="000000"/>
      <w:kern w:val="0"/>
      <w:sz w:val="18"/>
      <w:szCs w:val="18"/>
    </w:rPr>
  </w:style>
  <w:style w:type="paragraph" w:customStyle="1" w:styleId="134">
    <w:name w:val="font23"/>
    <w:basedOn w:val="1"/>
    <w:qFormat/>
    <w:uiPriority w:val="0"/>
    <w:pPr>
      <w:spacing w:before="100" w:beforeAutospacing="1" w:after="100" w:afterAutospacing="1"/>
    </w:pPr>
    <w:rPr>
      <w:rFonts w:ascii="Times New Roman" w:hAnsi="Times New Roman" w:eastAsia="宋体" w:cs="Times New Roman"/>
      <w:color w:val="000000"/>
      <w:kern w:val="0"/>
      <w:sz w:val="12"/>
      <w:szCs w:val="12"/>
    </w:rPr>
  </w:style>
  <w:style w:type="paragraph" w:customStyle="1" w:styleId="135">
    <w:name w:val="font24"/>
    <w:basedOn w:val="1"/>
    <w:qFormat/>
    <w:uiPriority w:val="0"/>
    <w:pPr>
      <w:spacing w:before="100" w:beforeAutospacing="1" w:after="100" w:afterAutospacing="1"/>
    </w:pPr>
    <w:rPr>
      <w:rFonts w:ascii="Times New Roman" w:hAnsi="Times New Roman" w:eastAsia="宋体" w:cs="Times New Roman"/>
      <w:color w:val="000000"/>
      <w:kern w:val="0"/>
      <w:sz w:val="12"/>
      <w:szCs w:val="12"/>
    </w:rPr>
  </w:style>
  <w:style w:type="paragraph" w:customStyle="1" w:styleId="136">
    <w:name w:val="font25"/>
    <w:basedOn w:val="1"/>
    <w:qFormat/>
    <w:uiPriority w:val="0"/>
    <w:pPr>
      <w:spacing w:before="100" w:beforeAutospacing="1" w:after="100" w:afterAutospacing="1"/>
    </w:pPr>
    <w:rPr>
      <w:rFonts w:ascii="宋体" w:hAnsi="宋体" w:eastAsia="宋体" w:cs="宋体"/>
      <w:color w:val="000000"/>
      <w:kern w:val="0"/>
      <w:sz w:val="12"/>
      <w:szCs w:val="12"/>
    </w:rPr>
  </w:style>
  <w:style w:type="paragraph" w:customStyle="1" w:styleId="137">
    <w:name w:val="font26"/>
    <w:basedOn w:val="1"/>
    <w:qFormat/>
    <w:uiPriority w:val="0"/>
    <w:pPr>
      <w:spacing w:before="100" w:beforeAutospacing="1" w:after="100" w:afterAutospacing="1"/>
    </w:pPr>
    <w:rPr>
      <w:rFonts w:ascii="微软雅黑" w:hAnsi="微软雅黑" w:eastAsia="微软雅黑" w:cs="宋体"/>
      <w:color w:val="000000"/>
      <w:kern w:val="0"/>
      <w:sz w:val="12"/>
      <w:szCs w:val="12"/>
    </w:rPr>
  </w:style>
  <w:style w:type="paragraph" w:customStyle="1" w:styleId="138">
    <w:name w:val="font27"/>
    <w:basedOn w:val="1"/>
    <w:qFormat/>
    <w:uiPriority w:val="0"/>
    <w:pPr>
      <w:spacing w:before="100" w:beforeAutospacing="1" w:after="100" w:afterAutospacing="1"/>
    </w:pPr>
    <w:rPr>
      <w:rFonts w:ascii="微软雅黑" w:hAnsi="微软雅黑" w:eastAsia="微软雅黑" w:cs="宋体"/>
      <w:color w:val="000000"/>
      <w:kern w:val="0"/>
      <w:sz w:val="12"/>
      <w:szCs w:val="12"/>
    </w:rPr>
  </w:style>
  <w:style w:type="paragraph" w:customStyle="1" w:styleId="139">
    <w:name w:val="font28"/>
    <w:basedOn w:val="1"/>
    <w:qFormat/>
    <w:uiPriority w:val="0"/>
    <w:pPr>
      <w:spacing w:before="100" w:beforeAutospacing="1" w:after="100" w:afterAutospacing="1"/>
    </w:pPr>
    <w:rPr>
      <w:rFonts w:ascii="微软雅黑" w:hAnsi="微软雅黑" w:eastAsia="微软雅黑" w:cs="宋体"/>
      <w:color w:val="000000"/>
      <w:kern w:val="0"/>
      <w:sz w:val="18"/>
      <w:szCs w:val="18"/>
    </w:rPr>
  </w:style>
  <w:style w:type="paragraph" w:customStyle="1" w:styleId="140">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000000"/>
      <w:kern w:val="0"/>
      <w:sz w:val="18"/>
      <w:szCs w:val="18"/>
    </w:rPr>
  </w:style>
  <w:style w:type="paragraph" w:customStyle="1" w:styleId="141">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18"/>
      <w:szCs w:val="18"/>
    </w:rPr>
  </w:style>
  <w:style w:type="paragraph" w:customStyle="1" w:styleId="142">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eastAsia="宋体" w:cs="Times New Roman"/>
      <w:kern w:val="0"/>
      <w:sz w:val="18"/>
      <w:szCs w:val="18"/>
    </w:rPr>
  </w:style>
  <w:style w:type="paragraph" w:customStyle="1" w:styleId="143">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44">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145">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46">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000000"/>
      <w:kern w:val="0"/>
      <w:sz w:val="18"/>
      <w:szCs w:val="18"/>
    </w:rPr>
  </w:style>
  <w:style w:type="paragraph" w:customStyle="1" w:styleId="147">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48">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b/>
      <w:bCs/>
      <w:color w:val="000000"/>
      <w:kern w:val="0"/>
      <w:sz w:val="18"/>
      <w:szCs w:val="18"/>
    </w:rPr>
  </w:style>
  <w:style w:type="paragraph" w:customStyle="1" w:styleId="149">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50">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18"/>
      <w:szCs w:val="18"/>
    </w:rPr>
  </w:style>
  <w:style w:type="paragraph" w:customStyle="1" w:styleId="151">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2"/>
      <w:szCs w:val="12"/>
    </w:rPr>
  </w:style>
  <w:style w:type="paragraph" w:customStyle="1" w:styleId="152">
    <w:name w:val="xl7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2"/>
      <w:szCs w:val="12"/>
    </w:rPr>
  </w:style>
  <w:style w:type="paragraph" w:customStyle="1" w:styleId="153">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2"/>
      <w:szCs w:val="12"/>
    </w:rPr>
  </w:style>
  <w:style w:type="paragraph" w:customStyle="1" w:styleId="154">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color w:val="000000"/>
      <w:kern w:val="0"/>
      <w:sz w:val="18"/>
      <w:szCs w:val="18"/>
    </w:rPr>
  </w:style>
  <w:style w:type="paragraph" w:customStyle="1" w:styleId="155">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2"/>
      <w:szCs w:val="12"/>
    </w:rPr>
  </w:style>
  <w:style w:type="paragraph" w:customStyle="1" w:styleId="156">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18"/>
      <w:szCs w:val="18"/>
    </w:rPr>
  </w:style>
  <w:style w:type="paragraph" w:customStyle="1" w:styleId="157">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宋体"/>
      <w:color w:val="000000"/>
      <w:kern w:val="0"/>
      <w:sz w:val="12"/>
      <w:szCs w:val="12"/>
    </w:rPr>
  </w:style>
  <w:style w:type="paragraph" w:customStyle="1" w:styleId="158">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b/>
      <w:bCs/>
      <w:kern w:val="0"/>
      <w:sz w:val="12"/>
      <w:szCs w:val="12"/>
    </w:rPr>
  </w:style>
  <w:style w:type="paragraph" w:customStyle="1" w:styleId="159">
    <w:name w:val="xl84"/>
    <w:basedOn w:val="1"/>
    <w:qFormat/>
    <w:uiPriority w:val="0"/>
    <w:pPr>
      <w:pBdr>
        <w:top w:val="single" w:color="auto" w:sz="4" w:space="0"/>
        <w:left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60">
    <w:name w:val="xl85"/>
    <w:basedOn w:val="1"/>
    <w:qFormat/>
    <w:uiPriority w:val="0"/>
    <w:pPr>
      <w:pBdr>
        <w:left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61">
    <w:name w:val="xl86"/>
    <w:basedOn w:val="1"/>
    <w:qFormat/>
    <w:uiPriority w:val="0"/>
    <w:pPr>
      <w:pBdr>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宋体" w:cs="Times New Roman"/>
      <w:color w:val="000000"/>
      <w:kern w:val="0"/>
      <w:sz w:val="18"/>
      <w:szCs w:val="18"/>
    </w:rPr>
  </w:style>
  <w:style w:type="paragraph" w:customStyle="1" w:styleId="162">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63">
    <w:name w:val="xl88"/>
    <w:basedOn w:val="1"/>
    <w:qFormat/>
    <w:uiPriority w:val="0"/>
    <w:pPr>
      <w:pBdr>
        <w:top w:val="single" w:color="auto" w:sz="4" w:space="0"/>
        <w:lef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64">
    <w:name w:val="xl89"/>
    <w:basedOn w:val="1"/>
    <w:qFormat/>
    <w:uiPriority w:val="0"/>
    <w:pPr>
      <w:pBdr>
        <w:top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65">
    <w:name w:val="xl90"/>
    <w:basedOn w:val="1"/>
    <w:qFormat/>
    <w:uiPriority w:val="0"/>
    <w:pPr>
      <w:pBdr>
        <w:lef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66">
    <w:name w:val="xl91"/>
    <w:basedOn w:val="1"/>
    <w:qFormat/>
    <w:uiPriority w:val="0"/>
    <w:pPr>
      <w:pBdr>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167">
    <w:name w:val="xl92"/>
    <w:basedOn w:val="1"/>
    <w:qFormat/>
    <w:uiPriority w:val="0"/>
    <w:pPr>
      <w:pBdr>
        <w:top w:val="single" w:color="auto" w:sz="4" w:space="0"/>
        <w:lef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168">
    <w:name w:val="xl93"/>
    <w:basedOn w:val="1"/>
    <w:qFormat/>
    <w:uiPriority w:val="0"/>
    <w:pPr>
      <w:pBdr>
        <w:top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169">
    <w:name w:val="xl94"/>
    <w:basedOn w:val="1"/>
    <w:qFormat/>
    <w:uiPriority w:val="0"/>
    <w:pPr>
      <w:pBdr>
        <w:lef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170">
    <w:name w:val="xl95"/>
    <w:basedOn w:val="1"/>
    <w:qFormat/>
    <w:uiPriority w:val="0"/>
    <w:pPr>
      <w:pBdr>
        <w:righ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171">
    <w:name w:val="xl96"/>
    <w:basedOn w:val="1"/>
    <w:qFormat/>
    <w:uiPriority w:val="0"/>
    <w:pPr>
      <w:pBdr>
        <w:left w:val="single" w:color="auto" w:sz="4" w:space="0"/>
        <w:bottom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paragraph" w:customStyle="1" w:styleId="172">
    <w:name w:val="xl97"/>
    <w:basedOn w:val="1"/>
    <w:qFormat/>
    <w:uiPriority w:val="0"/>
    <w:pPr>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 w:val="18"/>
      <w:szCs w:val="18"/>
    </w:rPr>
  </w:style>
  <w:style w:type="table" w:customStyle="1" w:styleId="173">
    <w:name w:val="网格型34"/>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4">
    <w:name w:val="网格型5"/>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5">
    <w:name w:val="样式 首行缩进:  2 字符"/>
    <w:basedOn w:val="1"/>
    <w:qFormat/>
    <w:uiPriority w:val="0"/>
    <w:pPr>
      <w:autoSpaceDE w:val="0"/>
      <w:autoSpaceDN w:val="0"/>
      <w:adjustRightInd w:val="0"/>
      <w:snapToGrid w:val="0"/>
      <w:spacing w:line="360" w:lineRule="auto"/>
      <w:ind w:firstLine="200" w:firstLineChars="200"/>
    </w:pPr>
    <w:rPr>
      <w:rFonts w:ascii="Times New Roman" w:hAnsi="Times New Roman" w:eastAsia="宋体" w:cs="宋体"/>
      <w:kern w:val="0"/>
      <w:sz w:val="24"/>
      <w:szCs w:val="20"/>
      <w:lang w:val="zh-CN"/>
    </w:rPr>
  </w:style>
  <w:style w:type="character" w:customStyle="1" w:styleId="176">
    <w:name w:val="未处理的提及1"/>
    <w:basedOn w:val="41"/>
    <w:semiHidden/>
    <w:unhideWhenUsed/>
    <w:qFormat/>
    <w:uiPriority w:val="99"/>
    <w:rPr>
      <w:color w:val="605E5C"/>
      <w:shd w:val="clear" w:color="auto" w:fill="E1DFDD"/>
    </w:rPr>
  </w:style>
  <w:style w:type="table" w:customStyle="1" w:styleId="177">
    <w:name w:val="网格型6"/>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8">
    <w:name w:val="网格型35"/>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9">
    <w:name w:val="网格型7"/>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0">
    <w:name w:val="Table Normal3"/>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81">
    <w:name w:val="Table Normal11"/>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82">
    <w:name w:val="Table Normal21"/>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83">
    <w:name w:val="网格型1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4">
    <w:name w:val="网格型2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5">
    <w:name w:val="网格型36"/>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6">
    <w:name w:val="网格型31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7">
    <w:name w:val="网格型32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8">
    <w:name w:val="网格型33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9">
    <w:name w:val="网格型41"/>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0">
    <w:name w:val="网格型34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1">
    <w:name w:val="网格型5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2">
    <w:name w:val="未处理的提及11"/>
    <w:basedOn w:val="41"/>
    <w:semiHidden/>
    <w:unhideWhenUsed/>
    <w:qFormat/>
    <w:uiPriority w:val="99"/>
    <w:rPr>
      <w:color w:val="605E5C"/>
      <w:shd w:val="clear" w:color="auto" w:fill="E1DFDD"/>
    </w:rPr>
  </w:style>
  <w:style w:type="table" w:customStyle="1" w:styleId="193">
    <w:name w:val="网格型61"/>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4">
    <w:name w:val="网格型351"/>
    <w:basedOn w:val="3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5">
    <w:name w:val="网格型8"/>
    <w:basedOn w:val="3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96">
    <w:name w:val="水保正式表格"/>
    <w:basedOn w:val="39"/>
    <w:qFormat/>
    <w:uiPriority w:val="99"/>
    <w:pPr>
      <w:adjustRightInd w:val="0"/>
      <w:snapToGrid w:val="0"/>
      <w:spacing w:before="40" w:after="40"/>
      <w:jc w:val="center"/>
    </w:pPr>
    <w:rPr>
      <w:sz w:val="18"/>
    </w:rPr>
    <w:tblPr>
      <w:jc w:val="center"/>
      <w:tblBorders>
        <w:top w:val="single" w:color="auto" w:sz="12" w:space="0"/>
        <w:bottom w:val="single" w:color="auto" w:sz="12" w:space="0"/>
        <w:insideH w:val="single" w:color="auto" w:sz="4" w:space="0"/>
        <w:insideV w:val="single" w:color="auto" w:sz="4" w:space="0"/>
      </w:tblBorders>
    </w:tblPr>
    <w:trPr>
      <w:jc w:val="center"/>
    </w:trPr>
    <w:tcPr>
      <w:tcMar>
        <w:left w:w="28" w:type="dxa"/>
        <w:right w:w="28" w:type="dxa"/>
      </w:tcMar>
      <w:vAlign w:val="center"/>
    </w:tcPr>
  </w:style>
  <w:style w:type="table" w:customStyle="1" w:styleId="197">
    <w:name w:val="水保正式表格1"/>
    <w:basedOn w:val="39"/>
    <w:qFormat/>
    <w:uiPriority w:val="99"/>
    <w:pPr>
      <w:adjustRightInd w:val="0"/>
      <w:snapToGrid w:val="0"/>
      <w:spacing w:before="40" w:after="40"/>
      <w:jc w:val="center"/>
    </w:pPr>
    <w:rPr>
      <w:sz w:val="18"/>
    </w:rPr>
    <w:tblPr>
      <w:jc w:val="center"/>
      <w:tblBorders>
        <w:top w:val="single" w:color="auto" w:sz="12" w:space="0"/>
        <w:bottom w:val="single" w:color="auto" w:sz="12" w:space="0"/>
        <w:insideH w:val="single" w:color="auto" w:sz="4" w:space="0"/>
        <w:insideV w:val="single" w:color="auto" w:sz="4" w:space="0"/>
      </w:tblBorders>
    </w:tblPr>
    <w:trPr>
      <w:jc w:val="center"/>
    </w:trPr>
    <w:tcPr>
      <w:tcMar>
        <w:left w:w="28" w:type="dxa"/>
        <w:right w:w="28" w:type="dxa"/>
      </w:tcMar>
      <w:vAlign w:val="center"/>
    </w:tcPr>
  </w:style>
  <w:style w:type="table" w:customStyle="1" w:styleId="198">
    <w:name w:val="水保正式表格2"/>
    <w:basedOn w:val="39"/>
    <w:qFormat/>
    <w:uiPriority w:val="99"/>
    <w:pPr>
      <w:adjustRightInd w:val="0"/>
      <w:snapToGrid w:val="0"/>
      <w:spacing w:before="40" w:after="40"/>
      <w:jc w:val="center"/>
    </w:pPr>
    <w:rPr>
      <w:sz w:val="18"/>
    </w:rPr>
    <w:tblPr>
      <w:jc w:val="center"/>
      <w:tblBorders>
        <w:top w:val="single" w:color="auto" w:sz="12" w:space="0"/>
        <w:bottom w:val="single" w:color="auto" w:sz="12" w:space="0"/>
        <w:insideH w:val="single" w:color="auto" w:sz="4" w:space="0"/>
        <w:insideV w:val="single" w:color="auto" w:sz="4" w:space="0"/>
      </w:tblBorders>
    </w:tblPr>
    <w:trPr>
      <w:jc w:val="center"/>
    </w:trPr>
    <w:tcPr>
      <w:tcMar>
        <w:left w:w="28" w:type="dxa"/>
        <w:right w:w="28" w:type="dxa"/>
      </w:tcMar>
      <w:vAlign w:val="center"/>
    </w:tcPr>
  </w:style>
  <w:style w:type="paragraph" w:customStyle="1" w:styleId="199">
    <w:name w:val="表文"/>
    <w:basedOn w:val="1"/>
    <w:next w:val="1"/>
    <w:link w:val="200"/>
    <w:qFormat/>
    <w:uiPriority w:val="0"/>
    <w:pPr>
      <w:adjustRightInd w:val="0"/>
      <w:snapToGrid w:val="0"/>
      <w:jc w:val="center"/>
    </w:pPr>
    <w:rPr>
      <w:rFonts w:ascii="Times New Roman" w:hAnsi="Times New Roman" w:eastAsia="仿宋_GB2312" w:cs="Times New Roman"/>
      <w:kern w:val="0"/>
      <w:sz w:val="18"/>
      <w:szCs w:val="18"/>
    </w:rPr>
  </w:style>
  <w:style w:type="character" w:customStyle="1" w:styleId="200">
    <w:name w:val="表文 Char"/>
    <w:link w:val="199"/>
    <w:qFormat/>
    <w:uiPriority w:val="0"/>
    <w:rPr>
      <w:rFonts w:ascii="Times New Roman" w:hAnsi="Times New Roman" w:eastAsia="仿宋_GB2312" w:cs="Times New Roman"/>
      <w:sz w:val="18"/>
      <w:szCs w:val="18"/>
    </w:rPr>
  </w:style>
  <w:style w:type="table" w:customStyle="1" w:styleId="201">
    <w:name w:val="水保表格专用"/>
    <w:basedOn w:val="39"/>
    <w:qFormat/>
    <w:uiPriority w:val="99"/>
    <w:pPr>
      <w:jc w:val="center"/>
    </w:pPr>
    <w:rPr>
      <w:sz w:val="18"/>
    </w:r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202">
    <w:name w:val="Char Char Char Char Char Char Char Char Char Char Char Char Char Char Char Char Char Char1 Char Char Char Char"/>
    <w:basedOn w:val="1"/>
    <w:qFormat/>
    <w:uiPriority w:val="0"/>
    <w:rPr>
      <w:rFonts w:ascii="Times New Roman" w:hAnsi="Times New Roman" w:eastAsia="宋体" w:cs="Times New Roman"/>
      <w:szCs w:val="24"/>
    </w:rPr>
  </w:style>
  <w:style w:type="character" w:customStyle="1" w:styleId="203">
    <w:name w:val="批注文字 Char1"/>
    <w:basedOn w:val="41"/>
    <w:qFormat/>
    <w:uiPriority w:val="0"/>
    <w:rPr>
      <w:rFonts w:ascii="Times New Roman" w:hAnsi="Times New Roman" w:eastAsia="宋体" w:cs="Times New Roman"/>
      <w:kern w:val="0"/>
      <w:sz w:val="24"/>
      <w:szCs w:val="28"/>
    </w:rPr>
  </w:style>
  <w:style w:type="table" w:customStyle="1" w:styleId="204">
    <w:name w:val="水保正式表格3"/>
    <w:basedOn w:val="39"/>
    <w:qFormat/>
    <w:uiPriority w:val="99"/>
    <w:pPr>
      <w:adjustRightInd w:val="0"/>
      <w:snapToGrid w:val="0"/>
      <w:spacing w:before="40" w:after="40"/>
      <w:jc w:val="center"/>
    </w:pPr>
    <w:rPr>
      <w:sz w:val="18"/>
    </w:rPr>
    <w:tblPr>
      <w:jc w:val="center"/>
      <w:tblBorders>
        <w:top w:val="single" w:color="auto" w:sz="12" w:space="0"/>
        <w:bottom w:val="single" w:color="auto" w:sz="12" w:space="0"/>
        <w:insideH w:val="single" w:color="auto" w:sz="4" w:space="0"/>
        <w:insideV w:val="single" w:color="auto" w:sz="4" w:space="0"/>
      </w:tblBorders>
    </w:tblPr>
    <w:trPr>
      <w:jc w:val="center"/>
    </w:trPr>
    <w:tcPr>
      <w:tcMar>
        <w:left w:w="28" w:type="dxa"/>
        <w:right w:w="28" w:type="dxa"/>
      </w:tcMar>
      <w:vAlign w:val="center"/>
    </w:tcPr>
  </w:style>
  <w:style w:type="paragraph" w:customStyle="1" w:styleId="205">
    <w:name w:val="表格文字"/>
    <w:basedOn w:val="1"/>
    <w:next w:val="29"/>
    <w:link w:val="208"/>
    <w:qFormat/>
    <w:uiPriority w:val="0"/>
    <w:pPr>
      <w:widowControl w:val="0"/>
      <w:adjustRightInd w:val="0"/>
      <w:spacing w:line="300" w:lineRule="exact"/>
      <w:ind w:firstLine="200" w:firstLineChars="200"/>
      <w:contextualSpacing/>
      <w:jc w:val="center"/>
      <w:textAlignment w:val="center"/>
    </w:pPr>
    <w:rPr>
      <w:rFonts w:ascii="宋体" w:hAnsi="Times New Roman" w:eastAsia="宋体" w:cs="Times New Roman"/>
      <w:sz w:val="18"/>
      <w:szCs w:val="18"/>
      <w:lang w:val="zh-CN"/>
    </w:rPr>
  </w:style>
  <w:style w:type="character" w:customStyle="1" w:styleId="206">
    <w:name w:val="xyb自建正文 Char"/>
    <w:link w:val="207"/>
    <w:qFormat/>
    <w:uiPriority w:val="0"/>
    <w:rPr>
      <w:rFonts w:ascii="宋体" w:hAnsi="宋体" w:cs="宋体"/>
      <w:spacing w:val="-2"/>
      <w:sz w:val="24"/>
      <w:szCs w:val="24"/>
    </w:rPr>
  </w:style>
  <w:style w:type="paragraph" w:customStyle="1" w:styleId="207">
    <w:name w:val="xyb自建正文"/>
    <w:basedOn w:val="1"/>
    <w:link w:val="206"/>
    <w:qFormat/>
    <w:uiPriority w:val="0"/>
    <w:pPr>
      <w:tabs>
        <w:tab w:val="left" w:pos="1440"/>
        <w:tab w:val="left" w:pos="8280"/>
      </w:tabs>
      <w:spacing w:line="360" w:lineRule="auto"/>
      <w:ind w:firstLine="472" w:firstLineChars="200"/>
      <w:jc w:val="both"/>
    </w:pPr>
    <w:rPr>
      <w:rFonts w:ascii="宋体" w:hAnsi="宋体" w:cs="宋体"/>
      <w:spacing w:val="-2"/>
      <w:kern w:val="0"/>
      <w:sz w:val="24"/>
      <w:szCs w:val="24"/>
    </w:rPr>
  </w:style>
  <w:style w:type="character" w:customStyle="1" w:styleId="208">
    <w:name w:val="无间隔 Char"/>
    <w:link w:val="205"/>
    <w:qFormat/>
    <w:uiPriority w:val="0"/>
    <w:rPr>
      <w:rFonts w:ascii="宋体" w:hAnsi="Times New Roman" w:eastAsia="宋体" w:cs="Times New Roman"/>
      <w:kern w:val="2"/>
      <w:sz w:val="18"/>
      <w:szCs w:val="18"/>
      <w:lang w:val="zh-CN" w:eastAsia="zh-CN"/>
    </w:rPr>
  </w:style>
  <w:style w:type="paragraph" w:customStyle="1" w:styleId="209">
    <w:name w:val="修订3"/>
    <w:hidden/>
    <w:unhideWhenUsed/>
    <w:qFormat/>
    <w:uiPriority w:val="99"/>
    <w:rPr>
      <w:rFonts w:asciiTheme="minorHAnsi" w:hAnsiTheme="minorHAnsi" w:eastAsiaTheme="minorEastAsia" w:cstheme="minorBidi"/>
      <w:kern w:val="2"/>
      <w:sz w:val="21"/>
      <w:szCs w:val="22"/>
      <w:lang w:val="en-US" w:eastAsia="zh-CN" w:bidi="ar-SA"/>
    </w:rPr>
  </w:style>
  <w:style w:type="table" w:customStyle="1" w:styleId="210">
    <w:name w:val="样式20"/>
    <w:basedOn w:val="39"/>
    <w:qFormat/>
    <w:uiPriority w:val="99"/>
    <w:rPr>
      <w:rFonts w:ascii="仿宋_GB2312" w:hAnsi="方正藏文新白体_Unicode" w:eastAsia="仿宋_GB2312" w:cs="方正藏文新白体_Unicode"/>
      <w:sz w:val="18"/>
    </w:rPr>
    <w:tblPr>
      <w:jc w:val="center"/>
      <w:tblBorders>
        <w:top w:val="single" w:color="auto" w:sz="12" w:space="0"/>
        <w:bottom w:val="single" w:color="auto" w:sz="12" w:space="0"/>
        <w:insideH w:val="single" w:color="auto" w:sz="6" w:space="0"/>
        <w:insideV w:val="single" w:color="auto" w:sz="6" w:space="0"/>
      </w:tblBorders>
    </w:tblPr>
    <w:trPr>
      <w:jc w:val="center"/>
    </w:trPr>
    <w:tcPr>
      <w:vAlign w:val="center"/>
    </w:tcPr>
  </w:style>
  <w:style w:type="character" w:customStyle="1" w:styleId="211">
    <w:name w:val="font41"/>
    <w:basedOn w:val="41"/>
    <w:qFormat/>
    <w:uiPriority w:val="0"/>
    <w:rPr>
      <w:rFonts w:hint="default" w:ascii="Times New Roman" w:hAnsi="Times New Roman" w:cs="Times New Roman"/>
      <w:color w:val="000000"/>
      <w:sz w:val="18"/>
      <w:szCs w:val="18"/>
      <w:u w:val="none"/>
    </w:rPr>
  </w:style>
  <w:style w:type="character" w:customStyle="1" w:styleId="212">
    <w:name w:val="font01"/>
    <w:basedOn w:val="41"/>
    <w:qFormat/>
    <w:uiPriority w:val="0"/>
    <w:rPr>
      <w:rFonts w:hint="default" w:ascii="Times New Roman" w:hAnsi="Times New Roman" w:cs="Times New Roman"/>
      <w:color w:val="000000"/>
      <w:sz w:val="18"/>
      <w:szCs w:val="18"/>
      <w:u w:val="none"/>
      <w:vertAlign w:val="superscript"/>
    </w:rPr>
  </w:style>
  <w:style w:type="character" w:customStyle="1" w:styleId="213">
    <w:name w:val="font61"/>
    <w:basedOn w:val="41"/>
    <w:qFormat/>
    <w:uiPriority w:val="0"/>
    <w:rPr>
      <w:rFonts w:hint="default" w:ascii="Times New Roman" w:hAnsi="Times New Roman" w:cs="Times New Roman"/>
      <w:b/>
      <w:bCs/>
      <w:color w:val="0000FF"/>
      <w:sz w:val="18"/>
      <w:szCs w:val="18"/>
      <w:u w:val="none"/>
    </w:rPr>
  </w:style>
  <w:style w:type="character" w:customStyle="1" w:styleId="214">
    <w:name w:val="font91"/>
    <w:basedOn w:val="41"/>
    <w:qFormat/>
    <w:uiPriority w:val="0"/>
    <w:rPr>
      <w:rFonts w:hint="default" w:ascii="Times New Roman" w:hAnsi="Times New Roman" w:cs="Times New Roman"/>
      <w:b/>
      <w:bCs/>
      <w:color w:val="0000FF"/>
      <w:sz w:val="18"/>
      <w:szCs w:val="18"/>
      <w:u w:val="none"/>
      <w:vertAlign w:val="superscript"/>
    </w:rPr>
  </w:style>
  <w:style w:type="character" w:customStyle="1" w:styleId="215">
    <w:name w:val="font31"/>
    <w:basedOn w:val="41"/>
    <w:qFormat/>
    <w:uiPriority w:val="0"/>
    <w:rPr>
      <w:rFonts w:hint="eastAsia" w:ascii="宋体" w:hAnsi="宋体" w:eastAsia="宋体" w:cs="宋体"/>
      <w:color w:val="000000"/>
      <w:sz w:val="18"/>
      <w:szCs w:val="18"/>
      <w:u w:val="none"/>
    </w:rPr>
  </w:style>
  <w:style w:type="character" w:customStyle="1" w:styleId="216">
    <w:name w:val="font71"/>
    <w:basedOn w:val="41"/>
    <w:qFormat/>
    <w:uiPriority w:val="0"/>
    <w:rPr>
      <w:rFonts w:hint="default" w:ascii="Times New Roman" w:hAnsi="Times New Roman" w:cs="Times New Roman"/>
      <w:color w:val="000000"/>
      <w:sz w:val="18"/>
      <w:szCs w:val="18"/>
      <w:u w:val="none"/>
    </w:rPr>
  </w:style>
  <w:style w:type="character" w:customStyle="1" w:styleId="217">
    <w:name w:val="font81"/>
    <w:basedOn w:val="41"/>
    <w:qFormat/>
    <w:uiPriority w:val="0"/>
    <w:rPr>
      <w:rFonts w:hint="default" w:ascii="Times New Roman" w:hAnsi="Times New Roman" w:cs="Times New Roman"/>
      <w:color w:val="000000"/>
      <w:sz w:val="18"/>
      <w:szCs w:val="18"/>
      <w:u w:val="none"/>
    </w:rPr>
  </w:style>
  <w:style w:type="character" w:customStyle="1" w:styleId="218">
    <w:name w:val="font51"/>
    <w:basedOn w:val="41"/>
    <w:qFormat/>
    <w:uiPriority w:val="0"/>
    <w:rPr>
      <w:rFonts w:hint="default" w:ascii="Times New Roman" w:hAnsi="Times New Roman" w:cs="Times New Roma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wmf"/><Relationship Id="rId33" Type="http://schemas.openxmlformats.org/officeDocument/2006/relationships/oleObject" Target="embeddings/oleObject2.bin"/><Relationship Id="rId32" Type="http://schemas.openxmlformats.org/officeDocument/2006/relationships/image" Target="media/image15.wmf"/><Relationship Id="rId31" Type="http://schemas.openxmlformats.org/officeDocument/2006/relationships/oleObject" Target="embeddings/oleObject1.bin"/><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E000A1-AEE2-4688-8B93-AB2395A71A2F}">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87</Pages>
  <Words>44340</Words>
  <Characters>51823</Characters>
  <Lines>499</Lines>
  <Paragraphs>140</Paragraphs>
  <TotalTime>86</TotalTime>
  <ScaleCrop>false</ScaleCrop>
  <LinksUpToDate>false</LinksUpToDate>
  <CharactersWithSpaces>52735</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2019-03-31T07:53:00Z</dcterms:created>
  <dc:creator>ξ九命;YZQ</dc:creator>
  <cp:lastModifiedBy>玄午</cp:lastModifiedBy>
  <cp:lastPrinted>2022-04-01T07:46:00Z</cp:lastPrinted>
  <dcterms:modified xsi:type="dcterms:W3CDTF">2022-09-09T10:03:17Z</dcterms:modified>
  <cp:revision>264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899FE482EBCB4372B37D3136B45F9B97</vt:lpwstr>
  </property>
  <property fmtid="{D5CDD505-2E9C-101B-9397-08002B2CF9AE}" pid="4" name="commondata">
    <vt:lpwstr>eyJoZGlkIjoiMTJhYTE0MDFiY2JhYTY0OWYyYWM0MGQxOTZlOWQwNTYifQ==</vt:lpwstr>
  </property>
</Properties>
</file>