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Times New Roman"/>
          <w:b/>
          <w:sz w:val="52"/>
          <w:szCs w:val="52"/>
          <w:lang w:eastAsia="zh-CN"/>
        </w:rPr>
      </w:pPr>
      <w:bookmarkStart w:id="462" w:name="_GoBack"/>
      <w:bookmarkEnd w:id="462"/>
    </w:p>
    <w:p>
      <w:pPr>
        <w:widowControl/>
        <w:adjustRightInd/>
        <w:snapToGrid/>
        <w:spacing w:line="240" w:lineRule="auto"/>
        <w:jc w:val="center"/>
        <w:rPr>
          <w:rFonts w:hint="eastAsia" w:ascii="宋体" w:hAnsi="宋体" w:eastAsia="宋体" w:cs="宋体"/>
          <w:b/>
          <w:bCs/>
          <w:kern w:val="0"/>
          <w:sz w:val="48"/>
          <w:szCs w:val="44"/>
        </w:rPr>
      </w:pPr>
      <w:r>
        <w:rPr>
          <w:rFonts w:hint="eastAsia" w:ascii="宋体" w:hAnsi="宋体" w:eastAsia="宋体" w:cs="宋体"/>
          <w:b/>
          <w:bCs/>
          <w:kern w:val="0"/>
          <w:sz w:val="48"/>
          <w:szCs w:val="44"/>
          <w:lang w:eastAsia="zh-CN"/>
        </w:rPr>
        <w:t>仪陇县琳琅大道中段棚户区改造项目（五星花园地块）</w:t>
      </w:r>
    </w:p>
    <w:p>
      <w:pPr>
        <w:widowControl/>
        <w:adjustRightInd/>
        <w:snapToGrid/>
        <w:spacing w:line="240" w:lineRule="auto"/>
        <w:jc w:val="center"/>
        <w:rPr>
          <w:rFonts w:hint="eastAsia" w:ascii="黑体" w:hAnsi="黑体" w:eastAsia="黑体" w:cs="Times New Roman"/>
          <w:b/>
          <w:kern w:val="0"/>
          <w:sz w:val="84"/>
          <w:szCs w:val="84"/>
        </w:rPr>
      </w:pPr>
      <w:r>
        <w:rPr>
          <w:rFonts w:hint="eastAsia" w:ascii="黑体" w:hAnsi="黑体" w:eastAsia="黑体" w:cs="Times New Roman"/>
          <w:b/>
          <w:kern w:val="0"/>
          <w:sz w:val="84"/>
          <w:szCs w:val="84"/>
        </w:rPr>
        <w:t>水土保持方案报告表</w:t>
      </w:r>
    </w:p>
    <w:p>
      <w:pPr>
        <w:pStyle w:val="2"/>
      </w:pPr>
    </w:p>
    <w:p>
      <w:pPr>
        <w:pStyle w:val="2"/>
      </w:pPr>
    </w:p>
    <w:p>
      <w:pPr>
        <w:pStyle w:val="2"/>
      </w:pPr>
    </w:p>
    <w:p>
      <w:pPr>
        <w:pStyle w:val="2"/>
      </w:pPr>
    </w:p>
    <w:p>
      <w:pPr>
        <w:ind w:firstLine="723"/>
        <w:jc w:val="center"/>
        <w:rPr>
          <w:rFonts w:ascii="仿宋" w:hAnsi="仿宋" w:eastAsia="仿宋"/>
          <w:b/>
          <w:sz w:val="36"/>
          <w:szCs w:val="24"/>
        </w:rPr>
      </w:pPr>
    </w:p>
    <w:p>
      <w:pPr>
        <w:ind w:firstLine="420" w:firstLineChars="0"/>
        <w:jc w:val="both"/>
        <w:rPr>
          <w:rFonts w:ascii="仿宋" w:hAnsi="仿宋" w:eastAsia="仿宋"/>
          <w:b/>
          <w:sz w:val="36"/>
          <w:szCs w:val="24"/>
        </w:rPr>
      </w:pPr>
    </w:p>
    <w:p>
      <w:pPr>
        <w:pStyle w:val="2"/>
        <w:rPr>
          <w:rFonts w:ascii="仿宋" w:hAnsi="仿宋" w:eastAsia="仿宋"/>
          <w:b/>
          <w:sz w:val="36"/>
          <w:szCs w:val="24"/>
        </w:rPr>
      </w:pPr>
    </w:p>
    <w:p>
      <w:pPr>
        <w:pStyle w:val="2"/>
        <w:rPr>
          <w:rFonts w:ascii="仿宋" w:hAnsi="仿宋" w:eastAsia="仿宋"/>
          <w:b/>
          <w:sz w:val="36"/>
          <w:szCs w:val="24"/>
        </w:rPr>
      </w:pPr>
    </w:p>
    <w:p>
      <w:pPr>
        <w:pStyle w:val="2"/>
        <w:rPr>
          <w:rFonts w:ascii="仿宋" w:hAnsi="仿宋" w:eastAsia="仿宋"/>
          <w:b/>
          <w:sz w:val="36"/>
          <w:szCs w:val="24"/>
        </w:rPr>
      </w:pPr>
    </w:p>
    <w:p>
      <w:pPr>
        <w:ind w:left="480" w:firstLine="480"/>
        <w:rPr>
          <w:rFonts w:ascii="仿宋" w:hAnsi="仿宋" w:eastAsia="仿宋"/>
          <w:szCs w:val="24"/>
        </w:rPr>
      </w:pPr>
    </w:p>
    <w:p>
      <w:pPr>
        <w:ind w:firstLine="723"/>
        <w:jc w:val="center"/>
        <w:rPr>
          <w:rFonts w:ascii="仿宋" w:hAnsi="仿宋" w:eastAsia="仿宋"/>
          <w:b/>
          <w:sz w:val="36"/>
          <w:szCs w:val="24"/>
        </w:rPr>
      </w:pPr>
    </w:p>
    <w:p>
      <w:pPr>
        <w:spacing w:line="560" w:lineRule="exact"/>
        <w:ind w:firstLine="964" w:firstLineChars="300"/>
        <w:rPr>
          <w:rFonts w:hint="eastAsia"/>
          <w:b/>
          <w:bCs/>
          <w:sz w:val="32"/>
          <w:szCs w:val="32"/>
          <w:lang w:eastAsia="zh-CN"/>
        </w:rPr>
      </w:pPr>
      <w:r>
        <w:rPr>
          <w:b/>
          <w:bCs/>
          <w:sz w:val="32"/>
          <w:szCs w:val="32"/>
        </w:rPr>
        <w:t>建设单位：</w:t>
      </w:r>
      <w:r>
        <w:rPr>
          <w:rFonts w:hint="eastAsia"/>
          <w:b/>
          <w:bCs/>
          <w:sz w:val="32"/>
          <w:szCs w:val="32"/>
          <w:lang w:eastAsia="zh-CN"/>
        </w:rPr>
        <w:t>四川华家建筑工程有限公司</w:t>
      </w:r>
    </w:p>
    <w:p>
      <w:pPr>
        <w:spacing w:line="560" w:lineRule="exact"/>
        <w:ind w:firstLine="964" w:firstLineChars="300"/>
        <w:rPr>
          <w:rFonts w:hint="eastAsia" w:eastAsia="仿宋"/>
          <w:b/>
          <w:spacing w:val="-6"/>
          <w:sz w:val="32"/>
          <w:szCs w:val="32"/>
          <w:lang w:eastAsia="zh-CN"/>
        </w:rPr>
      </w:pPr>
      <w:r>
        <w:rPr>
          <w:b/>
          <w:sz w:val="32"/>
          <w:szCs w:val="32"/>
        </w:rPr>
        <w:t>编制单位：</w:t>
      </w:r>
      <w:r>
        <w:rPr>
          <w:rFonts w:hint="eastAsia"/>
          <w:b/>
          <w:spacing w:val="-4"/>
          <w:sz w:val="32"/>
          <w:szCs w:val="32"/>
          <w:lang w:eastAsia="zh-CN"/>
        </w:rPr>
        <w:t>中铭工程设计咨询有限公司南充分公司</w:t>
      </w:r>
    </w:p>
    <w:p>
      <w:pPr>
        <w:snapToGrid w:val="0"/>
        <w:spacing w:line="560" w:lineRule="exact"/>
        <w:jc w:val="center"/>
        <w:rPr>
          <w:b/>
          <w:bCs/>
          <w:sz w:val="32"/>
          <w:szCs w:val="32"/>
        </w:rPr>
      </w:pPr>
      <w:r>
        <w:rPr>
          <w:b/>
          <w:bCs/>
          <w:sz w:val="32"/>
          <w:szCs w:val="32"/>
        </w:rPr>
        <w:t>20</w:t>
      </w:r>
      <w:r>
        <w:rPr>
          <w:rFonts w:hint="eastAsia"/>
          <w:b/>
          <w:bCs/>
          <w:sz w:val="32"/>
          <w:szCs w:val="32"/>
        </w:rPr>
        <w:t>2</w:t>
      </w:r>
      <w:r>
        <w:rPr>
          <w:rFonts w:hint="eastAsia"/>
          <w:b/>
          <w:bCs/>
          <w:sz w:val="32"/>
          <w:szCs w:val="32"/>
          <w:lang w:val="en-US" w:eastAsia="zh-CN"/>
        </w:rPr>
        <w:t>1</w:t>
      </w:r>
      <w:r>
        <w:rPr>
          <w:b/>
          <w:bCs/>
          <w:sz w:val="32"/>
          <w:szCs w:val="32"/>
        </w:rPr>
        <w:t>年</w:t>
      </w:r>
      <w:r>
        <w:rPr>
          <w:rFonts w:hint="eastAsia"/>
          <w:b/>
          <w:bCs/>
          <w:sz w:val="32"/>
          <w:szCs w:val="32"/>
          <w:lang w:val="en-US" w:eastAsia="zh-CN"/>
        </w:rPr>
        <w:t>7</w:t>
      </w:r>
      <w:r>
        <w:rPr>
          <w:b/>
          <w:bCs/>
          <w:sz w:val="32"/>
          <w:szCs w:val="32"/>
        </w:rPr>
        <w:t>月</w:t>
      </w:r>
    </w:p>
    <w:p>
      <w:pPr>
        <w:rPr>
          <w:rFonts w:hint="eastAsia" w:ascii="Times New Roman" w:hAnsi="Times New Roman" w:eastAsia="宋体" w:cs="Times New Roman"/>
          <w:spacing w:val="0"/>
          <w:szCs w:val="28"/>
          <w:u w:val="single"/>
          <w:lang w:eastAsia="zh-CN"/>
        </w:rPr>
      </w:pPr>
      <w:r>
        <w:rPr>
          <w:rFonts w:hint="eastAsia" w:ascii="Times New Roman" w:hAnsi="Times New Roman" w:eastAsia="宋体" w:cs="Times New Roman"/>
          <w:spacing w:val="0"/>
          <w:szCs w:val="28"/>
          <w:u w:val="single"/>
          <w:lang w:eastAsia="zh-CN"/>
        </w:rPr>
        <w:br w:type="page"/>
      </w:r>
    </w:p>
    <w:p>
      <w:pPr>
        <w:tabs>
          <w:tab w:val="left" w:pos="5544"/>
        </w:tabs>
        <w:ind w:firstLine="0" w:firstLineChars="0"/>
        <w:jc w:val="center"/>
        <w:rPr>
          <w:rFonts w:hint="eastAsia" w:ascii="仿宋" w:hAnsi="仿宋" w:eastAsia="仿宋"/>
          <w:b/>
          <w:sz w:val="40"/>
        </w:rPr>
      </w:pPr>
      <w:r>
        <w:rPr>
          <w:rFonts w:ascii="仿宋" w:hAnsi="仿宋" w:eastAsia="仿宋"/>
        </w:rPr>
        <w:drawing>
          <wp:inline distT="0" distB="0" distL="114300" distR="114300">
            <wp:extent cx="5269865" cy="3831590"/>
            <wp:effectExtent l="0" t="0" r="6985" b="16510"/>
            <wp:docPr id="21" name="图片 4" descr="中铭南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中铭南充"/>
                    <pic:cNvPicPr>
                      <a:picLocks noChangeAspect="1"/>
                    </pic:cNvPicPr>
                  </pic:nvPicPr>
                  <pic:blipFill>
                    <a:blip r:embed="rId8"/>
                    <a:stretch>
                      <a:fillRect/>
                    </a:stretch>
                  </pic:blipFill>
                  <pic:spPr>
                    <a:xfrm>
                      <a:off x="0" y="0"/>
                      <a:ext cx="5269865" cy="3831590"/>
                    </a:xfrm>
                    <a:prstGeom prst="rect">
                      <a:avLst/>
                    </a:prstGeom>
                    <a:noFill/>
                    <a:ln>
                      <a:noFill/>
                    </a:ln>
                  </pic:spPr>
                </pic:pic>
              </a:graphicData>
            </a:graphic>
          </wp:inline>
        </w:drawing>
      </w:r>
    </w:p>
    <w:p>
      <w:pPr>
        <w:tabs>
          <w:tab w:val="left" w:pos="5544"/>
        </w:tabs>
        <w:spacing w:line="480" w:lineRule="auto"/>
        <w:ind w:firstLine="0" w:firstLineChars="0"/>
        <w:rPr>
          <w:rFonts w:hint="eastAsia" w:ascii="仿宋" w:hAnsi="仿宋" w:eastAsia="仿宋"/>
          <w:b/>
          <w:sz w:val="28"/>
        </w:rPr>
      </w:pPr>
    </w:p>
    <w:p>
      <w:pPr>
        <w:tabs>
          <w:tab w:val="left" w:pos="5544"/>
        </w:tabs>
        <w:spacing w:line="480" w:lineRule="auto"/>
        <w:ind w:left="2448" w:leftChars="200" w:hanging="1968" w:hangingChars="700"/>
        <w:jc w:val="both"/>
        <w:rPr>
          <w:rFonts w:hint="eastAsia" w:ascii="仿宋" w:hAnsi="仿宋" w:eastAsia="仿宋"/>
          <w:b/>
          <w:sz w:val="28"/>
        </w:rPr>
      </w:pPr>
      <w:r>
        <w:rPr>
          <w:rFonts w:hint="eastAsia" w:ascii="仿宋" w:hAnsi="仿宋" w:eastAsia="仿宋"/>
          <w:b/>
          <w:sz w:val="28"/>
        </w:rPr>
        <w:t>编制单位地址：四川省南充</w:t>
      </w:r>
      <w:r>
        <w:rPr>
          <w:rFonts w:ascii="仿宋" w:hAnsi="仿宋" w:eastAsia="仿宋"/>
          <w:b/>
          <w:sz w:val="28"/>
        </w:rPr>
        <w:t>市高坪区江东中路</w:t>
      </w:r>
      <w:r>
        <w:rPr>
          <w:rFonts w:hint="eastAsia" w:ascii="仿宋" w:hAnsi="仿宋" w:eastAsia="仿宋"/>
          <w:b/>
          <w:sz w:val="28"/>
        </w:rPr>
        <w:t>7段1号</w:t>
      </w:r>
      <w:r>
        <w:rPr>
          <w:rFonts w:ascii="仿宋" w:hAnsi="仿宋" w:eastAsia="仿宋"/>
          <w:b/>
          <w:sz w:val="28"/>
        </w:rPr>
        <w:t>天来大酒店第</w:t>
      </w:r>
      <w:r>
        <w:rPr>
          <w:rFonts w:hint="eastAsia" w:ascii="仿宋" w:hAnsi="仿宋" w:eastAsia="仿宋"/>
          <w:b/>
          <w:sz w:val="28"/>
        </w:rPr>
        <w:t>10栋10层02号</w:t>
      </w:r>
    </w:p>
    <w:p>
      <w:pPr>
        <w:tabs>
          <w:tab w:val="left" w:pos="5544"/>
        </w:tabs>
        <w:spacing w:line="480" w:lineRule="auto"/>
        <w:ind w:firstLine="562" w:firstLineChars="200"/>
        <w:rPr>
          <w:rFonts w:hint="eastAsia" w:ascii="仿宋" w:hAnsi="仿宋" w:eastAsia="仿宋"/>
          <w:b/>
          <w:sz w:val="28"/>
        </w:rPr>
      </w:pPr>
      <w:r>
        <w:rPr>
          <w:rFonts w:hint="eastAsia" w:ascii="仿宋" w:hAnsi="仿宋" w:eastAsia="仿宋"/>
          <w:b/>
          <w:sz w:val="28"/>
        </w:rPr>
        <w:t>邮  编：637000</w:t>
      </w:r>
    </w:p>
    <w:p>
      <w:pPr>
        <w:tabs>
          <w:tab w:val="left" w:pos="5544"/>
        </w:tabs>
        <w:spacing w:line="480" w:lineRule="auto"/>
        <w:ind w:firstLine="562" w:firstLineChars="200"/>
        <w:rPr>
          <w:rFonts w:ascii="仿宋" w:hAnsi="仿宋" w:eastAsia="仿宋"/>
          <w:b/>
          <w:sz w:val="28"/>
        </w:rPr>
      </w:pPr>
      <w:r>
        <w:rPr>
          <w:rFonts w:hint="eastAsia" w:ascii="仿宋" w:hAnsi="仿宋" w:eastAsia="仿宋"/>
          <w:b/>
          <w:sz w:val="28"/>
        </w:rPr>
        <w:t>联系人：吴攀</w:t>
      </w:r>
    </w:p>
    <w:p>
      <w:pPr>
        <w:tabs>
          <w:tab w:val="left" w:pos="5544"/>
        </w:tabs>
        <w:spacing w:line="480" w:lineRule="auto"/>
        <w:ind w:firstLine="562" w:firstLineChars="200"/>
        <w:rPr>
          <w:rFonts w:ascii="仿宋" w:hAnsi="仿宋" w:eastAsia="仿宋"/>
          <w:b/>
          <w:sz w:val="28"/>
        </w:rPr>
      </w:pPr>
      <w:r>
        <w:rPr>
          <w:rFonts w:hint="eastAsia" w:ascii="仿宋" w:hAnsi="仿宋" w:eastAsia="仿宋"/>
          <w:b/>
          <w:sz w:val="28"/>
        </w:rPr>
        <w:t>联系电话：</w:t>
      </w:r>
      <w:r>
        <w:rPr>
          <w:rFonts w:ascii="仿宋" w:hAnsi="仿宋" w:eastAsia="仿宋"/>
          <w:b/>
          <w:sz w:val="28"/>
        </w:rPr>
        <w:t>15828271361</w:t>
      </w:r>
    </w:p>
    <w:p>
      <w:pPr>
        <w:tabs>
          <w:tab w:val="left" w:pos="5544"/>
        </w:tabs>
        <w:spacing w:line="480" w:lineRule="auto"/>
        <w:ind w:firstLine="562" w:firstLineChars="200"/>
        <w:rPr>
          <w:rFonts w:hint="eastAsia" w:ascii="仿宋" w:hAnsi="仿宋" w:eastAsia="仿宋"/>
          <w:b/>
          <w:sz w:val="28"/>
        </w:rPr>
      </w:pPr>
      <w:r>
        <w:rPr>
          <w:rFonts w:hint="eastAsia" w:ascii="仿宋" w:hAnsi="仿宋" w:eastAsia="仿宋"/>
          <w:b/>
          <w:sz w:val="28"/>
        </w:rPr>
        <w:t>电子邮箱：1</w:t>
      </w:r>
      <w:r>
        <w:rPr>
          <w:rFonts w:ascii="仿宋" w:hAnsi="仿宋" w:eastAsia="仿宋"/>
          <w:b/>
          <w:sz w:val="28"/>
        </w:rPr>
        <w:t>443600538</w:t>
      </w:r>
      <w:r>
        <w:rPr>
          <w:rFonts w:hint="eastAsia" w:ascii="仿宋" w:hAnsi="仿宋" w:eastAsia="仿宋"/>
          <w:b/>
          <w:sz w:val="28"/>
        </w:rPr>
        <w:t>@qq.com</w:t>
      </w:r>
    </w:p>
    <w:p>
      <w:pPr>
        <w:tabs>
          <w:tab w:val="left" w:pos="5544"/>
        </w:tabs>
        <w:spacing w:line="480" w:lineRule="auto"/>
        <w:rPr>
          <w:rFonts w:hint="eastAsia" w:ascii="仿宋" w:hAnsi="仿宋" w:eastAsia="仿宋"/>
          <w:b/>
          <w:sz w:val="28"/>
        </w:rPr>
        <w:sectPr>
          <w:headerReference r:id="rId3" w:type="default"/>
          <w:footerReference r:id="rId4" w:type="default"/>
          <w:pgSz w:w="11907" w:h="16840"/>
          <w:pgMar w:top="1440" w:right="1800" w:bottom="1440" w:left="1800" w:header="720" w:footer="720" w:gutter="0"/>
          <w:lnNumType w:countBy="0" w:distance="360"/>
          <w:cols w:space="720" w:num="1"/>
          <w:docGrid w:type="lines" w:linePitch="332" w:charSpace="0"/>
        </w:sectPr>
      </w:pPr>
    </w:p>
    <w:p>
      <w:pPr>
        <w:snapToGrid/>
        <w:spacing w:line="480" w:lineRule="auto"/>
        <w:ind w:firstLine="0" w:firstLineChars="0"/>
        <w:jc w:val="center"/>
        <w:rPr>
          <w:rFonts w:hint="eastAsia" w:ascii="仿宋" w:hAnsi="仿宋" w:eastAsia="仿宋" w:cs="黑体"/>
          <w:b/>
          <w:sz w:val="32"/>
          <w:szCs w:val="32"/>
          <w:lang w:eastAsia="zh-CN"/>
        </w:rPr>
      </w:pPr>
      <w:r>
        <w:rPr>
          <w:rFonts w:hint="eastAsia" w:ascii="仿宋" w:hAnsi="仿宋" w:eastAsia="仿宋" w:cs="黑体"/>
          <w:b/>
          <w:sz w:val="32"/>
          <w:szCs w:val="32"/>
          <w:lang w:eastAsia="zh-CN"/>
        </w:rPr>
        <w:t>仪陇县琳琅大道中段棚户区改造项目（</w:t>
      </w:r>
      <w:r>
        <w:rPr>
          <w:rFonts w:hint="eastAsia" w:ascii="仿宋" w:hAnsi="仿宋" w:cs="黑体"/>
          <w:b/>
          <w:sz w:val="32"/>
          <w:szCs w:val="32"/>
          <w:lang w:eastAsia="zh-CN"/>
        </w:rPr>
        <w:t>五星花园</w:t>
      </w:r>
      <w:r>
        <w:rPr>
          <w:rFonts w:hint="eastAsia" w:ascii="仿宋" w:hAnsi="仿宋" w:eastAsia="仿宋" w:cs="黑体"/>
          <w:b/>
          <w:sz w:val="32"/>
          <w:szCs w:val="32"/>
          <w:lang w:eastAsia="zh-CN"/>
        </w:rPr>
        <w:t>地块）</w:t>
      </w:r>
    </w:p>
    <w:p>
      <w:pPr>
        <w:snapToGrid/>
        <w:spacing w:line="480" w:lineRule="auto"/>
        <w:ind w:firstLine="0" w:firstLineChars="0"/>
        <w:jc w:val="center"/>
        <w:rPr>
          <w:rFonts w:hint="eastAsia" w:ascii="仿宋" w:hAnsi="仿宋" w:eastAsia="仿宋" w:cs="黑体"/>
          <w:b/>
          <w:sz w:val="32"/>
          <w:szCs w:val="32"/>
        </w:rPr>
      </w:pPr>
      <w:r>
        <w:rPr>
          <w:rFonts w:hint="eastAsia" w:ascii="仿宋" w:hAnsi="仿宋" w:eastAsia="仿宋" w:cs="黑体"/>
          <w:b/>
          <w:sz w:val="32"/>
          <w:szCs w:val="32"/>
        </w:rPr>
        <w:t>水土保持方案报告表责任页</w:t>
      </w:r>
    </w:p>
    <w:p>
      <w:pPr>
        <w:spacing w:line="480" w:lineRule="auto"/>
        <w:ind w:firstLine="0" w:firstLineChars="0"/>
        <w:jc w:val="center"/>
        <w:rPr>
          <w:rFonts w:ascii="仿宋" w:hAnsi="仿宋" w:eastAsia="仿宋"/>
          <w:b/>
          <w:sz w:val="32"/>
          <w:szCs w:val="32"/>
        </w:rPr>
      </w:pPr>
      <w:r>
        <w:rPr>
          <w:rFonts w:hint="eastAsia" w:ascii="仿宋" w:hAnsi="仿宋" w:eastAsia="仿宋"/>
          <w:b/>
          <w:sz w:val="32"/>
          <w:szCs w:val="32"/>
        </w:rPr>
        <w:t>中铭工程设计咨询有限公司南充分公司</w:t>
      </w:r>
    </w:p>
    <w:p>
      <w:pPr>
        <w:pStyle w:val="2"/>
        <w:ind w:firstLine="320"/>
      </w:pPr>
    </w:p>
    <w:p>
      <w:pPr>
        <w:pStyle w:val="2"/>
        <w:ind w:firstLine="320"/>
        <w:rPr>
          <w:rFonts w:hint="eastAsia"/>
        </w:rPr>
      </w:pPr>
    </w:p>
    <w:tbl>
      <w:tblPr>
        <w:tblStyle w:val="19"/>
        <w:tblW w:w="5000" w:type="pct"/>
        <w:tblInd w:w="0" w:type="dxa"/>
        <w:tblLayout w:type="autofit"/>
        <w:tblCellMar>
          <w:top w:w="0" w:type="dxa"/>
          <w:left w:w="108" w:type="dxa"/>
          <w:bottom w:w="0" w:type="dxa"/>
          <w:right w:w="108" w:type="dxa"/>
        </w:tblCellMar>
      </w:tblPr>
      <w:tblGrid>
        <w:gridCol w:w="1385"/>
        <w:gridCol w:w="849"/>
        <w:gridCol w:w="568"/>
        <w:gridCol w:w="992"/>
        <w:gridCol w:w="1987"/>
        <w:gridCol w:w="2741"/>
      </w:tblGrid>
      <w:tr>
        <w:tblPrEx>
          <w:tblCellMar>
            <w:top w:w="0" w:type="dxa"/>
            <w:left w:w="108" w:type="dxa"/>
            <w:bottom w:w="0" w:type="dxa"/>
            <w:right w:w="108" w:type="dxa"/>
          </w:tblCellMar>
        </w:tblPrEx>
        <w:trPr>
          <w:trHeight w:val="1134" w:hRule="atLeast"/>
        </w:trPr>
        <w:tc>
          <w:tcPr>
            <w:tcW w:w="813"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b/>
                <w:sz w:val="32"/>
              </w:rPr>
              <w:t>批准</w:t>
            </w:r>
            <w:r>
              <w:rPr>
                <w:rFonts w:hint="eastAsia" w:ascii="仿宋" w:hAnsi="仿宋" w:eastAsia="仿宋"/>
                <w:sz w:val="32"/>
              </w:rPr>
              <w:t>：</w:t>
            </w:r>
          </w:p>
        </w:tc>
        <w:tc>
          <w:tcPr>
            <w:tcW w:w="831"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吴攀</w:t>
            </w:r>
          </w:p>
        </w:tc>
        <w:tc>
          <w:tcPr>
            <w:tcW w:w="1748"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p>
        </w:tc>
        <w:tc>
          <w:tcPr>
            <w:tcW w:w="1608"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（负责人）</w:t>
            </w:r>
          </w:p>
        </w:tc>
      </w:tr>
      <w:tr>
        <w:tblPrEx>
          <w:tblCellMar>
            <w:top w:w="0" w:type="dxa"/>
            <w:left w:w="108" w:type="dxa"/>
            <w:bottom w:w="0" w:type="dxa"/>
            <w:right w:w="108" w:type="dxa"/>
          </w:tblCellMar>
        </w:tblPrEx>
        <w:trPr>
          <w:trHeight w:val="1134" w:hRule="atLeast"/>
        </w:trPr>
        <w:tc>
          <w:tcPr>
            <w:tcW w:w="813"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b/>
                <w:sz w:val="32"/>
              </w:rPr>
              <w:t>核定</w:t>
            </w:r>
            <w:r>
              <w:rPr>
                <w:rFonts w:hint="eastAsia" w:ascii="仿宋" w:hAnsi="仿宋" w:eastAsia="仿宋"/>
                <w:sz w:val="32"/>
              </w:rPr>
              <w:t>：</w:t>
            </w:r>
          </w:p>
        </w:tc>
        <w:tc>
          <w:tcPr>
            <w:tcW w:w="831" w:type="pct"/>
            <w:gridSpan w:val="2"/>
            <w:tcBorders>
              <w:top w:val="nil"/>
              <w:left w:val="nil"/>
              <w:bottom w:val="nil"/>
              <w:right w:val="nil"/>
            </w:tcBorders>
            <w:noWrap w:val="0"/>
            <w:vAlign w:val="top"/>
          </w:tcPr>
          <w:p>
            <w:pPr>
              <w:pStyle w:val="12"/>
              <w:spacing w:line="480" w:lineRule="auto"/>
              <w:ind w:firstLine="0" w:firstLineChars="0"/>
              <w:rPr>
                <w:rFonts w:hint="eastAsia" w:ascii="仿宋" w:hAnsi="仿宋" w:eastAsia="仿宋"/>
                <w:sz w:val="32"/>
              </w:rPr>
            </w:pPr>
            <w:r>
              <w:rPr>
                <w:rFonts w:hint="eastAsia" w:ascii="仿宋" w:hAnsi="仿宋" w:eastAsia="仿宋"/>
                <w:sz w:val="32"/>
              </w:rPr>
              <w:t>吴韬</w:t>
            </w:r>
          </w:p>
        </w:tc>
        <w:tc>
          <w:tcPr>
            <w:tcW w:w="1748"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p>
        </w:tc>
        <w:tc>
          <w:tcPr>
            <w:tcW w:w="1608"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（副总经理）</w:t>
            </w:r>
          </w:p>
        </w:tc>
      </w:tr>
      <w:tr>
        <w:tblPrEx>
          <w:tblCellMar>
            <w:top w:w="0" w:type="dxa"/>
            <w:left w:w="108" w:type="dxa"/>
            <w:bottom w:w="0" w:type="dxa"/>
            <w:right w:w="108" w:type="dxa"/>
          </w:tblCellMar>
        </w:tblPrEx>
        <w:trPr>
          <w:trHeight w:val="1134" w:hRule="atLeast"/>
        </w:trPr>
        <w:tc>
          <w:tcPr>
            <w:tcW w:w="813"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b/>
                <w:sz w:val="32"/>
              </w:rPr>
              <w:t>审查</w:t>
            </w:r>
            <w:r>
              <w:rPr>
                <w:rFonts w:hint="eastAsia" w:ascii="仿宋" w:hAnsi="仿宋" w:eastAsia="仿宋"/>
                <w:sz w:val="32"/>
              </w:rPr>
              <w:t>：</w:t>
            </w:r>
          </w:p>
        </w:tc>
        <w:tc>
          <w:tcPr>
            <w:tcW w:w="831" w:type="pct"/>
            <w:gridSpan w:val="2"/>
            <w:tcBorders>
              <w:top w:val="nil"/>
              <w:left w:val="nil"/>
              <w:bottom w:val="nil"/>
              <w:right w:val="nil"/>
            </w:tcBorders>
            <w:noWrap w:val="0"/>
            <w:vAlign w:val="top"/>
          </w:tcPr>
          <w:p>
            <w:pPr>
              <w:pStyle w:val="12"/>
              <w:spacing w:line="480" w:lineRule="auto"/>
              <w:ind w:firstLine="0" w:firstLineChars="0"/>
              <w:rPr>
                <w:rFonts w:hint="eastAsia" w:ascii="仿宋" w:hAnsi="仿宋" w:eastAsia="仿宋"/>
                <w:sz w:val="32"/>
              </w:rPr>
            </w:pPr>
            <w:r>
              <w:rPr>
                <w:rFonts w:hint="eastAsia" w:ascii="仿宋" w:hAnsi="仿宋" w:eastAsia="仿宋"/>
                <w:sz w:val="32"/>
              </w:rPr>
              <w:t>张</w:t>
            </w:r>
            <w:r>
              <w:rPr>
                <w:rFonts w:ascii="仿宋" w:hAnsi="仿宋" w:eastAsia="仿宋"/>
                <w:sz w:val="32"/>
              </w:rPr>
              <w:t>杨辉</w:t>
            </w:r>
          </w:p>
        </w:tc>
        <w:tc>
          <w:tcPr>
            <w:tcW w:w="1748"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p>
        </w:tc>
        <w:tc>
          <w:tcPr>
            <w:tcW w:w="1608"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（总  工）</w:t>
            </w:r>
          </w:p>
        </w:tc>
      </w:tr>
      <w:tr>
        <w:tblPrEx>
          <w:tblCellMar>
            <w:top w:w="0" w:type="dxa"/>
            <w:left w:w="108" w:type="dxa"/>
            <w:bottom w:w="0" w:type="dxa"/>
            <w:right w:w="108" w:type="dxa"/>
          </w:tblCellMar>
        </w:tblPrEx>
        <w:trPr>
          <w:trHeight w:val="1134" w:hRule="atLeast"/>
        </w:trPr>
        <w:tc>
          <w:tcPr>
            <w:tcW w:w="813"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b/>
                <w:sz w:val="32"/>
              </w:rPr>
              <w:t>校核</w:t>
            </w:r>
            <w:r>
              <w:rPr>
                <w:rFonts w:hint="eastAsia" w:ascii="仿宋" w:hAnsi="仿宋" w:eastAsia="仿宋"/>
                <w:sz w:val="32"/>
              </w:rPr>
              <w:t>：</w:t>
            </w:r>
          </w:p>
        </w:tc>
        <w:tc>
          <w:tcPr>
            <w:tcW w:w="831"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曾静</w:t>
            </w:r>
          </w:p>
        </w:tc>
        <w:tc>
          <w:tcPr>
            <w:tcW w:w="1748" w:type="pct"/>
            <w:gridSpan w:val="2"/>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p>
        </w:tc>
        <w:tc>
          <w:tcPr>
            <w:tcW w:w="1608"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（水保部副部长）</w:t>
            </w:r>
          </w:p>
        </w:tc>
      </w:tr>
      <w:tr>
        <w:tblPrEx>
          <w:tblCellMar>
            <w:top w:w="0" w:type="dxa"/>
            <w:left w:w="108" w:type="dxa"/>
            <w:bottom w:w="0" w:type="dxa"/>
            <w:right w:w="108" w:type="dxa"/>
          </w:tblCellMar>
        </w:tblPrEx>
        <w:trPr>
          <w:trHeight w:val="1134" w:hRule="atLeast"/>
        </w:trPr>
        <w:tc>
          <w:tcPr>
            <w:tcW w:w="1311" w:type="pct"/>
            <w:gridSpan w:val="2"/>
            <w:tcBorders>
              <w:top w:val="nil"/>
              <w:left w:val="nil"/>
              <w:bottom w:val="nil"/>
              <w:right w:val="nil"/>
            </w:tcBorders>
            <w:noWrap w:val="0"/>
            <w:vAlign w:val="top"/>
          </w:tcPr>
          <w:p>
            <w:pPr>
              <w:pStyle w:val="12"/>
              <w:spacing w:line="480" w:lineRule="auto"/>
              <w:ind w:firstLine="0" w:firstLineChars="0"/>
              <w:jc w:val="left"/>
              <w:rPr>
                <w:rFonts w:ascii="仿宋" w:hAnsi="仿宋" w:eastAsia="仿宋"/>
                <w:sz w:val="32"/>
              </w:rPr>
            </w:pPr>
            <w:r>
              <w:rPr>
                <w:rFonts w:hint="eastAsia" w:ascii="仿宋" w:hAnsi="仿宋" w:eastAsia="仿宋"/>
                <w:b/>
                <w:sz w:val="32"/>
              </w:rPr>
              <w:t>项目负责人</w:t>
            </w:r>
            <w:r>
              <w:rPr>
                <w:rFonts w:hint="eastAsia" w:ascii="仿宋" w:hAnsi="仿宋" w:eastAsia="仿宋"/>
                <w:sz w:val="32"/>
              </w:rPr>
              <w:t>：</w:t>
            </w:r>
          </w:p>
        </w:tc>
        <w:tc>
          <w:tcPr>
            <w:tcW w:w="915" w:type="pct"/>
            <w:gridSpan w:val="2"/>
            <w:tcBorders>
              <w:top w:val="nil"/>
              <w:left w:val="nil"/>
              <w:bottom w:val="nil"/>
              <w:right w:val="nil"/>
            </w:tcBorders>
            <w:noWrap w:val="0"/>
            <w:vAlign w:val="top"/>
          </w:tcPr>
          <w:p>
            <w:pPr>
              <w:pStyle w:val="12"/>
              <w:spacing w:line="480" w:lineRule="auto"/>
              <w:ind w:firstLine="0" w:firstLineChars="0"/>
              <w:rPr>
                <w:rFonts w:hint="eastAsia" w:ascii="仿宋" w:hAnsi="仿宋" w:eastAsia="仿宋"/>
                <w:sz w:val="32"/>
                <w:lang w:eastAsia="zh-CN"/>
              </w:rPr>
            </w:pPr>
            <w:r>
              <w:rPr>
                <w:rFonts w:hint="eastAsia" w:ascii="仿宋" w:hAnsi="仿宋" w:eastAsia="仿宋"/>
                <w:sz w:val="32"/>
                <w:lang w:eastAsia="zh-CN"/>
              </w:rPr>
              <w:t>郭芸含</w:t>
            </w:r>
          </w:p>
        </w:tc>
        <w:tc>
          <w:tcPr>
            <w:tcW w:w="1166" w:type="pct"/>
            <w:tcBorders>
              <w:top w:val="nil"/>
              <w:left w:val="nil"/>
              <w:bottom w:val="nil"/>
              <w:right w:val="nil"/>
            </w:tcBorders>
            <w:noWrap w:val="0"/>
            <w:vAlign w:val="top"/>
          </w:tcPr>
          <w:p>
            <w:pPr>
              <w:pStyle w:val="12"/>
              <w:spacing w:line="480" w:lineRule="auto"/>
              <w:ind w:firstLine="0" w:firstLineChars="0"/>
              <w:rPr>
                <w:rFonts w:hint="eastAsia" w:ascii="仿宋" w:hAnsi="仿宋" w:eastAsia="仿宋"/>
                <w:sz w:val="32"/>
              </w:rPr>
            </w:pPr>
          </w:p>
        </w:tc>
        <w:tc>
          <w:tcPr>
            <w:tcW w:w="1608" w:type="pct"/>
            <w:tcBorders>
              <w:top w:val="nil"/>
              <w:left w:val="nil"/>
              <w:bottom w:val="nil"/>
              <w:right w:val="nil"/>
            </w:tcBorders>
            <w:noWrap w:val="0"/>
            <w:vAlign w:val="top"/>
          </w:tcPr>
          <w:p>
            <w:pPr>
              <w:pStyle w:val="12"/>
              <w:spacing w:line="480" w:lineRule="auto"/>
              <w:ind w:firstLine="0" w:firstLineChars="0"/>
              <w:rPr>
                <w:rFonts w:ascii="仿宋" w:hAnsi="仿宋" w:eastAsia="仿宋"/>
                <w:sz w:val="32"/>
              </w:rPr>
            </w:pPr>
            <w:r>
              <w:rPr>
                <w:rFonts w:hint="eastAsia" w:ascii="仿宋" w:hAnsi="仿宋" w:eastAsia="仿宋"/>
                <w:sz w:val="32"/>
              </w:rPr>
              <w:t>（工程师）</w:t>
            </w:r>
          </w:p>
        </w:tc>
      </w:tr>
    </w:tbl>
    <w:p>
      <w:pPr>
        <w:ind w:firstLine="0" w:firstLineChars="0"/>
        <w:rPr>
          <w:rFonts w:hint="eastAsia" w:ascii="仿宋" w:hAnsi="仿宋" w:eastAsia="仿宋"/>
          <w:szCs w:val="24"/>
        </w:rPr>
      </w:pPr>
      <w:r>
        <w:rPr>
          <w:rFonts w:hint="eastAsia" w:ascii="仿宋" w:hAnsi="仿宋" w:eastAsia="仿宋"/>
          <w:b/>
          <w:sz w:val="32"/>
          <w:szCs w:val="24"/>
        </w:rPr>
        <w:t>编写：</w:t>
      </w:r>
      <w:r>
        <w:rPr>
          <w:rFonts w:hint="eastAsia" w:ascii="仿宋" w:hAnsi="仿宋" w:eastAsia="仿宋"/>
          <w:szCs w:val="24"/>
        </w:rPr>
        <w:t xml:space="preserve"> </w:t>
      </w:r>
    </w:p>
    <w:tbl>
      <w:tblPr>
        <w:tblStyle w:val="19"/>
        <w:tblW w:w="5000" w:type="pct"/>
        <w:tblInd w:w="0" w:type="dxa"/>
        <w:tblLayout w:type="autofit"/>
        <w:tblCellMar>
          <w:top w:w="0" w:type="dxa"/>
          <w:left w:w="108" w:type="dxa"/>
          <w:bottom w:w="0" w:type="dxa"/>
          <w:right w:w="108" w:type="dxa"/>
        </w:tblCellMar>
      </w:tblPr>
      <w:tblGrid>
        <w:gridCol w:w="1525"/>
        <w:gridCol w:w="1560"/>
        <w:gridCol w:w="1701"/>
        <w:gridCol w:w="3736"/>
      </w:tblGrid>
      <w:tr>
        <w:tblPrEx>
          <w:tblCellMar>
            <w:top w:w="0" w:type="dxa"/>
            <w:left w:w="108" w:type="dxa"/>
            <w:bottom w:w="0" w:type="dxa"/>
            <w:right w:w="108" w:type="dxa"/>
          </w:tblCellMar>
        </w:tblPrEx>
        <w:trPr>
          <w:trHeight w:val="1134" w:hRule="atLeast"/>
        </w:trPr>
        <w:tc>
          <w:tcPr>
            <w:tcW w:w="895" w:type="pct"/>
            <w:tcBorders>
              <w:top w:val="nil"/>
              <w:left w:val="nil"/>
              <w:bottom w:val="nil"/>
              <w:right w:val="nil"/>
            </w:tcBorders>
            <w:noWrap w:val="0"/>
            <w:vAlign w:val="center"/>
          </w:tcPr>
          <w:p>
            <w:pPr>
              <w:pStyle w:val="12"/>
              <w:adjustRightInd w:val="0"/>
              <w:snapToGrid w:val="0"/>
              <w:ind w:firstLine="160" w:firstLineChars="50"/>
              <w:jc w:val="left"/>
              <w:rPr>
                <w:rFonts w:hint="eastAsia" w:ascii="仿宋" w:hAnsi="仿宋" w:eastAsia="仿宋"/>
                <w:sz w:val="32"/>
              </w:rPr>
            </w:pPr>
            <w:r>
              <w:rPr>
                <w:rFonts w:hint="eastAsia" w:ascii="仿宋" w:hAnsi="仿宋" w:eastAsia="仿宋"/>
                <w:sz w:val="32"/>
                <w:lang w:eastAsia="zh-CN"/>
              </w:rPr>
              <w:t>郭芸含</w:t>
            </w:r>
          </w:p>
        </w:tc>
        <w:tc>
          <w:tcPr>
            <w:tcW w:w="915" w:type="pct"/>
            <w:tcBorders>
              <w:top w:val="nil"/>
              <w:left w:val="nil"/>
              <w:bottom w:val="nil"/>
              <w:right w:val="nil"/>
            </w:tcBorders>
            <w:noWrap w:val="0"/>
            <w:vAlign w:val="center"/>
          </w:tcPr>
          <w:p>
            <w:pPr>
              <w:pStyle w:val="12"/>
              <w:adjustRightInd w:val="0"/>
              <w:snapToGrid w:val="0"/>
              <w:ind w:firstLine="0" w:firstLineChars="0"/>
              <w:jc w:val="center"/>
              <w:rPr>
                <w:rFonts w:hint="eastAsia" w:ascii="仿宋" w:hAnsi="仿宋" w:eastAsia="仿宋"/>
                <w:sz w:val="32"/>
              </w:rPr>
            </w:pPr>
          </w:p>
        </w:tc>
        <w:tc>
          <w:tcPr>
            <w:tcW w:w="998" w:type="pct"/>
            <w:tcBorders>
              <w:top w:val="nil"/>
              <w:left w:val="nil"/>
              <w:bottom w:val="nil"/>
              <w:right w:val="nil"/>
            </w:tcBorders>
            <w:noWrap w:val="0"/>
            <w:vAlign w:val="center"/>
          </w:tcPr>
          <w:p>
            <w:pPr>
              <w:pStyle w:val="12"/>
              <w:adjustRightInd w:val="0"/>
              <w:snapToGrid w:val="0"/>
              <w:ind w:firstLine="0" w:firstLineChars="0"/>
              <w:jc w:val="left"/>
              <w:rPr>
                <w:rFonts w:ascii="仿宋" w:hAnsi="仿宋" w:eastAsia="仿宋"/>
                <w:sz w:val="32"/>
              </w:rPr>
            </w:pPr>
            <w:r>
              <w:rPr>
                <w:rFonts w:hint="eastAsia" w:ascii="仿宋" w:hAnsi="仿宋" w:eastAsia="仿宋"/>
                <w:sz w:val="32"/>
              </w:rPr>
              <w:t>（工程师）</w:t>
            </w:r>
          </w:p>
        </w:tc>
        <w:tc>
          <w:tcPr>
            <w:tcW w:w="2192" w:type="pct"/>
            <w:tcBorders>
              <w:top w:val="nil"/>
              <w:left w:val="nil"/>
              <w:bottom w:val="nil"/>
              <w:right w:val="nil"/>
            </w:tcBorders>
            <w:noWrap w:val="0"/>
            <w:vAlign w:val="center"/>
          </w:tcPr>
          <w:p>
            <w:pPr>
              <w:pStyle w:val="12"/>
              <w:adjustRightInd w:val="0"/>
              <w:snapToGrid w:val="0"/>
              <w:ind w:firstLine="0" w:firstLineChars="0"/>
              <w:jc w:val="left"/>
              <w:rPr>
                <w:rFonts w:ascii="仿宋" w:hAnsi="仿宋" w:eastAsia="仿宋"/>
                <w:sz w:val="32"/>
              </w:rPr>
            </w:pPr>
            <w:r>
              <w:rPr>
                <w:rFonts w:hint="eastAsia" w:ascii="仿宋" w:hAnsi="仿宋" w:eastAsia="仿宋"/>
                <w:sz w:val="32"/>
              </w:rPr>
              <w:t>（参编一、二</w:t>
            </w:r>
            <w:r>
              <w:rPr>
                <w:rFonts w:ascii="仿宋" w:hAnsi="仿宋" w:eastAsia="仿宋"/>
                <w:sz w:val="32"/>
              </w:rPr>
              <w:t>、</w:t>
            </w:r>
            <w:r>
              <w:rPr>
                <w:rFonts w:hint="eastAsia" w:ascii="仿宋" w:hAnsi="仿宋" w:eastAsia="仿宋"/>
                <w:sz w:val="32"/>
              </w:rPr>
              <w:t>附图章节）</w:t>
            </w:r>
          </w:p>
        </w:tc>
      </w:tr>
      <w:tr>
        <w:tblPrEx>
          <w:tblCellMar>
            <w:top w:w="0" w:type="dxa"/>
            <w:left w:w="108" w:type="dxa"/>
            <w:bottom w:w="0" w:type="dxa"/>
            <w:right w:w="108" w:type="dxa"/>
          </w:tblCellMar>
        </w:tblPrEx>
        <w:trPr>
          <w:trHeight w:val="1134" w:hRule="atLeast"/>
        </w:trPr>
        <w:tc>
          <w:tcPr>
            <w:tcW w:w="895" w:type="pct"/>
            <w:tcBorders>
              <w:top w:val="nil"/>
              <w:left w:val="nil"/>
              <w:bottom w:val="nil"/>
              <w:right w:val="nil"/>
            </w:tcBorders>
            <w:noWrap w:val="0"/>
            <w:vAlign w:val="center"/>
          </w:tcPr>
          <w:p>
            <w:pPr>
              <w:pStyle w:val="12"/>
              <w:adjustRightInd w:val="0"/>
              <w:snapToGrid w:val="0"/>
              <w:ind w:firstLine="160" w:firstLineChars="50"/>
              <w:rPr>
                <w:rFonts w:hint="eastAsia" w:ascii="仿宋" w:hAnsi="仿宋" w:eastAsia="仿宋"/>
                <w:sz w:val="32"/>
              </w:rPr>
            </w:pPr>
            <w:r>
              <w:rPr>
                <w:rFonts w:hint="eastAsia" w:ascii="仿宋" w:hAnsi="仿宋" w:eastAsia="仿宋"/>
                <w:sz w:val="32"/>
              </w:rPr>
              <w:t>夏</w:t>
            </w:r>
            <w:r>
              <w:rPr>
                <w:rFonts w:ascii="仿宋" w:hAnsi="仿宋" w:eastAsia="仿宋"/>
                <w:sz w:val="32"/>
              </w:rPr>
              <w:t>浩钦</w:t>
            </w:r>
          </w:p>
        </w:tc>
        <w:tc>
          <w:tcPr>
            <w:tcW w:w="915" w:type="pct"/>
            <w:tcBorders>
              <w:top w:val="nil"/>
              <w:left w:val="nil"/>
              <w:bottom w:val="nil"/>
              <w:right w:val="nil"/>
            </w:tcBorders>
            <w:noWrap w:val="0"/>
            <w:vAlign w:val="top"/>
          </w:tcPr>
          <w:p>
            <w:pPr>
              <w:pStyle w:val="12"/>
              <w:adjustRightInd w:val="0"/>
              <w:snapToGrid w:val="0"/>
              <w:ind w:firstLine="0" w:firstLineChars="0"/>
              <w:rPr>
                <w:rFonts w:ascii="仿宋" w:hAnsi="仿宋" w:eastAsia="仿宋"/>
                <w:sz w:val="32"/>
              </w:rPr>
            </w:pPr>
            <w:r>
              <w:rPr>
                <w:rFonts w:hint="eastAsia" w:ascii="仿宋" w:hAnsi="仿宋" w:eastAsia="仿宋"/>
                <w:sz w:val="32"/>
              </w:rPr>
              <w:t xml:space="preserve">   </w:t>
            </w:r>
          </w:p>
        </w:tc>
        <w:tc>
          <w:tcPr>
            <w:tcW w:w="998" w:type="pct"/>
            <w:tcBorders>
              <w:top w:val="nil"/>
              <w:left w:val="nil"/>
              <w:bottom w:val="nil"/>
              <w:right w:val="nil"/>
            </w:tcBorders>
            <w:noWrap w:val="0"/>
            <w:vAlign w:val="center"/>
          </w:tcPr>
          <w:p>
            <w:pPr>
              <w:pStyle w:val="12"/>
              <w:adjustRightInd w:val="0"/>
              <w:snapToGrid w:val="0"/>
              <w:ind w:firstLine="0" w:firstLineChars="0"/>
              <w:jc w:val="left"/>
              <w:rPr>
                <w:rFonts w:ascii="仿宋" w:hAnsi="仿宋" w:eastAsia="仿宋"/>
                <w:sz w:val="32"/>
              </w:rPr>
            </w:pPr>
            <w:r>
              <w:rPr>
                <w:rFonts w:hint="eastAsia" w:ascii="仿宋" w:hAnsi="仿宋" w:eastAsia="仿宋"/>
                <w:sz w:val="32"/>
              </w:rPr>
              <w:t>（工程师）</w:t>
            </w:r>
          </w:p>
        </w:tc>
        <w:tc>
          <w:tcPr>
            <w:tcW w:w="2192" w:type="pct"/>
            <w:tcBorders>
              <w:top w:val="nil"/>
              <w:left w:val="nil"/>
              <w:bottom w:val="nil"/>
              <w:right w:val="nil"/>
            </w:tcBorders>
            <w:noWrap w:val="0"/>
            <w:vAlign w:val="center"/>
          </w:tcPr>
          <w:p>
            <w:pPr>
              <w:pStyle w:val="12"/>
              <w:adjustRightInd w:val="0"/>
              <w:snapToGrid w:val="0"/>
              <w:ind w:firstLine="0" w:firstLineChars="0"/>
              <w:jc w:val="left"/>
              <w:rPr>
                <w:rFonts w:ascii="仿宋" w:hAnsi="仿宋" w:eastAsia="仿宋"/>
                <w:sz w:val="32"/>
              </w:rPr>
            </w:pPr>
            <w:r>
              <w:rPr>
                <w:rFonts w:hint="eastAsia" w:ascii="仿宋" w:hAnsi="仿宋" w:eastAsia="仿宋"/>
                <w:sz w:val="32"/>
              </w:rPr>
              <w:t>（参编三、四、五章节）</w:t>
            </w:r>
          </w:p>
        </w:tc>
      </w:tr>
      <w:tr>
        <w:tblPrEx>
          <w:tblCellMar>
            <w:top w:w="0" w:type="dxa"/>
            <w:left w:w="108" w:type="dxa"/>
            <w:bottom w:w="0" w:type="dxa"/>
            <w:right w:w="108" w:type="dxa"/>
          </w:tblCellMar>
        </w:tblPrEx>
        <w:trPr>
          <w:trHeight w:val="1134" w:hRule="atLeast"/>
        </w:trPr>
        <w:tc>
          <w:tcPr>
            <w:tcW w:w="895" w:type="pct"/>
            <w:tcBorders>
              <w:top w:val="nil"/>
              <w:left w:val="nil"/>
              <w:bottom w:val="nil"/>
              <w:right w:val="nil"/>
            </w:tcBorders>
            <w:noWrap w:val="0"/>
            <w:vAlign w:val="center"/>
          </w:tcPr>
          <w:p>
            <w:pPr>
              <w:pStyle w:val="12"/>
              <w:adjustRightInd w:val="0"/>
              <w:snapToGrid w:val="0"/>
              <w:ind w:firstLine="140" w:firstLineChars="44"/>
              <w:rPr>
                <w:rFonts w:ascii="仿宋" w:hAnsi="仿宋" w:eastAsia="仿宋"/>
                <w:sz w:val="32"/>
              </w:rPr>
            </w:pPr>
            <w:r>
              <w:rPr>
                <w:rFonts w:hint="eastAsia" w:ascii="仿宋" w:hAnsi="仿宋" w:eastAsia="仿宋"/>
                <w:sz w:val="32"/>
              </w:rPr>
              <w:t>冯云霞</w:t>
            </w:r>
          </w:p>
        </w:tc>
        <w:tc>
          <w:tcPr>
            <w:tcW w:w="915" w:type="pct"/>
            <w:tcBorders>
              <w:top w:val="nil"/>
              <w:left w:val="nil"/>
              <w:bottom w:val="nil"/>
              <w:right w:val="nil"/>
            </w:tcBorders>
            <w:noWrap w:val="0"/>
            <w:vAlign w:val="top"/>
          </w:tcPr>
          <w:p>
            <w:pPr>
              <w:pStyle w:val="12"/>
              <w:adjustRightInd w:val="0"/>
              <w:snapToGrid w:val="0"/>
              <w:ind w:firstLine="0" w:firstLineChars="0"/>
              <w:jc w:val="center"/>
              <w:rPr>
                <w:rFonts w:ascii="仿宋" w:hAnsi="仿宋" w:eastAsia="仿宋"/>
                <w:sz w:val="32"/>
              </w:rPr>
            </w:pPr>
          </w:p>
        </w:tc>
        <w:tc>
          <w:tcPr>
            <w:tcW w:w="998" w:type="pct"/>
            <w:tcBorders>
              <w:top w:val="nil"/>
              <w:left w:val="nil"/>
              <w:bottom w:val="nil"/>
              <w:right w:val="nil"/>
            </w:tcBorders>
            <w:noWrap w:val="0"/>
            <w:vAlign w:val="center"/>
          </w:tcPr>
          <w:p>
            <w:pPr>
              <w:pStyle w:val="12"/>
              <w:adjustRightInd w:val="0"/>
              <w:snapToGrid w:val="0"/>
              <w:ind w:firstLine="0" w:firstLineChars="0"/>
              <w:rPr>
                <w:rFonts w:ascii="仿宋" w:hAnsi="仿宋" w:eastAsia="仿宋"/>
                <w:sz w:val="32"/>
              </w:rPr>
            </w:pPr>
            <w:r>
              <w:rPr>
                <w:rFonts w:hint="eastAsia" w:ascii="仿宋" w:hAnsi="仿宋" w:eastAsia="仿宋"/>
                <w:sz w:val="32"/>
              </w:rPr>
              <w:t>（工程师）</w:t>
            </w:r>
          </w:p>
        </w:tc>
        <w:tc>
          <w:tcPr>
            <w:tcW w:w="2192" w:type="pct"/>
            <w:tcBorders>
              <w:top w:val="nil"/>
              <w:left w:val="nil"/>
              <w:bottom w:val="nil"/>
              <w:right w:val="nil"/>
            </w:tcBorders>
            <w:noWrap w:val="0"/>
            <w:vAlign w:val="center"/>
          </w:tcPr>
          <w:p>
            <w:pPr>
              <w:pStyle w:val="12"/>
              <w:adjustRightInd w:val="0"/>
              <w:snapToGrid w:val="0"/>
              <w:ind w:firstLine="0" w:firstLineChars="0"/>
              <w:jc w:val="left"/>
              <w:rPr>
                <w:rFonts w:ascii="仿宋" w:hAnsi="仿宋" w:eastAsia="仿宋"/>
                <w:sz w:val="32"/>
              </w:rPr>
            </w:pPr>
            <w:r>
              <w:rPr>
                <w:rFonts w:hint="eastAsia" w:ascii="仿宋" w:hAnsi="仿宋" w:eastAsia="仿宋"/>
                <w:sz w:val="32"/>
              </w:rPr>
              <w:t>（参编六、</w:t>
            </w:r>
            <w:r>
              <w:rPr>
                <w:rFonts w:ascii="仿宋" w:hAnsi="仿宋" w:eastAsia="仿宋"/>
                <w:sz w:val="32"/>
              </w:rPr>
              <w:t>七、八</w:t>
            </w:r>
            <w:r>
              <w:rPr>
                <w:rFonts w:hint="eastAsia" w:ascii="仿宋" w:hAnsi="仿宋" w:eastAsia="仿宋"/>
                <w:sz w:val="32"/>
              </w:rPr>
              <w:t>章节）</w:t>
            </w:r>
          </w:p>
        </w:tc>
      </w:tr>
    </w:tbl>
    <w:p>
      <w:pPr>
        <w:rPr>
          <w:rFonts w:hint="eastAsia" w:ascii="Times New Roman" w:hAnsi="Times New Roman" w:eastAsia="宋体" w:cs="Times New Roman"/>
          <w:spacing w:val="0"/>
          <w:szCs w:val="28"/>
          <w:u w:val="single"/>
          <w:lang w:eastAsia="zh-CN"/>
        </w:rPr>
      </w:pPr>
    </w:p>
    <w:p>
      <w:pPr>
        <w:rPr>
          <w:rFonts w:hint="eastAsia" w:ascii="Times New Roman" w:hAnsi="Times New Roman" w:eastAsia="宋体" w:cs="Times New Roman"/>
          <w:spacing w:val="0"/>
          <w:szCs w:val="28"/>
          <w:u w:val="single"/>
          <w:lang w:eastAsia="zh-CN"/>
        </w:rPr>
      </w:pPr>
      <w:r>
        <w:rPr>
          <w:rFonts w:hint="eastAsia" w:ascii="Times New Roman" w:hAnsi="Times New Roman" w:eastAsia="宋体" w:cs="Times New Roman"/>
          <w:spacing w:val="0"/>
          <w:szCs w:val="28"/>
          <w:u w:val="single"/>
          <w:lang w:eastAsia="zh-CN"/>
        </w:rPr>
        <w:br w:type="page"/>
      </w:r>
    </w:p>
    <w:p>
      <w:pPr>
        <w:snapToGrid/>
        <w:spacing w:line="480" w:lineRule="auto"/>
        <w:ind w:firstLine="0" w:firstLineChars="0"/>
        <w:jc w:val="center"/>
        <w:rPr>
          <w:rFonts w:hint="eastAsia" w:ascii="仿宋" w:hAnsi="仿宋" w:eastAsia="仿宋" w:cs="黑体"/>
          <w:b/>
          <w:sz w:val="32"/>
          <w:szCs w:val="32"/>
          <w:lang w:eastAsia="zh-CN"/>
        </w:rPr>
      </w:pPr>
      <w:r>
        <w:rPr>
          <w:rFonts w:hint="eastAsia" w:ascii="仿宋" w:hAnsi="仿宋" w:eastAsia="仿宋" w:cs="黑体"/>
          <w:b/>
          <w:sz w:val="32"/>
          <w:szCs w:val="32"/>
          <w:lang w:eastAsia="zh-CN"/>
        </w:rPr>
        <w:t>项目区照片</w:t>
      </w:r>
    </w:p>
    <w:p>
      <w:pPr>
        <w:jc w:val="center"/>
        <w:rPr>
          <w:rFonts w:hint="eastAsia" w:ascii="Times New Roman" w:hAnsi="Times New Roman" w:eastAsia="宋体" w:cs="Times New Roman"/>
          <w:spacing w:val="0"/>
          <w:szCs w:val="28"/>
          <w:u w:val="single"/>
          <w:lang w:eastAsia="zh-CN"/>
        </w:rPr>
      </w:pPr>
      <w:r>
        <w:rPr>
          <w:rFonts w:hint="eastAsia" w:ascii="Times New Roman" w:hAnsi="Times New Roman" w:eastAsia="宋体" w:cs="Times New Roman"/>
          <w:spacing w:val="0"/>
          <w:szCs w:val="28"/>
          <w:u w:val="single"/>
          <w:lang w:eastAsia="zh-CN"/>
        </w:rPr>
        <w:drawing>
          <wp:inline distT="0" distB="0" distL="114300" distR="114300">
            <wp:extent cx="2560320" cy="3414395"/>
            <wp:effectExtent l="0" t="0" r="11430" b="14605"/>
            <wp:docPr id="8" name="图片 8" descr="9900884e8799f43743d00727974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900884e8799f43743d00727974f79c"/>
                    <pic:cNvPicPr>
                      <a:picLocks noChangeAspect="1"/>
                    </pic:cNvPicPr>
                  </pic:nvPicPr>
                  <pic:blipFill>
                    <a:blip r:embed="rId9"/>
                    <a:stretch>
                      <a:fillRect/>
                    </a:stretch>
                  </pic:blipFill>
                  <pic:spPr>
                    <a:xfrm>
                      <a:off x="0" y="0"/>
                      <a:ext cx="2560320" cy="3414395"/>
                    </a:xfrm>
                    <a:prstGeom prst="rect">
                      <a:avLst/>
                    </a:prstGeom>
                  </pic:spPr>
                </pic:pic>
              </a:graphicData>
            </a:graphic>
          </wp:inline>
        </w:drawing>
      </w:r>
      <w:r>
        <w:rPr>
          <w:rFonts w:hint="eastAsia" w:ascii="Times New Roman" w:hAnsi="Times New Roman" w:eastAsia="宋体" w:cs="Times New Roman"/>
          <w:spacing w:val="0"/>
          <w:szCs w:val="28"/>
          <w:u w:val="single"/>
          <w:lang w:eastAsia="zh-CN"/>
        </w:rPr>
        <w:drawing>
          <wp:inline distT="0" distB="0" distL="114300" distR="114300">
            <wp:extent cx="2567940" cy="3424555"/>
            <wp:effectExtent l="0" t="0" r="3810" b="4445"/>
            <wp:docPr id="12" name="图片 12" descr="f1a974ebff04ee19b5098c3dac67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a974ebff04ee19b5098c3dac671ed"/>
                    <pic:cNvPicPr>
                      <a:picLocks noChangeAspect="1"/>
                    </pic:cNvPicPr>
                  </pic:nvPicPr>
                  <pic:blipFill>
                    <a:blip r:embed="rId10"/>
                    <a:stretch>
                      <a:fillRect/>
                    </a:stretch>
                  </pic:blipFill>
                  <pic:spPr>
                    <a:xfrm>
                      <a:off x="0" y="0"/>
                      <a:ext cx="2567940" cy="3424555"/>
                    </a:xfrm>
                    <a:prstGeom prst="rect">
                      <a:avLst/>
                    </a:prstGeom>
                  </pic:spPr>
                </pic:pic>
              </a:graphicData>
            </a:graphic>
          </wp:inline>
        </w:drawing>
      </w:r>
      <w:r>
        <w:rPr>
          <w:rFonts w:hint="eastAsia" w:ascii="Times New Roman" w:hAnsi="Times New Roman" w:eastAsia="宋体" w:cs="Times New Roman"/>
          <w:spacing w:val="0"/>
          <w:szCs w:val="28"/>
          <w:u w:val="single"/>
          <w:lang w:eastAsia="zh-CN"/>
        </w:rPr>
        <w:drawing>
          <wp:inline distT="0" distB="0" distL="114300" distR="114300">
            <wp:extent cx="2439035" cy="3252470"/>
            <wp:effectExtent l="0" t="0" r="18415" b="5080"/>
            <wp:docPr id="15" name="图片 15" descr="fcdbb86ad3148bf4edeea82402f5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cdbb86ad3148bf4edeea82402f57ae"/>
                    <pic:cNvPicPr>
                      <a:picLocks noChangeAspect="1"/>
                    </pic:cNvPicPr>
                  </pic:nvPicPr>
                  <pic:blipFill>
                    <a:blip r:embed="rId11"/>
                    <a:stretch>
                      <a:fillRect/>
                    </a:stretch>
                  </pic:blipFill>
                  <pic:spPr>
                    <a:xfrm>
                      <a:off x="0" y="0"/>
                      <a:ext cx="2439035" cy="3252470"/>
                    </a:xfrm>
                    <a:prstGeom prst="rect">
                      <a:avLst/>
                    </a:prstGeom>
                  </pic:spPr>
                </pic:pic>
              </a:graphicData>
            </a:graphic>
          </wp:inline>
        </w:drawing>
      </w:r>
      <w:r>
        <w:rPr>
          <w:rFonts w:hint="eastAsia" w:ascii="Times New Roman" w:hAnsi="Times New Roman" w:eastAsia="宋体" w:cs="Times New Roman"/>
          <w:spacing w:val="0"/>
          <w:szCs w:val="28"/>
          <w:u w:val="single"/>
          <w:lang w:eastAsia="zh-CN"/>
        </w:rPr>
        <w:br w:type="page"/>
      </w:r>
    </w:p>
    <w:p>
      <w:pPr>
        <w:spacing w:line="300" w:lineRule="auto"/>
        <w:ind w:firstLine="0" w:firstLineChars="0"/>
        <w:jc w:val="center"/>
        <w:rPr>
          <w:rFonts w:hint="eastAsia" w:ascii="宋体" w:hAnsi="宋体" w:cs="Times New Roman"/>
          <w:b/>
          <w:bCs/>
          <w:sz w:val="28"/>
          <w:szCs w:val="28"/>
          <w:lang w:eastAsia="zh-CN"/>
        </w:rPr>
      </w:pPr>
      <w:r>
        <w:rPr>
          <w:rFonts w:hint="eastAsia" w:ascii="宋体" w:hAnsi="宋体" w:cs="Times New Roman"/>
          <w:b/>
          <w:bCs/>
          <w:sz w:val="28"/>
          <w:szCs w:val="28"/>
          <w:lang w:eastAsia="zh-CN"/>
        </w:rPr>
        <w:t>仪陇县琳琅大道中段棚户区改造项目（五星花园地块）</w:t>
      </w:r>
    </w:p>
    <w:p>
      <w:pPr>
        <w:spacing w:line="300" w:lineRule="auto"/>
        <w:ind w:firstLine="0" w:firstLineChars="0"/>
        <w:jc w:val="center"/>
        <w:rPr>
          <w:rFonts w:ascii="宋体" w:hAnsi="宋体"/>
          <w:b/>
          <w:bCs/>
          <w:sz w:val="28"/>
          <w:szCs w:val="28"/>
        </w:rPr>
      </w:pPr>
      <w:r>
        <w:rPr>
          <w:rFonts w:ascii="宋体" w:hAnsi="宋体"/>
          <w:b/>
          <w:bCs/>
          <w:sz w:val="28"/>
          <w:szCs w:val="28"/>
        </w:rPr>
        <w:t>水土保持方案报告</w:t>
      </w:r>
      <w:r>
        <w:rPr>
          <w:rFonts w:hint="eastAsia" w:ascii="宋体" w:hAnsi="宋体"/>
          <w:b/>
          <w:bCs/>
          <w:sz w:val="28"/>
          <w:szCs w:val="28"/>
        </w:rPr>
        <w:t>表</w:t>
      </w:r>
      <w:r>
        <w:rPr>
          <w:rFonts w:ascii="宋体" w:hAnsi="宋体"/>
          <w:b/>
          <w:bCs/>
          <w:sz w:val="28"/>
          <w:szCs w:val="28"/>
        </w:rPr>
        <w:t>修改说明</w:t>
      </w:r>
    </w:p>
    <w:p>
      <w:pPr>
        <w:ind w:firstLine="0" w:firstLineChars="0"/>
        <w:rPr>
          <w:kern w:val="0"/>
        </w:rPr>
      </w:pPr>
      <w:r>
        <w:rPr>
          <w:rFonts w:ascii="宋体" w:hAnsi="宋体"/>
        </w:rPr>
        <w:t>修改情况如下：</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163"/>
        <w:gridCol w:w="1408"/>
        <w:gridCol w:w="1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序号</w:t>
            </w:r>
          </w:p>
        </w:tc>
        <w:tc>
          <w:tcPr>
            <w:tcW w:w="3028" w:type="pct"/>
            <w:noWrap w:val="0"/>
            <w:vAlign w:val="center"/>
          </w:tcPr>
          <w:p>
            <w:pPr>
              <w:widowControl/>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专家意见</w:t>
            </w:r>
          </w:p>
        </w:tc>
        <w:tc>
          <w:tcPr>
            <w:tcW w:w="826" w:type="pct"/>
            <w:noWrap w:val="0"/>
            <w:vAlign w:val="center"/>
          </w:tcPr>
          <w:p>
            <w:pPr>
              <w:widowControl/>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修改内容</w:t>
            </w:r>
          </w:p>
        </w:tc>
        <w:tc>
          <w:tcPr>
            <w:tcW w:w="783"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ascii="Times New Roman" w:hAnsi="Times New Roman" w:cs="Times New Roman"/>
                <w:sz w:val="18"/>
                <w:szCs w:val="18"/>
              </w:rPr>
              <w:t>所在</w:t>
            </w:r>
            <w:r>
              <w:rPr>
                <w:rFonts w:hint="eastAsia" w:ascii="Times New Roman" w:hAnsi="Times New Roman" w:cs="Times New Roman"/>
                <w:sz w:val="18"/>
                <w:szCs w:val="18"/>
                <w:lang w:val="en-US" w:eastAsia="zh-CN"/>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复核和完善综合说明有关内容，复核方案编制依据。</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已复核、完善</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P1-P13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复核水土流失防治标准及指标值；复核特性表</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P5、P15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细化</w:t>
            </w:r>
            <w:r>
              <w:rPr>
                <w:rFonts w:hint="eastAsia" w:ascii="Times New Roman" w:hAnsi="Times New Roman" w:cs="Times New Roman"/>
                <w:sz w:val="18"/>
                <w:szCs w:val="18"/>
                <w:lang w:val="en-US" w:eastAsia="zh-CN"/>
              </w:rPr>
              <w:t>项目</w:t>
            </w:r>
            <w:r>
              <w:rPr>
                <w:rFonts w:hint="eastAsia" w:ascii="Times New Roman" w:hAnsi="Times New Roman" w:cs="Times New Roman"/>
                <w:sz w:val="18"/>
                <w:szCs w:val="18"/>
              </w:rPr>
              <w:t>组成</w:t>
            </w:r>
            <w:r>
              <w:rPr>
                <w:rFonts w:hint="eastAsia" w:ascii="Times New Roman" w:hAnsi="Times New Roman" w:cs="Times New Roman"/>
                <w:sz w:val="18"/>
                <w:szCs w:val="18"/>
                <w:lang w:val="en-US" w:eastAsia="zh-CN"/>
              </w:rPr>
              <w:t>及工程布置</w:t>
            </w:r>
            <w:r>
              <w:rPr>
                <w:rFonts w:hint="eastAsia" w:ascii="Times New Roman" w:hAnsi="Times New Roman" w:cs="Times New Roman"/>
                <w:sz w:val="18"/>
                <w:szCs w:val="18"/>
              </w:rPr>
              <w:t>介绍</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4</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复核和完善项目主要经济技术指标</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已复核、完善</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5</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细化项目建设现状及水土保持工作开展情况介绍</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细化施工组织（包括施工用水用电、施工工艺等）</w:t>
            </w:r>
            <w:r>
              <w:rPr>
                <w:rFonts w:hint="eastAsia" w:ascii="Times New Roman" w:hAnsi="Times New Roman" w:cs="Times New Roman"/>
                <w:sz w:val="18"/>
                <w:szCs w:val="18"/>
              </w:rPr>
              <w:t>介绍</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P17-P19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7</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复核项目占地面积、类型及性质</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8</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复核土石方工程量</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细化</w:t>
            </w:r>
            <w:r>
              <w:rPr>
                <w:rFonts w:hint="eastAsia" w:ascii="Times New Roman" w:hAnsi="Times New Roman" w:cs="Times New Roman"/>
                <w:sz w:val="18"/>
                <w:szCs w:val="18"/>
              </w:rPr>
              <w:t>土石方平衡分析表</w:t>
            </w:r>
            <w:r>
              <w:rPr>
                <w:rFonts w:hint="eastAsia" w:ascii="Times New Roman" w:hAnsi="Times New Roman" w:cs="Times New Roman"/>
                <w:sz w:val="18"/>
                <w:szCs w:val="18"/>
                <w:lang w:eastAsia="zh-CN"/>
              </w:rPr>
              <w:t>、</w:t>
            </w:r>
            <w:r>
              <w:rPr>
                <w:rFonts w:hint="eastAsia" w:ascii="Times New Roman" w:hAnsi="Times New Roman" w:cs="Times New Roman"/>
                <w:sz w:val="18"/>
                <w:szCs w:val="18"/>
              </w:rPr>
              <w:t>土石方流向框图</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核实弃方处置方案,补充接纳依据</w:t>
            </w:r>
            <w:r>
              <w:rPr>
                <w:rFonts w:hint="eastAsia" w:ascii="Times New Roman" w:hAnsi="Times New Roman" w:cs="Times New Roman"/>
                <w:sz w:val="18"/>
                <w:szCs w:val="18"/>
              </w:rPr>
              <w:t>。</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已复核、细化。补充</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P19-P21</w:t>
            </w:r>
            <w:r>
              <w:rPr>
                <w:rFonts w:hint="eastAsia" w:cs="Times New Roman"/>
                <w:sz w:val="18"/>
                <w:szCs w:val="18"/>
                <w:lang w:val="en-US" w:eastAsia="zh-CN"/>
              </w:rPr>
              <w:t>、附件4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9</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w:t>
            </w:r>
            <w:r>
              <w:rPr>
                <w:rFonts w:hint="eastAsia" w:ascii="Times New Roman" w:hAnsi="Times New Roman" w:cs="Times New Roman"/>
                <w:sz w:val="18"/>
                <w:szCs w:val="18"/>
              </w:rPr>
              <w:t>施工进度；</w:t>
            </w:r>
            <w:r>
              <w:rPr>
                <w:rFonts w:hint="eastAsia" w:ascii="Times New Roman" w:hAnsi="Times New Roman" w:cs="Times New Roman"/>
                <w:sz w:val="18"/>
                <w:szCs w:val="18"/>
                <w:lang w:val="en-US" w:eastAsia="zh-CN"/>
              </w:rPr>
              <w:t>复核和</w:t>
            </w:r>
            <w:r>
              <w:rPr>
                <w:rFonts w:hint="eastAsia" w:ascii="Times New Roman" w:hAnsi="Times New Roman" w:cs="Times New Roman"/>
                <w:sz w:val="18"/>
                <w:szCs w:val="18"/>
              </w:rPr>
              <w:t>完善自然概况</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已细化、复核与完善</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P22-P25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10</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w:t>
            </w:r>
            <w:r>
              <w:rPr>
                <w:rFonts w:hint="eastAsia" w:ascii="Times New Roman" w:hAnsi="Times New Roman" w:cs="Times New Roman"/>
                <w:sz w:val="18"/>
                <w:szCs w:val="18"/>
              </w:rPr>
              <w:t>主体工程选址水土保持评价</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补充水土保持工程建设现状及弃方处置方案合理性、安全性评价</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已复核、补充</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P26-P28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11</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细化和完善</w:t>
            </w:r>
            <w:r>
              <w:rPr>
                <w:rFonts w:hint="eastAsia" w:ascii="Times New Roman" w:hAnsi="Times New Roman" w:cs="Times New Roman"/>
                <w:sz w:val="18"/>
                <w:szCs w:val="18"/>
              </w:rPr>
              <w:t>主体设计中具有水土保持功能工程评价</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复核主体工程设计中水土保持措施界定</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已细化、完善、复核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P30-P33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复核水土流失现状及背景值；根据占地原始地类，补充损毁植被面积。</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已复核、补充</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P34-35</w:t>
            </w:r>
          </w:p>
          <w:p>
            <w:pPr>
              <w:widowControl/>
              <w:spacing w:line="0" w:lineRule="atLeast"/>
              <w:ind w:firstLine="0" w:firstLineChars="0"/>
              <w:jc w:val="center"/>
              <w:rPr>
                <w:rFonts w:hint="default" w:ascii="Times New Roman" w:hAnsi="Times New Roman" w:cs="Times New Roman"/>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13</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细化和完善</w:t>
            </w:r>
            <w:r>
              <w:rPr>
                <w:rFonts w:hint="eastAsia" w:ascii="Times New Roman" w:hAnsi="Times New Roman" w:cs="Times New Roman"/>
                <w:sz w:val="18"/>
                <w:szCs w:val="18"/>
              </w:rPr>
              <w:t>水土流失</w:t>
            </w:r>
            <w:r>
              <w:rPr>
                <w:rFonts w:hint="eastAsia" w:ascii="Times New Roman" w:hAnsi="Times New Roman" w:cs="Times New Roman"/>
                <w:sz w:val="18"/>
                <w:szCs w:val="18"/>
                <w:lang w:val="en-US" w:eastAsia="zh-CN"/>
              </w:rPr>
              <w:t>调查</w:t>
            </w:r>
            <w:r>
              <w:rPr>
                <w:rFonts w:hint="eastAsia" w:ascii="Times New Roman" w:hAnsi="Times New Roman" w:cs="Times New Roman"/>
                <w:sz w:val="18"/>
                <w:szCs w:val="18"/>
              </w:rPr>
              <w:t>预测方案，复核</w:t>
            </w:r>
            <w:r>
              <w:rPr>
                <w:rFonts w:hint="eastAsia" w:ascii="Times New Roman" w:hAnsi="Times New Roman" w:cs="Times New Roman"/>
                <w:sz w:val="18"/>
                <w:szCs w:val="18"/>
                <w:lang w:val="en-US" w:eastAsia="zh-CN"/>
              </w:rPr>
              <w:t>扰动后土壤侵蚀模数值</w:t>
            </w:r>
            <w:r>
              <w:rPr>
                <w:rFonts w:hint="eastAsia" w:ascii="Times New Roman" w:hAnsi="Times New Roman" w:cs="Times New Roman"/>
                <w:sz w:val="18"/>
                <w:szCs w:val="18"/>
              </w:rPr>
              <w:t>及</w:t>
            </w:r>
            <w:r>
              <w:rPr>
                <w:rFonts w:hint="eastAsia" w:ascii="Times New Roman" w:hAnsi="Times New Roman" w:cs="Times New Roman"/>
                <w:sz w:val="18"/>
                <w:szCs w:val="18"/>
                <w:lang w:val="en-US" w:eastAsia="zh-CN"/>
              </w:rPr>
              <w:t>调查预测</w:t>
            </w:r>
            <w:r>
              <w:rPr>
                <w:rFonts w:hint="eastAsia" w:ascii="Times New Roman" w:hAnsi="Times New Roman" w:cs="Times New Roman"/>
                <w:sz w:val="18"/>
                <w:szCs w:val="18"/>
              </w:rPr>
              <w:t>结果。</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已细化、完善、复核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P37-P38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14</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w:t>
            </w:r>
            <w:r>
              <w:rPr>
                <w:rFonts w:hint="eastAsia" w:ascii="Times New Roman" w:hAnsi="Times New Roman" w:cs="Times New Roman"/>
                <w:sz w:val="18"/>
                <w:szCs w:val="18"/>
              </w:rPr>
              <w:t>水土流失危害分析</w:t>
            </w:r>
            <w:r>
              <w:rPr>
                <w:rFonts w:hint="eastAsia" w:ascii="Times New Roman" w:hAnsi="Times New Roman" w:cs="Times New Roman"/>
                <w:sz w:val="18"/>
                <w:szCs w:val="18"/>
                <w:lang w:val="en-US" w:eastAsia="zh-CN"/>
              </w:rPr>
              <w:t>及</w:t>
            </w:r>
            <w:r>
              <w:rPr>
                <w:rFonts w:hint="eastAsia" w:ascii="Times New Roman" w:hAnsi="Times New Roman" w:cs="Times New Roman"/>
                <w:sz w:val="18"/>
                <w:szCs w:val="18"/>
              </w:rPr>
              <w:t>指导性意见。</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P38-P40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15</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复核临时排水沟、临时沉沙池措施设计</w:t>
            </w:r>
            <w:r>
              <w:rPr>
                <w:rFonts w:hint="eastAsia" w:ascii="Times New Roman" w:hAnsi="Times New Roman" w:cs="Times New Roman"/>
                <w:sz w:val="18"/>
                <w:szCs w:val="18"/>
              </w:rPr>
              <w:t>。</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P42-P43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16</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复核水土保持措施工程量；</w:t>
            </w:r>
            <w:r>
              <w:rPr>
                <w:rFonts w:hint="eastAsia" w:ascii="Times New Roman" w:hAnsi="Times New Roman" w:cs="Times New Roman"/>
                <w:sz w:val="18"/>
                <w:szCs w:val="18"/>
                <w:lang w:val="en-US" w:eastAsia="zh-CN"/>
              </w:rPr>
              <w:t>补充施工要求，复核</w:t>
            </w:r>
            <w:r>
              <w:rPr>
                <w:rFonts w:hint="eastAsia" w:ascii="Times New Roman" w:hAnsi="Times New Roman" w:cs="Times New Roman"/>
                <w:sz w:val="18"/>
                <w:szCs w:val="18"/>
              </w:rPr>
              <w:t>水土保持工程施工进度。</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已复核、补充</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P42-P46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17</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根据《生产建设项目水土保持监测及评价标准》（GB/T51240-2018），</w:t>
            </w:r>
            <w:r>
              <w:rPr>
                <w:rFonts w:hint="eastAsia" w:ascii="Times New Roman" w:hAnsi="Times New Roman" w:cs="Times New Roman"/>
                <w:sz w:val="18"/>
                <w:szCs w:val="18"/>
                <w:lang w:val="en-US" w:eastAsia="zh-CN"/>
              </w:rPr>
              <w:t>明确</w:t>
            </w:r>
            <w:r>
              <w:rPr>
                <w:rFonts w:hint="eastAsia" w:ascii="Times New Roman" w:hAnsi="Times New Roman" w:cs="Times New Roman"/>
                <w:sz w:val="18"/>
                <w:szCs w:val="18"/>
              </w:rPr>
              <w:t>监测</w:t>
            </w:r>
            <w:r>
              <w:rPr>
                <w:rFonts w:hint="eastAsia" w:ascii="Times New Roman" w:hAnsi="Times New Roman" w:cs="Times New Roman"/>
                <w:sz w:val="18"/>
                <w:szCs w:val="18"/>
                <w:lang w:val="en-US" w:eastAsia="zh-CN"/>
              </w:rPr>
              <w:t>时段</w:t>
            </w:r>
            <w:r>
              <w:rPr>
                <w:rFonts w:hint="eastAsia" w:ascii="Times New Roman" w:hAnsi="Times New Roman" w:cs="Times New Roman"/>
                <w:sz w:val="18"/>
                <w:szCs w:val="18"/>
              </w:rPr>
              <w:t>，优化监测内容、方法、点位布设、监测频次。</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已明确、优化</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P47-P50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18</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复核</w:t>
            </w:r>
            <w:r>
              <w:rPr>
                <w:rFonts w:hint="eastAsia" w:ascii="Times New Roman" w:hAnsi="Times New Roman" w:cs="Times New Roman"/>
                <w:sz w:val="18"/>
                <w:szCs w:val="18"/>
              </w:rPr>
              <w:t>监测设施设备及人员配备</w:t>
            </w:r>
            <w:r>
              <w:rPr>
                <w:rFonts w:hint="eastAsia" w:ascii="Times New Roman" w:hAnsi="Times New Roman" w:cs="Times New Roman"/>
                <w:sz w:val="18"/>
                <w:szCs w:val="18"/>
                <w:lang w:val="en-US" w:eastAsia="zh-CN"/>
              </w:rPr>
              <w:t>，细化和完善</w:t>
            </w:r>
            <w:r>
              <w:rPr>
                <w:rFonts w:hint="eastAsia" w:ascii="Times New Roman" w:hAnsi="Times New Roman" w:cs="Times New Roman"/>
                <w:sz w:val="18"/>
                <w:szCs w:val="18"/>
              </w:rPr>
              <w:t>监测成果。</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已复核、细化、完善</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P50-P51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19</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w:t>
            </w:r>
            <w:r>
              <w:rPr>
                <w:rFonts w:hint="eastAsia" w:ascii="Times New Roman" w:hAnsi="Times New Roman" w:cs="Times New Roman"/>
                <w:sz w:val="18"/>
                <w:szCs w:val="18"/>
                <w:lang w:val="en-US" w:eastAsia="zh-CN"/>
              </w:rPr>
              <w:t>编制原则依据、基础价格、</w:t>
            </w:r>
            <w:r>
              <w:rPr>
                <w:rFonts w:hint="eastAsia" w:ascii="Times New Roman" w:hAnsi="Times New Roman" w:cs="Times New Roman"/>
                <w:sz w:val="18"/>
                <w:szCs w:val="18"/>
              </w:rPr>
              <w:t>独立费</w:t>
            </w:r>
            <w:r>
              <w:rPr>
                <w:rFonts w:hint="eastAsia" w:ascii="Times New Roman" w:hAnsi="Times New Roman" w:cs="Times New Roman"/>
                <w:sz w:val="18"/>
                <w:szCs w:val="18"/>
                <w:lang w:val="en-US" w:eastAsia="zh-CN"/>
              </w:rPr>
              <w:t>等。</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P52-P57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20</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rPr>
              <w:t>复核效益分析。</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P60-P62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21</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细化组织管理、</w:t>
            </w:r>
            <w:r>
              <w:rPr>
                <w:rFonts w:hint="eastAsia" w:ascii="Times New Roman" w:hAnsi="Times New Roman" w:cs="Times New Roman"/>
                <w:sz w:val="18"/>
                <w:szCs w:val="18"/>
              </w:rPr>
              <w:t>水土保持监测、验收等管理要求；复核施工、监理等管理要求。</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已细化、复核</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P63-P66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22</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补充项目建设规划条件、施工许可证等</w:t>
            </w:r>
            <w:r>
              <w:rPr>
                <w:rFonts w:hint="eastAsia" w:ascii="Times New Roman" w:hAnsi="Times New Roman" w:cs="Times New Roman"/>
                <w:sz w:val="18"/>
                <w:szCs w:val="18"/>
              </w:rPr>
              <w:t>。</w:t>
            </w:r>
          </w:p>
          <w:p>
            <w:pPr>
              <w:widowControl/>
              <w:spacing w:line="0" w:lineRule="atLeast"/>
              <w:ind w:firstLine="0" w:firstLineChars="0"/>
              <w:jc w:val="center"/>
              <w:rPr>
                <w:rFonts w:hint="eastAsia" w:ascii="Times New Roman" w:hAnsi="Times New Roman" w:cs="Times New Roman"/>
                <w:sz w:val="18"/>
                <w:szCs w:val="18"/>
                <w:lang w:val="en-US" w:eastAsia="zh-CN"/>
              </w:rPr>
            </w:pP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已补充</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附件1、4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23</w:t>
            </w:r>
          </w:p>
        </w:tc>
        <w:tc>
          <w:tcPr>
            <w:tcW w:w="3028" w:type="pct"/>
            <w:noWrap w:val="0"/>
            <w:vAlign w:val="center"/>
          </w:tcPr>
          <w:p>
            <w:pPr>
              <w:widowControl/>
              <w:spacing w:line="0" w:lineRule="atLeast"/>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补充</w:t>
            </w:r>
            <w:r>
              <w:rPr>
                <w:rFonts w:hint="eastAsia" w:ascii="Times New Roman" w:hAnsi="Times New Roman" w:cs="Times New Roman"/>
                <w:sz w:val="18"/>
                <w:szCs w:val="18"/>
              </w:rPr>
              <w:t>项目施工总平面图</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完善和规范</w:t>
            </w:r>
            <w:r>
              <w:rPr>
                <w:rFonts w:hint="eastAsia" w:ascii="Times New Roman" w:hAnsi="Times New Roman" w:cs="Times New Roman"/>
                <w:sz w:val="18"/>
                <w:szCs w:val="18"/>
              </w:rPr>
              <w:t>分区防治措施总体布局图、水土流失防治责任范围图、典型措施设计图等图件。</w:t>
            </w:r>
          </w:p>
        </w:tc>
        <w:tc>
          <w:tcPr>
            <w:tcW w:w="826"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已补充、完善</w:t>
            </w:r>
          </w:p>
        </w:tc>
        <w:tc>
          <w:tcPr>
            <w:tcW w:w="783" w:type="pct"/>
            <w:noWrap w:val="0"/>
            <w:vAlign w:val="center"/>
          </w:tcPr>
          <w:p>
            <w:pPr>
              <w:widowControl/>
              <w:spacing w:line="0" w:lineRule="atLeast"/>
              <w:ind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附图1-7</w:t>
            </w:r>
          </w:p>
        </w:tc>
      </w:tr>
    </w:tbl>
    <w:p>
      <w:pPr>
        <w:rPr>
          <w:rFonts w:hint="eastAsia" w:ascii="Times New Roman" w:hAnsi="Times New Roman" w:eastAsia="宋体" w:cs="Times New Roman"/>
          <w:spacing w:val="0"/>
          <w:szCs w:val="28"/>
          <w:u w:val="single"/>
          <w:lang w:eastAsia="zh-CN"/>
        </w:rPr>
      </w:pPr>
    </w:p>
    <w:p>
      <w:pPr>
        <w:bidi w:val="0"/>
        <w:rPr>
          <w:rFonts w:hint="eastAsia"/>
          <w:b/>
          <w:bCs/>
          <w:sz w:val="32"/>
          <w:szCs w:val="22"/>
          <w:lang w:eastAsia="zh-CN"/>
        </w:rPr>
      </w:pPr>
    </w:p>
    <w:p>
      <w:pPr>
        <w:bidi w:val="0"/>
        <w:rPr>
          <w:rFonts w:hint="eastAsia"/>
          <w:b/>
          <w:bCs/>
          <w:sz w:val="32"/>
          <w:szCs w:val="22"/>
          <w:lang w:eastAsia="zh-CN"/>
        </w:rPr>
      </w:pPr>
    </w:p>
    <w:p>
      <w:pPr>
        <w:bidi w:val="0"/>
        <w:jc w:val="center"/>
        <w:rPr>
          <w:rFonts w:hint="eastAsia"/>
          <w:b/>
          <w:bCs/>
          <w:sz w:val="28"/>
          <w:szCs w:val="21"/>
          <w:u w:val="single"/>
          <w:lang w:eastAsia="zh-CN"/>
        </w:rPr>
      </w:pPr>
    </w:p>
    <w:p>
      <w:pPr>
        <w:bidi w:val="0"/>
        <w:jc w:val="center"/>
        <w:rPr>
          <w:b/>
          <w:bCs/>
          <w:sz w:val="28"/>
          <w:szCs w:val="21"/>
        </w:rPr>
      </w:pPr>
      <w:r>
        <w:rPr>
          <w:rFonts w:hint="eastAsia"/>
          <w:b/>
          <w:bCs/>
          <w:sz w:val="28"/>
          <w:szCs w:val="21"/>
          <w:u w:val="single"/>
          <w:lang w:eastAsia="zh-CN"/>
        </w:rPr>
        <w:t>仪陇县琳琅大道中段棚户区改造项目（五星花园地块）</w:t>
      </w:r>
      <w:r>
        <w:rPr>
          <w:rFonts w:hint="eastAsia"/>
          <w:b/>
          <w:bCs/>
          <w:sz w:val="28"/>
          <w:szCs w:val="21"/>
        </w:rPr>
        <w:t>水土保持方案报告表</w:t>
      </w:r>
    </w:p>
    <w:tbl>
      <w:tblPr>
        <w:tblStyle w:val="19"/>
        <w:tblW w:w="8336" w:type="dxa"/>
        <w:tblInd w:w="0" w:type="dxa"/>
        <w:tblLayout w:type="fixed"/>
        <w:tblCellMar>
          <w:top w:w="0" w:type="dxa"/>
          <w:left w:w="0" w:type="dxa"/>
          <w:bottom w:w="0" w:type="dxa"/>
          <w:right w:w="0" w:type="dxa"/>
        </w:tblCellMar>
      </w:tblPr>
      <w:tblGrid>
        <w:gridCol w:w="1147"/>
        <w:gridCol w:w="361"/>
        <w:gridCol w:w="1513"/>
        <w:gridCol w:w="86"/>
        <w:gridCol w:w="1009"/>
        <w:gridCol w:w="281"/>
        <w:gridCol w:w="634"/>
        <w:gridCol w:w="253"/>
        <w:gridCol w:w="403"/>
        <w:gridCol w:w="529"/>
        <w:gridCol w:w="900"/>
        <w:gridCol w:w="95"/>
        <w:gridCol w:w="11"/>
        <w:gridCol w:w="1114"/>
      </w:tblGrid>
      <w:tr>
        <w:tblPrEx>
          <w:tblCellMar>
            <w:top w:w="0" w:type="dxa"/>
            <w:left w:w="0" w:type="dxa"/>
            <w:bottom w:w="0" w:type="dxa"/>
            <w:right w:w="0" w:type="dxa"/>
          </w:tblCellMar>
        </w:tblPrEx>
        <w:trPr>
          <w:trHeight w:val="23"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项目概况</w:t>
            </w: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位置</w:t>
            </w:r>
          </w:p>
        </w:tc>
        <w:tc>
          <w:tcPr>
            <w:tcW w:w="531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南充市仪陇县新政镇琳琅大道中段</w:t>
            </w:r>
          </w:p>
        </w:tc>
      </w:tr>
      <w:tr>
        <w:tblPrEx>
          <w:tblCellMar>
            <w:top w:w="0" w:type="dxa"/>
            <w:left w:w="0" w:type="dxa"/>
            <w:bottom w:w="0" w:type="dxa"/>
            <w:right w:w="0" w:type="dxa"/>
          </w:tblCellMar>
        </w:tblPrEx>
        <w:trPr>
          <w:trHeight w:val="234"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建设内容</w:t>
            </w:r>
          </w:p>
        </w:tc>
        <w:tc>
          <w:tcPr>
            <w:tcW w:w="531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eastAsia="zh-CN"/>
              </w:rPr>
              <w:t>该项目占地</w:t>
            </w:r>
            <w:r>
              <w:rPr>
                <w:rFonts w:hint="eastAsia"/>
                <w:szCs w:val="21"/>
                <w:lang w:val="en-US" w:eastAsia="zh-CN"/>
              </w:rPr>
              <w:t>10154.6平方米，新建高层住宅（安置房）、商业、管理用房等，总建筑面积33413m²的安置房（包含住宅28990m²，商业房4423m²）</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建设性质</w:t>
            </w:r>
          </w:p>
        </w:tc>
        <w:tc>
          <w:tcPr>
            <w:tcW w:w="20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_GB2312"/>
                <w:szCs w:val="21"/>
                <w:lang w:eastAsia="zh-CN"/>
              </w:rPr>
            </w:pPr>
            <w:r>
              <w:rPr>
                <w:rFonts w:hint="eastAsia"/>
                <w:szCs w:val="21"/>
                <w:highlight w:val="none"/>
                <w:lang w:eastAsia="zh-CN"/>
              </w:rPr>
              <w:t>新建</w:t>
            </w:r>
          </w:p>
        </w:tc>
        <w:tc>
          <w:tcPr>
            <w:tcW w:w="208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总投资（万元）</w:t>
            </w:r>
          </w:p>
        </w:tc>
        <w:tc>
          <w:tcPr>
            <w:tcW w:w="122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12600</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土建投资（万元）</w:t>
            </w:r>
          </w:p>
        </w:tc>
        <w:tc>
          <w:tcPr>
            <w:tcW w:w="2010" w:type="dxa"/>
            <w:gridSpan w:val="4"/>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9500</w:t>
            </w:r>
          </w:p>
        </w:tc>
        <w:tc>
          <w:tcPr>
            <w:tcW w:w="11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占地面积（</w:t>
            </w:r>
            <w:r>
              <w:rPr>
                <w:rFonts w:hint="eastAsia"/>
                <w:szCs w:val="21"/>
                <w:lang w:eastAsia="zh-CN"/>
              </w:rPr>
              <w:t>hm²</w:t>
            </w:r>
            <w:r>
              <w:rPr>
                <w:szCs w:val="21"/>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永久</w:t>
            </w:r>
          </w:p>
        </w:tc>
        <w:tc>
          <w:tcPr>
            <w:tcW w:w="122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_GB2312"/>
                <w:szCs w:val="21"/>
                <w:lang w:val="en-US" w:eastAsia="zh-CN"/>
              </w:rPr>
            </w:pPr>
            <w:r>
              <w:rPr>
                <w:rFonts w:hint="eastAsia"/>
                <w:szCs w:val="21"/>
                <w:lang w:val="en-US" w:eastAsia="zh-CN"/>
              </w:rPr>
              <w:t>1.02</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2010" w:type="dxa"/>
            <w:gridSpan w:val="4"/>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1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临时</w:t>
            </w:r>
          </w:p>
        </w:tc>
        <w:tc>
          <w:tcPr>
            <w:tcW w:w="122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0</w:t>
            </w:r>
          </w:p>
        </w:tc>
      </w:tr>
      <w:tr>
        <w:tblPrEx>
          <w:tblCellMar>
            <w:top w:w="0" w:type="dxa"/>
            <w:left w:w="0" w:type="dxa"/>
            <w:bottom w:w="0" w:type="dxa"/>
            <w:right w:w="0" w:type="dxa"/>
          </w:tblCellMar>
        </w:tblPrEx>
        <w:trPr>
          <w:trHeight w:val="236"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动工时间</w:t>
            </w:r>
          </w:p>
        </w:tc>
        <w:tc>
          <w:tcPr>
            <w:tcW w:w="20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2020年10月</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完工时间</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2022年10月</w:t>
            </w:r>
          </w:p>
        </w:tc>
      </w:tr>
      <w:tr>
        <w:tblPrEx>
          <w:tblCellMar>
            <w:top w:w="0" w:type="dxa"/>
            <w:left w:w="0" w:type="dxa"/>
            <w:bottom w:w="0" w:type="dxa"/>
            <w:right w:w="0" w:type="dxa"/>
          </w:tblCellMar>
        </w:tblPrEx>
        <w:trPr>
          <w:trHeight w:val="337"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土石方（</w:t>
            </w:r>
            <w:r>
              <w:rPr>
                <w:rFonts w:hint="eastAsia"/>
                <w:szCs w:val="21"/>
                <w:lang w:eastAsia="zh-CN"/>
              </w:rPr>
              <w:t>m³</w:t>
            </w:r>
            <w:r>
              <w:rPr>
                <w:szCs w:val="21"/>
              </w:rPr>
              <w:t>)</w:t>
            </w:r>
          </w:p>
        </w:tc>
        <w:tc>
          <w:tcPr>
            <w:tcW w:w="10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挖方</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填方</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借方</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余（弃）方</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11081</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8334</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1392</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4139</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rPr>
                <w:sz w:val="21"/>
                <w:szCs w:val="21"/>
              </w:rPr>
            </w:pPr>
            <w:r>
              <w:rPr>
                <w:sz w:val="21"/>
                <w:szCs w:val="21"/>
              </w:rPr>
              <w:t>取土（石、砂）场</w:t>
            </w:r>
          </w:p>
        </w:tc>
        <w:tc>
          <w:tcPr>
            <w:tcW w:w="531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不涉及</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rPr>
                <w:sz w:val="21"/>
                <w:szCs w:val="21"/>
              </w:rPr>
            </w:pPr>
            <w:r>
              <w:rPr>
                <w:sz w:val="21"/>
                <w:szCs w:val="21"/>
              </w:rPr>
              <w:t>弃土（石、渣）场</w:t>
            </w:r>
          </w:p>
        </w:tc>
        <w:tc>
          <w:tcPr>
            <w:tcW w:w="531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rFonts w:hint="eastAsia"/>
                <w:szCs w:val="21"/>
                <w:lang w:eastAsia="zh-CN"/>
              </w:rPr>
              <w:t>秦家岸弃土场</w:t>
            </w:r>
          </w:p>
        </w:tc>
      </w:tr>
      <w:tr>
        <w:tblPrEx>
          <w:tblCellMar>
            <w:top w:w="0" w:type="dxa"/>
            <w:left w:w="0" w:type="dxa"/>
            <w:bottom w:w="0" w:type="dxa"/>
            <w:right w:w="0" w:type="dxa"/>
          </w:tblCellMar>
        </w:tblPrEx>
        <w:trPr>
          <w:trHeight w:val="23"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项目区概况</w:t>
            </w: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涉及重点防治区情况</w:t>
            </w:r>
          </w:p>
        </w:tc>
        <w:tc>
          <w:tcPr>
            <w:tcW w:w="226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嘉陵江及沱江中下游国家级水土流失重点治理区</w:t>
            </w:r>
          </w:p>
        </w:tc>
        <w:tc>
          <w:tcPr>
            <w:tcW w:w="19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地貌类型</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缓丘</w:t>
            </w:r>
            <w:r>
              <w:rPr>
                <w:szCs w:val="21"/>
              </w:rPr>
              <w:t>地貌</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原地貌土壤侵蚀模数[t/(k</w:t>
            </w:r>
            <w:r>
              <w:rPr>
                <w:rFonts w:hint="eastAsia"/>
                <w:szCs w:val="21"/>
                <w:lang w:eastAsia="zh-CN"/>
              </w:rPr>
              <w:t>m²</w:t>
            </w:r>
            <w:r>
              <w:rPr>
                <w:szCs w:val="21"/>
              </w:rPr>
              <w:t>·a)]</w:t>
            </w:r>
          </w:p>
        </w:tc>
        <w:tc>
          <w:tcPr>
            <w:tcW w:w="226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_GB2312"/>
                <w:szCs w:val="21"/>
                <w:lang w:val="en-US" w:eastAsia="zh-CN"/>
              </w:rPr>
            </w:pPr>
            <w:r>
              <w:rPr>
                <w:rFonts w:hint="eastAsia" w:eastAsia="仿宋_GB2312"/>
                <w:szCs w:val="21"/>
                <w:lang w:val="en-US" w:eastAsia="zh-CN"/>
              </w:rPr>
              <w:t>557</w:t>
            </w:r>
          </w:p>
        </w:tc>
        <w:tc>
          <w:tcPr>
            <w:tcW w:w="19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容许土壤流失量[t/(k</w:t>
            </w:r>
            <w:r>
              <w:rPr>
                <w:rFonts w:hint="eastAsia"/>
                <w:szCs w:val="21"/>
                <w:lang w:eastAsia="zh-CN"/>
              </w:rPr>
              <w:t>m²</w:t>
            </w:r>
            <w:r>
              <w:rPr>
                <w:szCs w:val="21"/>
              </w:rPr>
              <w:t>·a)]</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500</w:t>
            </w:r>
          </w:p>
        </w:tc>
      </w:tr>
      <w:tr>
        <w:tblPrEx>
          <w:tblCellMar>
            <w:top w:w="0" w:type="dxa"/>
            <w:left w:w="0" w:type="dxa"/>
            <w:bottom w:w="0" w:type="dxa"/>
            <w:right w:w="0" w:type="dxa"/>
          </w:tblCellMar>
        </w:tblPrEx>
        <w:trPr>
          <w:trHeight w:val="23"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项目选址（线）水土保持评价</w:t>
            </w:r>
          </w:p>
        </w:tc>
        <w:tc>
          <w:tcPr>
            <w:tcW w:w="7189"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ind w:firstLine="420" w:firstLineChars="200"/>
              <w:jc w:val="both"/>
              <w:rPr>
                <w:szCs w:val="21"/>
              </w:rPr>
            </w:pPr>
            <w:r>
              <w:rPr>
                <w:szCs w:val="21"/>
                <w:lang w:val="zh-CN"/>
              </w:rPr>
              <w:t>本</w:t>
            </w:r>
            <w:r>
              <w:rPr>
                <w:szCs w:val="21"/>
              </w:rPr>
              <w:t>项目选址唯一</w:t>
            </w:r>
            <w:r>
              <w:rPr>
                <w:szCs w:val="21"/>
                <w:lang w:val="zh-CN"/>
              </w:rPr>
              <w:t>，无场址方案比选。本项目不在泥石流易发区、崩塌、滑坡危险区以及易引起严重水土流失和生态恶化的地区；本项目不在河流两岸、湖泊和水库周边的植物保护带范围内。本项目不属于全国水土保持监测网络中的水土保持监测站点、重点实验区及国家确定的水土保持长期定位观测站。本项目不存在绝对制约性因素。但</w:t>
            </w:r>
            <w:r>
              <w:rPr>
                <w:szCs w:val="21"/>
              </w:rPr>
              <w:t>本项目所在地仪陇县属于嘉陵江及沱江中下游国家级水土流失重点治理区且本项目属于未批先建项目，违反水土保持法，本方案为补报方案。因此，本项目水土流失防治标准执行西南紫色土区一级标准。</w:t>
            </w:r>
          </w:p>
        </w:tc>
      </w:tr>
      <w:tr>
        <w:tblPrEx>
          <w:tblCellMar>
            <w:top w:w="0" w:type="dxa"/>
            <w:left w:w="0" w:type="dxa"/>
            <w:bottom w:w="0" w:type="dxa"/>
            <w:right w:w="0" w:type="dxa"/>
          </w:tblCellMar>
        </w:tblPrEx>
        <w:trPr>
          <w:trHeight w:val="532"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预测水土流失总量</w:t>
            </w:r>
          </w:p>
        </w:tc>
        <w:tc>
          <w:tcPr>
            <w:tcW w:w="7189"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本项目工程可能造成的水土流失总量为</w:t>
            </w:r>
            <w:r>
              <w:rPr>
                <w:rFonts w:hint="eastAsia"/>
                <w:szCs w:val="21"/>
                <w:lang w:val="en-US" w:eastAsia="zh-CN"/>
              </w:rPr>
              <w:t>22.30t</w:t>
            </w:r>
            <w:r>
              <w:rPr>
                <w:szCs w:val="21"/>
              </w:rPr>
              <w:t>，新增水土流失总量为</w:t>
            </w:r>
            <w:r>
              <w:rPr>
                <w:rFonts w:hint="eastAsia"/>
                <w:szCs w:val="21"/>
                <w:lang w:val="en-US" w:eastAsia="zh-CN"/>
              </w:rPr>
              <w:t>16.59t</w:t>
            </w:r>
            <w:r>
              <w:rPr>
                <w:szCs w:val="21"/>
              </w:rPr>
              <w:t>，</w:t>
            </w:r>
          </w:p>
        </w:tc>
      </w:tr>
      <w:tr>
        <w:tblPrEx>
          <w:tblCellMar>
            <w:top w:w="0" w:type="dxa"/>
            <w:left w:w="0" w:type="dxa"/>
            <w:bottom w:w="0" w:type="dxa"/>
            <w:right w:w="0" w:type="dxa"/>
          </w:tblCellMar>
        </w:tblPrEx>
        <w:trPr>
          <w:trHeight w:val="23"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防治责任范围（</w:t>
            </w:r>
            <w:r>
              <w:rPr>
                <w:rFonts w:hint="eastAsia"/>
                <w:szCs w:val="21"/>
                <w:lang w:eastAsia="zh-CN"/>
              </w:rPr>
              <w:t>hm²</w:t>
            </w:r>
            <w:r>
              <w:rPr>
                <w:szCs w:val="21"/>
              </w:rPr>
              <w:t>）</w:t>
            </w:r>
          </w:p>
        </w:tc>
        <w:tc>
          <w:tcPr>
            <w:tcW w:w="7189"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val="en-US" w:eastAsia="zh-CN"/>
              </w:rPr>
              <w:t>1.02</w:t>
            </w:r>
          </w:p>
        </w:tc>
      </w:tr>
      <w:tr>
        <w:tblPrEx>
          <w:tblCellMar>
            <w:top w:w="0" w:type="dxa"/>
            <w:left w:w="0" w:type="dxa"/>
            <w:bottom w:w="0" w:type="dxa"/>
            <w:right w:w="0" w:type="dxa"/>
          </w:tblCellMar>
        </w:tblPrEx>
        <w:trPr>
          <w:trHeight w:val="23"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防治标准等级及目标</w:t>
            </w: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水土流失治理度（%）</w:t>
            </w:r>
          </w:p>
        </w:tc>
        <w:tc>
          <w:tcPr>
            <w:tcW w:w="226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97</w:t>
            </w:r>
          </w:p>
        </w:tc>
        <w:tc>
          <w:tcPr>
            <w:tcW w:w="19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水土流失控制比</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1</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渣土防护率（%）</w:t>
            </w:r>
          </w:p>
        </w:tc>
        <w:tc>
          <w:tcPr>
            <w:tcW w:w="226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szCs w:val="21"/>
              </w:rPr>
              <w:t>9</w:t>
            </w:r>
            <w:r>
              <w:rPr>
                <w:rFonts w:hint="eastAsia"/>
                <w:szCs w:val="21"/>
                <w:lang w:val="en-US" w:eastAsia="zh-CN"/>
              </w:rPr>
              <w:t>4</w:t>
            </w:r>
          </w:p>
        </w:tc>
        <w:tc>
          <w:tcPr>
            <w:tcW w:w="19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表土保护率（%）</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rFonts w:hint="eastAsia"/>
                <w:szCs w:val="21"/>
                <w:lang w:val="en-US" w:eastAsia="zh-CN"/>
              </w:rPr>
              <w:t>/</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林草植被恢复率（%）</w:t>
            </w:r>
          </w:p>
        </w:tc>
        <w:tc>
          <w:tcPr>
            <w:tcW w:w="226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rPr>
              <w:t>97</w:t>
            </w:r>
          </w:p>
        </w:tc>
        <w:tc>
          <w:tcPr>
            <w:tcW w:w="19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林草覆盖率（%）</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szCs w:val="21"/>
              </w:rPr>
              <w:t>2</w:t>
            </w:r>
            <w:r>
              <w:rPr>
                <w:rFonts w:hint="eastAsia"/>
                <w:szCs w:val="21"/>
                <w:lang w:val="en-US" w:eastAsia="zh-CN"/>
              </w:rPr>
              <w:t>5</w:t>
            </w:r>
          </w:p>
        </w:tc>
      </w:tr>
      <w:tr>
        <w:tblPrEx>
          <w:tblCellMar>
            <w:top w:w="0" w:type="dxa"/>
            <w:left w:w="0" w:type="dxa"/>
            <w:bottom w:w="0" w:type="dxa"/>
            <w:right w:w="0" w:type="dxa"/>
          </w:tblCellMar>
        </w:tblPrEx>
        <w:trPr>
          <w:trHeight w:val="23"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水土保持措施</w:t>
            </w:r>
          </w:p>
        </w:tc>
        <w:tc>
          <w:tcPr>
            <w:tcW w:w="7189"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jc w:val="both"/>
              <w:rPr>
                <w:rFonts w:hint="default"/>
                <w:szCs w:val="21"/>
                <w:lang w:val="en-US" w:eastAsia="zh-CN"/>
              </w:rPr>
            </w:pPr>
            <w:r>
              <w:rPr>
                <w:rFonts w:hint="eastAsia"/>
                <w:szCs w:val="21"/>
                <w:lang w:eastAsia="zh-CN"/>
              </w:rPr>
              <w:t>建筑构物区：临时排水沟</w:t>
            </w:r>
            <w:r>
              <w:rPr>
                <w:rFonts w:hint="eastAsia"/>
                <w:szCs w:val="21"/>
                <w:lang w:val="en-US" w:eastAsia="zh-CN"/>
              </w:rPr>
              <w:t>170m，临时沉砂池1口，临时遮盖1200m²</w:t>
            </w:r>
          </w:p>
          <w:p>
            <w:pPr>
              <w:pStyle w:val="22"/>
              <w:spacing w:line="360" w:lineRule="auto"/>
              <w:jc w:val="both"/>
              <w:rPr>
                <w:rFonts w:hint="default"/>
                <w:szCs w:val="21"/>
                <w:lang w:val="en-US" w:eastAsia="zh-CN"/>
              </w:rPr>
            </w:pPr>
            <w:r>
              <w:rPr>
                <w:rFonts w:hint="eastAsia"/>
                <w:szCs w:val="21"/>
                <w:lang w:eastAsia="zh-CN"/>
              </w:rPr>
              <w:t>附属设施区：聚乙烯</w:t>
            </w:r>
            <w:r>
              <w:rPr>
                <w:rFonts w:hint="eastAsia"/>
                <w:szCs w:val="21"/>
                <w:lang w:val="en-US" w:eastAsia="zh-CN"/>
              </w:rPr>
              <w:t>PE缠绕结构壁管DN200=450m、DN400=410m、DN600=7m，雨水检查井28座，单箅平箅式雨水口56座，洗车槽1座，临时遮盖2500m²</w:t>
            </w:r>
          </w:p>
          <w:p>
            <w:pPr>
              <w:pStyle w:val="22"/>
              <w:spacing w:line="360" w:lineRule="auto"/>
              <w:jc w:val="both"/>
              <w:rPr>
                <w:rFonts w:hint="default"/>
                <w:szCs w:val="21"/>
                <w:lang w:val="en-US" w:eastAsia="zh-CN"/>
              </w:rPr>
            </w:pPr>
            <w:r>
              <w:rPr>
                <w:rFonts w:hint="eastAsia"/>
                <w:szCs w:val="21"/>
                <w:lang w:eastAsia="zh-CN"/>
              </w:rPr>
              <w:t>景观绿化区：种植土回覆</w:t>
            </w:r>
            <w:r>
              <w:rPr>
                <w:rFonts w:hint="eastAsia"/>
                <w:szCs w:val="21"/>
                <w:lang w:val="en-US" w:eastAsia="zh-CN"/>
              </w:rPr>
              <w:t>1393m²，种植香樟21棵、台湾2号草坪1241m²、麦冬564m²，临时遮盖800m²</w:t>
            </w:r>
          </w:p>
        </w:tc>
      </w:tr>
      <w:tr>
        <w:tblPrEx>
          <w:tblCellMar>
            <w:top w:w="0" w:type="dxa"/>
            <w:left w:w="0" w:type="dxa"/>
            <w:bottom w:w="0" w:type="dxa"/>
            <w:right w:w="0" w:type="dxa"/>
          </w:tblCellMar>
        </w:tblPrEx>
        <w:trPr>
          <w:trHeight w:val="23"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水土保持投资（万元）</w:t>
            </w:r>
          </w:p>
        </w:tc>
        <w:tc>
          <w:tcPr>
            <w:tcW w:w="19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工程措施</w:t>
            </w: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11.20</w:t>
            </w:r>
          </w:p>
        </w:tc>
        <w:tc>
          <w:tcPr>
            <w:tcW w:w="193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植物措施</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10.47</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临时措施</w:t>
            </w: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8.88</w:t>
            </w:r>
          </w:p>
        </w:tc>
        <w:tc>
          <w:tcPr>
            <w:tcW w:w="193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水土保持补偿费</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1.32</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独立费用</w:t>
            </w: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建设管理费</w:t>
            </w:r>
          </w:p>
        </w:tc>
        <w:tc>
          <w:tcPr>
            <w:tcW w:w="305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0.07</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水土保持方案编制费</w:t>
            </w:r>
          </w:p>
        </w:tc>
        <w:tc>
          <w:tcPr>
            <w:tcW w:w="305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3.5</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rFonts w:hint="eastAsia"/>
                <w:szCs w:val="21"/>
                <w:lang w:eastAsia="zh-CN"/>
              </w:rPr>
              <w:t>科研勘测设计费</w:t>
            </w:r>
          </w:p>
        </w:tc>
        <w:tc>
          <w:tcPr>
            <w:tcW w:w="305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szCs w:val="21"/>
                <w:lang w:val="en-US" w:eastAsia="zh-CN"/>
              </w:rPr>
            </w:pPr>
            <w:r>
              <w:rPr>
                <w:rFonts w:hint="eastAsia"/>
                <w:szCs w:val="21"/>
                <w:lang w:val="en-US" w:eastAsia="zh-CN"/>
              </w:rPr>
              <w:t>3</w:t>
            </w:r>
          </w:p>
        </w:tc>
      </w:tr>
      <w:tr>
        <w:tblPrEx>
          <w:tblCellMar>
            <w:top w:w="0" w:type="dxa"/>
            <w:left w:w="0" w:type="dxa"/>
            <w:bottom w:w="0" w:type="dxa"/>
            <w:right w:w="0" w:type="dxa"/>
          </w:tblCellMar>
        </w:tblPrEx>
        <w:trPr>
          <w:trHeight w:val="141"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水土保持设施竣工验收费</w:t>
            </w:r>
          </w:p>
        </w:tc>
        <w:tc>
          <w:tcPr>
            <w:tcW w:w="305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val="en-US" w:eastAsia="zh-CN"/>
              </w:rPr>
            </w:pPr>
            <w:r>
              <w:rPr>
                <w:rFonts w:hint="eastAsia"/>
                <w:szCs w:val="21"/>
                <w:lang w:val="en-US" w:eastAsia="zh-CN"/>
              </w:rPr>
              <w:t>2</w:t>
            </w:r>
          </w:p>
        </w:tc>
      </w:tr>
      <w:tr>
        <w:tblPrEx>
          <w:tblCellMar>
            <w:top w:w="0" w:type="dxa"/>
            <w:left w:w="0" w:type="dxa"/>
            <w:bottom w:w="0" w:type="dxa"/>
            <w:right w:w="0" w:type="dxa"/>
          </w:tblCellMar>
        </w:tblPrEx>
        <w:trPr>
          <w:trHeight w:val="141"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2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
                <w:szCs w:val="21"/>
                <w:lang w:eastAsia="zh-CN"/>
              </w:rPr>
            </w:pPr>
            <w:r>
              <w:rPr>
                <w:rFonts w:hint="eastAsia"/>
                <w:szCs w:val="21"/>
                <w:lang w:eastAsia="zh-CN"/>
              </w:rPr>
              <w:t>水土保持监测费</w:t>
            </w:r>
          </w:p>
        </w:tc>
        <w:tc>
          <w:tcPr>
            <w:tcW w:w="305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szCs w:val="21"/>
                <w:lang w:val="en-US" w:eastAsia="zh-CN"/>
              </w:rPr>
            </w:pPr>
            <w:r>
              <w:rPr>
                <w:rFonts w:hint="eastAsia"/>
                <w:szCs w:val="21"/>
                <w:lang w:val="en-US" w:eastAsia="zh-CN"/>
              </w:rPr>
              <w:t>3.5</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预备费用</w:t>
            </w:r>
          </w:p>
        </w:tc>
        <w:tc>
          <w:tcPr>
            <w:tcW w:w="5229"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0.18</w:t>
            </w:r>
          </w:p>
        </w:tc>
      </w:tr>
      <w:tr>
        <w:tblPrEx>
          <w:tblCellMar>
            <w:top w:w="0" w:type="dxa"/>
            <w:left w:w="0" w:type="dxa"/>
            <w:bottom w:w="0" w:type="dxa"/>
            <w:right w:w="0" w:type="dxa"/>
          </w:tblCellMar>
        </w:tblPrEx>
        <w:trPr>
          <w:trHeight w:val="23"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p>
        </w:tc>
        <w:tc>
          <w:tcPr>
            <w:tcW w:w="19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总投资</w:t>
            </w:r>
          </w:p>
        </w:tc>
        <w:tc>
          <w:tcPr>
            <w:tcW w:w="5229"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default" w:eastAsia="仿宋"/>
                <w:szCs w:val="21"/>
                <w:lang w:val="en-US" w:eastAsia="zh-CN"/>
              </w:rPr>
            </w:pPr>
            <w:r>
              <w:rPr>
                <w:rFonts w:hint="eastAsia"/>
                <w:szCs w:val="21"/>
                <w:lang w:val="en-US" w:eastAsia="zh-CN"/>
              </w:rPr>
              <w:t>44.13</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编制单位</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eastAsia="仿宋_GB2312"/>
                <w:szCs w:val="21"/>
                <w:lang w:eastAsia="zh-CN"/>
              </w:rPr>
            </w:pPr>
            <w:r>
              <w:rPr>
                <w:rFonts w:hint="eastAsia"/>
                <w:szCs w:val="21"/>
                <w:lang w:eastAsia="zh-CN"/>
              </w:rPr>
              <w:t>中铭工程设计咨询有限公司南充分公司</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建设单位</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四川华家建筑工程有限公司</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法人代表</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rFonts w:hint="eastAsia"/>
                <w:szCs w:val="21"/>
              </w:rPr>
            </w:pPr>
            <w:r>
              <w:rPr>
                <w:szCs w:val="21"/>
              </w:rPr>
              <w:t>吴</w:t>
            </w:r>
            <w:r>
              <w:rPr>
                <w:rFonts w:hint="eastAsia"/>
                <w:szCs w:val="21"/>
              </w:rPr>
              <w:t>攀</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法人代表</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张东林</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地址</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南充市天来国际写字楼</w:t>
            </w:r>
            <w:r>
              <w:rPr>
                <w:rFonts w:hint="eastAsia"/>
                <w:szCs w:val="21"/>
                <w:lang w:val="en-US" w:eastAsia="zh-CN"/>
              </w:rPr>
              <w:t>1002</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地址</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四川省南充市仪陇县新政镇河西工业园区</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邮编</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val="en-US" w:eastAsia="zh-CN"/>
              </w:rPr>
              <w:t>630000</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邮编</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val="en-US" w:eastAsia="zh-CN"/>
              </w:rPr>
              <w:t>637676</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联系人及电话</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eastAsia="zh-CN"/>
              </w:rPr>
              <w:t>曾静</w:t>
            </w:r>
            <w:r>
              <w:rPr>
                <w:rFonts w:hint="eastAsia"/>
                <w:szCs w:val="21"/>
                <w:lang w:val="en-US" w:eastAsia="zh-CN"/>
              </w:rPr>
              <w:t>/18515783995</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联系人及电话</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default" w:eastAsia="仿宋"/>
                <w:szCs w:val="21"/>
                <w:lang w:val="en-US" w:eastAsia="zh-CN"/>
              </w:rPr>
              <w:t>廖铭</w:t>
            </w:r>
            <w:r>
              <w:rPr>
                <w:rFonts w:hint="eastAsia"/>
                <w:szCs w:val="21"/>
                <w:lang w:val="en-US" w:eastAsia="zh-CN"/>
              </w:rPr>
              <w:t>/18380788897</w:t>
            </w:r>
          </w:p>
        </w:tc>
      </w:tr>
      <w:tr>
        <w:tblPrEx>
          <w:tblCellMar>
            <w:top w:w="0" w:type="dxa"/>
            <w:left w:w="0" w:type="dxa"/>
            <w:bottom w:w="0" w:type="dxa"/>
            <w:right w:w="0" w:type="dxa"/>
          </w:tblCellMar>
        </w:tblPrEx>
        <w:trPr>
          <w:trHeight w:val="23" w:hRule="atLeast"/>
        </w:trPr>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电子邮箱</w:t>
            </w:r>
          </w:p>
        </w:tc>
        <w:tc>
          <w:tcPr>
            <w:tcW w:w="288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val="en-US" w:eastAsia="zh-CN"/>
              </w:rPr>
              <w:t>/</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szCs w:val="21"/>
              </w:rPr>
              <w:t>电子邮箱</w:t>
            </w:r>
          </w:p>
        </w:tc>
        <w:tc>
          <w:tcPr>
            <w:tcW w:w="26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2"/>
              <w:spacing w:line="360" w:lineRule="auto"/>
              <w:rPr>
                <w:szCs w:val="21"/>
              </w:rPr>
            </w:pPr>
            <w:r>
              <w:rPr>
                <w:rFonts w:hint="eastAsia"/>
                <w:szCs w:val="21"/>
                <w:lang w:val="en-US" w:eastAsia="zh-CN"/>
              </w:rPr>
              <w:t>/</w:t>
            </w:r>
          </w:p>
        </w:tc>
      </w:tr>
    </w:tbl>
    <w:p>
      <w:pPr>
        <w:tabs>
          <w:tab w:val="right" w:pos="8306"/>
        </w:tabs>
        <w:spacing w:line="360" w:lineRule="auto"/>
      </w:pPr>
      <w:r>
        <w:br w:type="page"/>
      </w:r>
    </w:p>
    <w:sdt>
      <w:sdtPr>
        <w:rPr>
          <w:rFonts w:ascii="宋体" w:hAnsi="宋体" w:eastAsia="宋体" w:cs="Times New Roman"/>
          <w:kern w:val="2"/>
          <w:sz w:val="28"/>
          <w:szCs w:val="24"/>
          <w:lang w:val="en-US" w:eastAsia="zh-CN" w:bidi="ar-SA"/>
        </w:rPr>
        <w:id w:val="147458946"/>
        <w15:color w:val="DBDBDB"/>
        <w:docPartObj>
          <w:docPartGallery w:val="Table of Contents"/>
          <w:docPartUnique/>
        </w:docPartObj>
      </w:sdtPr>
      <w:sdtEndPr>
        <w:rPr>
          <w:rFonts w:ascii="Times New Roman" w:hAnsi="Times New Roman" w:eastAsia="仿宋" w:cs="Times New Roman"/>
          <w:b/>
          <w:kern w:val="2"/>
          <w:sz w:val="16"/>
          <w:szCs w:val="16"/>
          <w:lang w:val="en-US" w:eastAsia="zh-CN" w:bidi="ar-SA"/>
        </w:rPr>
      </w:sdtEndPr>
      <w:sdtContent>
        <w:p>
          <w:pPr>
            <w:spacing w:before="0" w:beforeLines="0" w:after="0" w:afterLines="0" w:line="240" w:lineRule="auto"/>
            <w:ind w:left="0" w:leftChars="0" w:right="0" w:rightChars="0" w:firstLine="0" w:firstLineChars="0"/>
            <w:jc w:val="center"/>
            <w:rPr>
              <w:sz w:val="36"/>
              <w:szCs w:val="24"/>
            </w:rPr>
          </w:pPr>
          <w:bookmarkStart w:id="0" w:name="_Toc10691"/>
          <w:bookmarkStart w:id="1" w:name="_Toc48656903"/>
          <w:bookmarkStart w:id="2" w:name="_Toc76045787"/>
          <w:bookmarkStart w:id="3" w:name="_Toc25754"/>
          <w:bookmarkStart w:id="4" w:name="_Toc5671"/>
          <w:r>
            <w:rPr>
              <w:rFonts w:ascii="宋体" w:hAnsi="宋体" w:eastAsia="宋体"/>
              <w:sz w:val="28"/>
              <w:szCs w:val="24"/>
            </w:rPr>
            <w:t>目录</w:t>
          </w:r>
        </w:p>
        <w:p>
          <w:pPr>
            <w:pStyle w:val="15"/>
            <w:tabs>
              <w:tab w:val="right" w:leader="dot" w:pos="8306"/>
            </w:tabs>
          </w:pPr>
          <w:r>
            <w:fldChar w:fldCharType="begin"/>
          </w:r>
          <w:r>
            <w:instrText xml:space="preserve">TOC \o "1-2" \h \u </w:instrText>
          </w:r>
          <w:r>
            <w:fldChar w:fldCharType="separate"/>
          </w:r>
          <w:r>
            <w:fldChar w:fldCharType="begin"/>
          </w:r>
          <w:r>
            <w:instrText xml:space="preserve"> HYPERLINK \l _Toc13590 </w:instrText>
          </w:r>
          <w:r>
            <w:fldChar w:fldCharType="separate"/>
          </w:r>
          <w:r>
            <w:rPr>
              <w:rFonts w:ascii="仿宋" w:hAnsi="仿宋" w:eastAsia="仿宋"/>
            </w:rPr>
            <w:t xml:space="preserve">1 </w:t>
          </w:r>
          <w:r>
            <w:rPr>
              <w:rFonts w:hint="eastAsia" w:ascii="仿宋" w:hAnsi="仿宋" w:eastAsia="仿宋"/>
            </w:rPr>
            <w:t>综合说明</w:t>
          </w:r>
          <w:r>
            <w:tab/>
          </w:r>
          <w:r>
            <w:fldChar w:fldCharType="begin"/>
          </w:r>
          <w:r>
            <w:instrText xml:space="preserve"> PAGEREF _Toc13590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_Toc23571 </w:instrText>
          </w:r>
          <w:r>
            <w:fldChar w:fldCharType="separate"/>
          </w:r>
          <w:r>
            <w:rPr>
              <w:rFonts w:ascii="仿宋" w:hAnsi="仿宋" w:eastAsia="仿宋"/>
            </w:rPr>
            <w:t>1.1</w:t>
          </w:r>
          <w:r>
            <w:rPr>
              <w:rFonts w:hint="eastAsia" w:ascii="仿宋" w:hAnsi="仿宋" w:eastAsia="仿宋"/>
            </w:rPr>
            <w:t>项目简况</w:t>
          </w:r>
          <w:r>
            <w:tab/>
          </w:r>
          <w:r>
            <w:fldChar w:fldCharType="begin"/>
          </w:r>
          <w:r>
            <w:instrText xml:space="preserve"> PAGEREF _Toc23571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_Toc22763 </w:instrText>
          </w:r>
          <w:r>
            <w:fldChar w:fldCharType="separate"/>
          </w:r>
          <w:r>
            <w:rPr>
              <w:rFonts w:hint="eastAsia" w:ascii="Times New Roman" w:hAnsi="Times New Roman" w:eastAsia="仿宋" w:cs="Times New Roman"/>
              <w:spacing w:val="6"/>
              <w:kern w:val="2"/>
              <w:szCs w:val="22"/>
              <w:lang w:val="en-US" w:eastAsia="zh-CN" w:bidi="ar-SA"/>
            </w:rPr>
            <w:t>1.2编制依据</w:t>
          </w:r>
          <w:r>
            <w:tab/>
          </w:r>
          <w:r>
            <w:fldChar w:fldCharType="begin"/>
          </w:r>
          <w:r>
            <w:instrText xml:space="preserve"> PAGEREF _Toc22763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_Toc30375 </w:instrText>
          </w:r>
          <w:r>
            <w:fldChar w:fldCharType="separate"/>
          </w:r>
          <w:r>
            <w:t>1.</w:t>
          </w:r>
          <w:r>
            <w:rPr>
              <w:rFonts w:hint="eastAsia"/>
            </w:rPr>
            <w:t>3方案设计水平年</w:t>
          </w:r>
          <w:r>
            <w:tab/>
          </w:r>
          <w:r>
            <w:fldChar w:fldCharType="begin"/>
          </w:r>
          <w:r>
            <w:instrText xml:space="preserve"> PAGEREF _Toc30375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_Toc25495 </w:instrText>
          </w:r>
          <w:r>
            <w:fldChar w:fldCharType="separate"/>
          </w:r>
          <w:r>
            <w:t>1.</w:t>
          </w:r>
          <w:r>
            <w:rPr>
              <w:rFonts w:hint="eastAsia"/>
            </w:rPr>
            <w:t>4水土流失防治责任范围</w:t>
          </w:r>
          <w:r>
            <w:tab/>
          </w:r>
          <w:r>
            <w:fldChar w:fldCharType="begin"/>
          </w:r>
          <w:r>
            <w:instrText xml:space="preserve"> PAGEREF _Toc25495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_Toc397 </w:instrText>
          </w:r>
          <w:r>
            <w:fldChar w:fldCharType="separate"/>
          </w:r>
          <w:r>
            <w:t>1.</w:t>
          </w:r>
          <w:r>
            <w:rPr>
              <w:rFonts w:hint="eastAsia"/>
            </w:rPr>
            <w:t>5水土流失防治目标</w:t>
          </w:r>
          <w:r>
            <w:tab/>
          </w:r>
          <w:r>
            <w:fldChar w:fldCharType="begin"/>
          </w:r>
          <w:r>
            <w:instrText xml:space="preserve"> PAGEREF _Toc397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_Toc5071 </w:instrText>
          </w:r>
          <w:r>
            <w:fldChar w:fldCharType="separate"/>
          </w:r>
          <w:r>
            <w:rPr>
              <w:rFonts w:hint="eastAsia"/>
            </w:rPr>
            <w:t>1.6主体工程水土保持分析与评价</w:t>
          </w:r>
          <w:r>
            <w:tab/>
          </w:r>
          <w:r>
            <w:fldChar w:fldCharType="begin"/>
          </w:r>
          <w:r>
            <w:instrText xml:space="preserve"> PAGEREF _Toc5071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_Toc2379 </w:instrText>
          </w:r>
          <w:r>
            <w:fldChar w:fldCharType="separate"/>
          </w:r>
          <w:r>
            <w:rPr>
              <w:rFonts w:hint="eastAsia"/>
            </w:rPr>
            <w:t>1.7水土流失</w:t>
          </w:r>
          <w:r>
            <w:rPr>
              <w:rFonts w:hint="eastAsia"/>
              <w:lang w:val="en-US" w:eastAsia="zh-CN"/>
            </w:rPr>
            <w:t>预测</w:t>
          </w:r>
          <w:r>
            <w:rPr>
              <w:rFonts w:hint="eastAsia"/>
            </w:rPr>
            <w:t>结果</w:t>
          </w:r>
          <w:r>
            <w:tab/>
          </w:r>
          <w:r>
            <w:fldChar w:fldCharType="begin"/>
          </w:r>
          <w:r>
            <w:instrText xml:space="preserve"> PAGEREF _Toc2379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_Toc4607 </w:instrText>
          </w:r>
          <w:r>
            <w:fldChar w:fldCharType="separate"/>
          </w:r>
          <w:r>
            <w:rPr>
              <w:rFonts w:hint="eastAsia"/>
            </w:rPr>
            <w:t>1.8水土保持措施布设成果</w:t>
          </w:r>
          <w:r>
            <w:tab/>
          </w:r>
          <w:r>
            <w:fldChar w:fldCharType="begin"/>
          </w:r>
          <w:r>
            <w:instrText xml:space="preserve"> PAGEREF _Toc4607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_Toc12954 </w:instrText>
          </w:r>
          <w:r>
            <w:fldChar w:fldCharType="separate"/>
          </w:r>
          <w:r>
            <w:rPr>
              <w:rFonts w:hint="eastAsia" w:ascii="仿宋" w:hAnsi="仿宋" w:eastAsia="仿宋"/>
            </w:rPr>
            <w:t>1.9水土保持监测</w:t>
          </w:r>
          <w:r>
            <w:tab/>
          </w:r>
          <w:r>
            <w:fldChar w:fldCharType="begin"/>
          </w:r>
          <w:r>
            <w:instrText xml:space="preserve"> PAGEREF _Toc12954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_Toc32273 </w:instrText>
          </w:r>
          <w:r>
            <w:fldChar w:fldCharType="separate"/>
          </w:r>
          <w:r>
            <w:rPr>
              <w:rFonts w:ascii="仿宋" w:hAnsi="仿宋" w:eastAsia="仿宋"/>
            </w:rPr>
            <w:t>1.</w:t>
          </w:r>
          <w:r>
            <w:rPr>
              <w:rFonts w:hint="eastAsia" w:ascii="仿宋" w:hAnsi="仿宋" w:eastAsia="仿宋"/>
            </w:rPr>
            <w:t>10水土保持投资及效益分析成果</w:t>
          </w:r>
          <w:r>
            <w:tab/>
          </w:r>
          <w:r>
            <w:fldChar w:fldCharType="begin"/>
          </w:r>
          <w:r>
            <w:instrText xml:space="preserve"> PAGEREF _Toc32273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_Toc15241 </w:instrText>
          </w:r>
          <w:r>
            <w:fldChar w:fldCharType="separate"/>
          </w:r>
          <w:r>
            <w:rPr>
              <w:rFonts w:ascii="仿宋" w:hAnsi="仿宋" w:eastAsia="仿宋"/>
            </w:rPr>
            <w:t>1.</w:t>
          </w:r>
          <w:r>
            <w:rPr>
              <w:rFonts w:hint="eastAsia" w:ascii="仿宋" w:hAnsi="仿宋" w:eastAsia="仿宋"/>
            </w:rPr>
            <w:t>11结论</w:t>
          </w:r>
          <w:r>
            <w:tab/>
          </w:r>
          <w:r>
            <w:fldChar w:fldCharType="begin"/>
          </w:r>
          <w:r>
            <w:instrText xml:space="preserve"> PAGEREF _Toc15241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_Toc27767 </w:instrText>
          </w:r>
          <w:r>
            <w:fldChar w:fldCharType="separate"/>
          </w:r>
          <w:r>
            <w:rPr>
              <w:rFonts w:ascii="仿宋" w:hAnsi="仿宋" w:eastAsia="仿宋"/>
            </w:rPr>
            <w:t xml:space="preserve">2 </w:t>
          </w:r>
          <w:r>
            <w:rPr>
              <w:rFonts w:hint="eastAsia" w:ascii="仿宋" w:hAnsi="仿宋" w:eastAsia="仿宋"/>
            </w:rPr>
            <w:t>项目简况</w:t>
          </w:r>
          <w:r>
            <w:tab/>
          </w:r>
          <w:r>
            <w:fldChar w:fldCharType="begin"/>
          </w:r>
          <w:r>
            <w:instrText xml:space="preserve"> PAGEREF _Toc27767 </w:instrText>
          </w:r>
          <w:r>
            <w:fldChar w:fldCharType="separate"/>
          </w:r>
          <w:r>
            <w:t>14</w:t>
          </w:r>
          <w:r>
            <w:fldChar w:fldCharType="end"/>
          </w:r>
          <w:r>
            <w:fldChar w:fldCharType="end"/>
          </w:r>
        </w:p>
        <w:p>
          <w:pPr>
            <w:pStyle w:val="17"/>
            <w:tabs>
              <w:tab w:val="right" w:leader="dot" w:pos="8306"/>
            </w:tabs>
          </w:pPr>
          <w:r>
            <w:fldChar w:fldCharType="begin"/>
          </w:r>
          <w:r>
            <w:instrText xml:space="preserve"> HYPERLINK \l _Toc726 </w:instrText>
          </w:r>
          <w:r>
            <w:fldChar w:fldCharType="separate"/>
          </w:r>
          <w:r>
            <w:rPr>
              <w:rFonts w:hint="eastAsia"/>
            </w:rPr>
            <w:t>2.</w:t>
          </w:r>
          <w:r>
            <w:rPr>
              <w:rFonts w:hint="eastAsia"/>
              <w:lang w:val="en-US" w:eastAsia="zh-CN"/>
            </w:rPr>
            <w:t>1</w:t>
          </w:r>
          <w:r>
            <w:rPr>
              <w:rFonts w:hint="eastAsia" w:ascii="仿宋" w:hAnsi="仿宋" w:eastAsia="仿宋"/>
            </w:rPr>
            <w:t>项目组成及工程布置</w:t>
          </w:r>
          <w:r>
            <w:tab/>
          </w:r>
          <w:r>
            <w:fldChar w:fldCharType="begin"/>
          </w:r>
          <w:r>
            <w:instrText xml:space="preserve"> PAGEREF _Toc726 </w:instrText>
          </w:r>
          <w:r>
            <w:fldChar w:fldCharType="separate"/>
          </w:r>
          <w:r>
            <w:t>14</w:t>
          </w:r>
          <w:r>
            <w:fldChar w:fldCharType="end"/>
          </w:r>
          <w:r>
            <w:fldChar w:fldCharType="end"/>
          </w:r>
        </w:p>
        <w:p>
          <w:pPr>
            <w:pStyle w:val="17"/>
            <w:tabs>
              <w:tab w:val="right" w:leader="dot" w:pos="8306"/>
            </w:tabs>
          </w:pPr>
          <w:r>
            <w:fldChar w:fldCharType="begin"/>
          </w:r>
          <w:r>
            <w:instrText xml:space="preserve"> HYPERLINK \l _Toc21677 </w:instrText>
          </w:r>
          <w:r>
            <w:fldChar w:fldCharType="separate"/>
          </w:r>
          <w:r>
            <w:rPr>
              <w:rFonts w:hint="eastAsia"/>
            </w:rPr>
            <w:t>2.2项目</w:t>
          </w:r>
          <w:r>
            <w:rPr>
              <w:rFonts w:hint="eastAsia"/>
              <w:lang w:eastAsia="zh-CN"/>
            </w:rPr>
            <w:t>建设</w:t>
          </w:r>
          <w:r>
            <w:rPr>
              <w:rFonts w:hint="eastAsia"/>
            </w:rPr>
            <w:t>现状、</w:t>
          </w:r>
          <w:r>
            <w:t>水土保持措施</w:t>
          </w:r>
          <w:r>
            <w:rPr>
              <w:rFonts w:hint="eastAsia"/>
              <w:lang w:eastAsia="zh-CN"/>
            </w:rPr>
            <w:t>开展</w:t>
          </w:r>
          <w:r>
            <w:t>情况</w:t>
          </w:r>
          <w:r>
            <w:tab/>
          </w:r>
          <w:r>
            <w:fldChar w:fldCharType="begin"/>
          </w:r>
          <w:r>
            <w:instrText xml:space="preserve"> PAGEREF _Toc21677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_Toc12029 </w:instrText>
          </w:r>
          <w:r>
            <w:fldChar w:fldCharType="separate"/>
          </w:r>
          <w:r>
            <w:rPr>
              <w:rFonts w:hint="eastAsia"/>
            </w:rPr>
            <w:t>2.</w:t>
          </w:r>
          <w:r>
            <w:rPr>
              <w:rFonts w:hint="eastAsia"/>
              <w:lang w:val="en-US" w:eastAsia="zh-CN"/>
            </w:rPr>
            <w:t>3</w:t>
          </w:r>
          <w:r>
            <w:rPr>
              <w:rFonts w:hint="eastAsia"/>
            </w:rPr>
            <w:t>施工组织</w:t>
          </w:r>
          <w:r>
            <w:tab/>
          </w:r>
          <w:r>
            <w:fldChar w:fldCharType="begin"/>
          </w:r>
          <w:r>
            <w:instrText xml:space="preserve"> PAGEREF _Toc12029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_Toc17539 </w:instrText>
          </w:r>
          <w:r>
            <w:fldChar w:fldCharType="separate"/>
          </w:r>
          <w:r>
            <w:rPr>
              <w:rFonts w:hint="eastAsia"/>
            </w:rPr>
            <w:t>2.</w:t>
          </w:r>
          <w:r>
            <w:rPr>
              <w:rFonts w:hint="eastAsia"/>
              <w:lang w:val="en-US" w:eastAsia="zh-CN"/>
            </w:rPr>
            <w:t>4</w:t>
          </w:r>
          <w:r>
            <w:rPr>
              <w:rFonts w:hint="eastAsia"/>
            </w:rPr>
            <w:t>项目占地</w:t>
          </w:r>
          <w:r>
            <w:tab/>
          </w:r>
          <w:r>
            <w:fldChar w:fldCharType="begin"/>
          </w:r>
          <w:r>
            <w:instrText xml:space="preserve"> PAGEREF _Toc17539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_Toc6854 </w:instrText>
          </w:r>
          <w:r>
            <w:fldChar w:fldCharType="separate"/>
          </w:r>
          <w:r>
            <w:rPr>
              <w:rFonts w:hint="eastAsia"/>
            </w:rPr>
            <w:t>2.</w:t>
          </w:r>
          <w:r>
            <w:rPr>
              <w:rFonts w:hint="eastAsia"/>
              <w:lang w:val="en-US" w:eastAsia="zh-CN"/>
            </w:rPr>
            <w:t>5</w:t>
          </w:r>
          <w:r>
            <w:rPr>
              <w:rFonts w:hint="eastAsia"/>
            </w:rPr>
            <w:t>项目土石方平衡</w:t>
          </w:r>
          <w:r>
            <w:tab/>
          </w:r>
          <w:r>
            <w:fldChar w:fldCharType="begin"/>
          </w:r>
          <w:r>
            <w:instrText xml:space="preserve"> PAGEREF _Toc6854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_Toc1769 </w:instrText>
          </w:r>
          <w:r>
            <w:fldChar w:fldCharType="separate"/>
          </w:r>
          <w:r>
            <w:rPr>
              <w:rFonts w:hint="eastAsia"/>
            </w:rPr>
            <w:t>2</w:t>
          </w:r>
          <w:r>
            <w:t>.</w:t>
          </w:r>
          <w:r>
            <w:rPr>
              <w:rFonts w:hint="eastAsia"/>
              <w:lang w:val="en-US" w:eastAsia="zh-CN"/>
            </w:rPr>
            <w:t>6</w:t>
          </w:r>
          <w:r>
            <w:rPr>
              <w:rFonts w:hint="eastAsia"/>
            </w:rPr>
            <w:t>拆迁（移民）安置与专项设施改（迁）建</w:t>
          </w:r>
          <w:r>
            <w:tab/>
          </w:r>
          <w:r>
            <w:fldChar w:fldCharType="begin"/>
          </w:r>
          <w:r>
            <w:instrText xml:space="preserve"> PAGEREF _Toc1769 </w:instrText>
          </w:r>
          <w:r>
            <w:fldChar w:fldCharType="separate"/>
          </w:r>
          <w:r>
            <w:t>22</w:t>
          </w:r>
          <w:r>
            <w:fldChar w:fldCharType="end"/>
          </w:r>
          <w:r>
            <w:fldChar w:fldCharType="end"/>
          </w:r>
        </w:p>
        <w:p>
          <w:pPr>
            <w:pStyle w:val="17"/>
            <w:tabs>
              <w:tab w:val="right" w:leader="dot" w:pos="8306"/>
            </w:tabs>
          </w:pPr>
          <w:r>
            <w:fldChar w:fldCharType="begin"/>
          </w:r>
          <w:r>
            <w:instrText xml:space="preserve"> HYPERLINK \l _Toc7016 </w:instrText>
          </w:r>
          <w:r>
            <w:fldChar w:fldCharType="separate"/>
          </w:r>
          <w:r>
            <w:rPr>
              <w:rFonts w:hint="eastAsia"/>
            </w:rPr>
            <w:t>2.</w:t>
          </w:r>
          <w:r>
            <w:rPr>
              <w:rFonts w:hint="eastAsia"/>
              <w:lang w:val="en-US" w:eastAsia="zh-CN"/>
            </w:rPr>
            <w:t>7</w:t>
          </w:r>
          <w:r>
            <w:rPr>
              <w:rFonts w:hint="eastAsia"/>
            </w:rPr>
            <w:t>主体工程施工进度</w:t>
          </w:r>
          <w:r>
            <w:tab/>
          </w:r>
          <w:r>
            <w:fldChar w:fldCharType="begin"/>
          </w:r>
          <w:r>
            <w:instrText xml:space="preserve"> PAGEREF _Toc7016 </w:instrText>
          </w:r>
          <w:r>
            <w:fldChar w:fldCharType="separate"/>
          </w:r>
          <w:r>
            <w:t>22</w:t>
          </w:r>
          <w:r>
            <w:fldChar w:fldCharType="end"/>
          </w:r>
          <w:r>
            <w:fldChar w:fldCharType="end"/>
          </w:r>
        </w:p>
        <w:p>
          <w:pPr>
            <w:pStyle w:val="17"/>
            <w:tabs>
              <w:tab w:val="right" w:leader="dot" w:pos="8306"/>
            </w:tabs>
          </w:pPr>
          <w:r>
            <w:fldChar w:fldCharType="begin"/>
          </w:r>
          <w:r>
            <w:instrText xml:space="preserve"> HYPERLINK \l _Toc8742 </w:instrText>
          </w:r>
          <w:r>
            <w:fldChar w:fldCharType="separate"/>
          </w:r>
          <w:r>
            <w:rPr>
              <w:rFonts w:hint="eastAsia"/>
            </w:rPr>
            <w:t>2.</w:t>
          </w:r>
          <w:r>
            <w:rPr>
              <w:rFonts w:hint="eastAsia"/>
              <w:lang w:val="en-US" w:eastAsia="zh-CN"/>
            </w:rPr>
            <w:t>8</w:t>
          </w:r>
          <w:r>
            <w:rPr>
              <w:rFonts w:hint="eastAsia"/>
            </w:rPr>
            <w:t>自然简况</w:t>
          </w:r>
          <w:r>
            <w:tab/>
          </w:r>
          <w:r>
            <w:fldChar w:fldCharType="begin"/>
          </w:r>
          <w:r>
            <w:instrText xml:space="preserve"> PAGEREF _Toc8742 </w:instrText>
          </w:r>
          <w:r>
            <w:fldChar w:fldCharType="separate"/>
          </w:r>
          <w:r>
            <w:t>22</w:t>
          </w:r>
          <w:r>
            <w:fldChar w:fldCharType="end"/>
          </w:r>
          <w:r>
            <w:fldChar w:fldCharType="end"/>
          </w:r>
        </w:p>
        <w:p>
          <w:pPr>
            <w:pStyle w:val="15"/>
            <w:tabs>
              <w:tab w:val="right" w:leader="dot" w:pos="8306"/>
            </w:tabs>
          </w:pPr>
          <w:r>
            <w:fldChar w:fldCharType="begin"/>
          </w:r>
          <w:r>
            <w:instrText xml:space="preserve"> HYPERLINK \l _Toc5226 </w:instrText>
          </w:r>
          <w:r>
            <w:fldChar w:fldCharType="separate"/>
          </w:r>
          <w:r>
            <w:rPr>
              <w:rFonts w:hint="eastAsia"/>
              <w:lang w:val="en-US" w:eastAsia="zh-CN"/>
            </w:rPr>
            <w:t>3项目水土保持评价</w:t>
          </w:r>
          <w:r>
            <w:tab/>
          </w:r>
          <w:r>
            <w:fldChar w:fldCharType="begin"/>
          </w:r>
          <w:r>
            <w:instrText xml:space="preserve"> PAGEREF _Toc5226 </w:instrText>
          </w:r>
          <w:r>
            <w:fldChar w:fldCharType="separate"/>
          </w:r>
          <w:r>
            <w:t>26</w:t>
          </w:r>
          <w:r>
            <w:fldChar w:fldCharType="end"/>
          </w:r>
          <w:r>
            <w:fldChar w:fldCharType="end"/>
          </w:r>
        </w:p>
        <w:p>
          <w:pPr>
            <w:pStyle w:val="17"/>
            <w:tabs>
              <w:tab w:val="right" w:leader="dot" w:pos="8306"/>
            </w:tabs>
          </w:pPr>
          <w:r>
            <w:fldChar w:fldCharType="begin"/>
          </w:r>
          <w:r>
            <w:instrText xml:space="preserve"> HYPERLINK \l _Toc28819 </w:instrText>
          </w:r>
          <w:r>
            <w:fldChar w:fldCharType="separate"/>
          </w:r>
          <w:r>
            <w:rPr>
              <w:rFonts w:hint="eastAsia"/>
              <w:lang w:val="en-US" w:eastAsia="zh-CN"/>
            </w:rPr>
            <w:t>3.1主体工程选址（线）水土保持评价</w:t>
          </w:r>
          <w:r>
            <w:tab/>
          </w:r>
          <w:r>
            <w:fldChar w:fldCharType="begin"/>
          </w:r>
          <w:r>
            <w:instrText xml:space="preserve"> PAGEREF _Toc28819 </w:instrText>
          </w:r>
          <w:r>
            <w:fldChar w:fldCharType="separate"/>
          </w:r>
          <w:r>
            <w:t>26</w:t>
          </w:r>
          <w:r>
            <w:fldChar w:fldCharType="end"/>
          </w:r>
          <w:r>
            <w:fldChar w:fldCharType="end"/>
          </w:r>
        </w:p>
        <w:p>
          <w:pPr>
            <w:pStyle w:val="17"/>
            <w:tabs>
              <w:tab w:val="right" w:leader="dot" w:pos="8306"/>
            </w:tabs>
          </w:pPr>
          <w:r>
            <w:fldChar w:fldCharType="begin"/>
          </w:r>
          <w:r>
            <w:instrText xml:space="preserve"> HYPERLINK \l _Toc28749 </w:instrText>
          </w:r>
          <w:r>
            <w:fldChar w:fldCharType="separate"/>
          </w:r>
          <w:r>
            <w:rPr>
              <w:rFonts w:hint="default"/>
              <w:lang w:val="en-US" w:eastAsia="zh-CN"/>
            </w:rPr>
            <w:t>3.2建设方案与布局水土保持评价</w:t>
          </w:r>
          <w:r>
            <w:tab/>
          </w:r>
          <w:r>
            <w:fldChar w:fldCharType="begin"/>
          </w:r>
          <w:r>
            <w:instrText xml:space="preserve"> PAGEREF _Toc28749 </w:instrText>
          </w:r>
          <w:r>
            <w:fldChar w:fldCharType="separate"/>
          </w:r>
          <w:r>
            <w:t>26</w:t>
          </w:r>
          <w:r>
            <w:fldChar w:fldCharType="end"/>
          </w:r>
          <w:r>
            <w:fldChar w:fldCharType="end"/>
          </w:r>
        </w:p>
        <w:p>
          <w:pPr>
            <w:pStyle w:val="17"/>
            <w:tabs>
              <w:tab w:val="right" w:leader="dot" w:pos="8306"/>
            </w:tabs>
          </w:pPr>
          <w:r>
            <w:fldChar w:fldCharType="begin"/>
          </w:r>
          <w:r>
            <w:instrText xml:space="preserve"> HYPERLINK \l _Toc8544 </w:instrText>
          </w:r>
          <w:r>
            <w:fldChar w:fldCharType="separate"/>
          </w:r>
          <w:r>
            <w:rPr>
              <w:rFonts w:hint="eastAsia"/>
              <w:lang w:val="en-US" w:eastAsia="zh-CN"/>
            </w:rPr>
            <w:t>3.3主体工程设计中水土保持措施</w:t>
          </w:r>
          <w:r>
            <w:rPr>
              <w:rFonts w:hint="eastAsia" w:ascii="Times New Roman" w:hAnsi="Times New Roman" w:cs="Times New Roman"/>
              <w:szCs w:val="22"/>
              <w:lang w:val="en-US" w:eastAsia="zh-CN"/>
            </w:rPr>
            <w:t>界定</w:t>
          </w:r>
          <w:r>
            <w:tab/>
          </w:r>
          <w:r>
            <w:fldChar w:fldCharType="begin"/>
          </w:r>
          <w:r>
            <w:instrText xml:space="preserve"> PAGEREF _Toc8544 </w:instrText>
          </w:r>
          <w:r>
            <w:fldChar w:fldCharType="separate"/>
          </w:r>
          <w:r>
            <w:t>32</w:t>
          </w:r>
          <w:r>
            <w:fldChar w:fldCharType="end"/>
          </w:r>
          <w:r>
            <w:fldChar w:fldCharType="end"/>
          </w:r>
        </w:p>
        <w:p>
          <w:pPr>
            <w:pStyle w:val="15"/>
            <w:tabs>
              <w:tab w:val="right" w:leader="dot" w:pos="8306"/>
            </w:tabs>
          </w:pPr>
          <w:r>
            <w:fldChar w:fldCharType="begin"/>
          </w:r>
          <w:r>
            <w:instrText xml:space="preserve"> HYPERLINK \l _Toc31991 </w:instrText>
          </w:r>
          <w:r>
            <w:fldChar w:fldCharType="separate"/>
          </w:r>
          <w:r>
            <w:t>4</w:t>
          </w:r>
          <w:r>
            <w:rPr>
              <w:rFonts w:hint="eastAsia"/>
            </w:rPr>
            <w:t>水土流失</w:t>
          </w:r>
          <w:r>
            <w:rPr>
              <w:rFonts w:hint="eastAsia"/>
              <w:lang w:eastAsia="zh-CN"/>
            </w:rPr>
            <w:t>分析与</w:t>
          </w:r>
          <w:r>
            <w:rPr>
              <w:rFonts w:hint="eastAsia"/>
            </w:rPr>
            <w:t>预测</w:t>
          </w:r>
          <w:r>
            <w:tab/>
          </w:r>
          <w:r>
            <w:fldChar w:fldCharType="begin"/>
          </w:r>
          <w:r>
            <w:instrText xml:space="preserve"> PAGEREF _Toc31991 </w:instrText>
          </w:r>
          <w:r>
            <w:fldChar w:fldCharType="separate"/>
          </w:r>
          <w:r>
            <w:t>34</w:t>
          </w:r>
          <w:r>
            <w:fldChar w:fldCharType="end"/>
          </w:r>
          <w:r>
            <w:fldChar w:fldCharType="end"/>
          </w:r>
        </w:p>
        <w:p>
          <w:pPr>
            <w:pStyle w:val="17"/>
            <w:tabs>
              <w:tab w:val="right" w:leader="dot" w:pos="8306"/>
            </w:tabs>
          </w:pPr>
          <w:r>
            <w:fldChar w:fldCharType="begin"/>
          </w:r>
          <w:r>
            <w:instrText xml:space="preserve"> HYPERLINK \l _Toc26365 </w:instrText>
          </w:r>
          <w:r>
            <w:fldChar w:fldCharType="separate"/>
          </w:r>
          <w:r>
            <w:rPr>
              <w:rFonts w:hint="eastAsia"/>
            </w:rPr>
            <w:t>4</w:t>
          </w:r>
          <w:r>
            <w:t>.1</w:t>
          </w:r>
          <w:r>
            <w:rPr>
              <w:rFonts w:hint="eastAsia"/>
            </w:rPr>
            <w:t>水土流失现状</w:t>
          </w:r>
          <w:r>
            <w:tab/>
          </w:r>
          <w:r>
            <w:fldChar w:fldCharType="begin"/>
          </w:r>
          <w:r>
            <w:instrText xml:space="preserve"> PAGEREF _Toc26365 </w:instrText>
          </w:r>
          <w:r>
            <w:fldChar w:fldCharType="separate"/>
          </w:r>
          <w:r>
            <w:t>34</w:t>
          </w:r>
          <w:r>
            <w:fldChar w:fldCharType="end"/>
          </w:r>
          <w:r>
            <w:fldChar w:fldCharType="end"/>
          </w:r>
        </w:p>
        <w:p>
          <w:pPr>
            <w:pStyle w:val="17"/>
            <w:tabs>
              <w:tab w:val="right" w:leader="dot" w:pos="8306"/>
            </w:tabs>
          </w:pPr>
          <w:r>
            <w:fldChar w:fldCharType="begin"/>
          </w:r>
          <w:r>
            <w:instrText xml:space="preserve"> HYPERLINK \l _Toc5173 </w:instrText>
          </w:r>
          <w:r>
            <w:fldChar w:fldCharType="separate"/>
          </w:r>
          <w:r>
            <w:rPr>
              <w:rFonts w:hint="eastAsia"/>
              <w:lang w:val="en-US" w:eastAsia="zh-CN"/>
            </w:rPr>
            <w:t>4</w:t>
          </w:r>
          <w:r>
            <w:t>.2</w:t>
          </w:r>
          <w:r>
            <w:rPr>
              <w:rFonts w:hint="eastAsia"/>
            </w:rPr>
            <w:t>水土流失</w:t>
          </w:r>
          <w:r>
            <w:rPr>
              <w:rFonts w:hint="eastAsia"/>
              <w:lang w:val="en-US" w:eastAsia="zh-CN"/>
            </w:rPr>
            <w:t>影响因素</w:t>
          </w:r>
          <w:r>
            <w:rPr>
              <w:rFonts w:hint="eastAsia"/>
            </w:rPr>
            <w:t>分析</w:t>
          </w:r>
          <w:r>
            <w:tab/>
          </w:r>
          <w:r>
            <w:fldChar w:fldCharType="begin"/>
          </w:r>
          <w:r>
            <w:instrText xml:space="preserve"> PAGEREF _Toc5173 </w:instrText>
          </w:r>
          <w:r>
            <w:fldChar w:fldCharType="separate"/>
          </w:r>
          <w:r>
            <w:t>35</w:t>
          </w:r>
          <w:r>
            <w:fldChar w:fldCharType="end"/>
          </w:r>
          <w:r>
            <w:fldChar w:fldCharType="end"/>
          </w:r>
        </w:p>
        <w:p>
          <w:pPr>
            <w:pStyle w:val="17"/>
            <w:tabs>
              <w:tab w:val="right" w:leader="dot" w:pos="8306"/>
            </w:tabs>
          </w:pPr>
          <w:r>
            <w:fldChar w:fldCharType="begin"/>
          </w:r>
          <w:r>
            <w:instrText xml:space="preserve"> HYPERLINK \l _Toc26015 </w:instrText>
          </w:r>
          <w:r>
            <w:fldChar w:fldCharType="separate"/>
          </w:r>
          <w:r>
            <w:rPr>
              <w:rFonts w:hint="eastAsia"/>
              <w:lang w:val="en-US" w:eastAsia="zh-CN"/>
            </w:rPr>
            <w:t>4.3水土流失预测</w:t>
          </w:r>
          <w:r>
            <w:tab/>
          </w:r>
          <w:r>
            <w:fldChar w:fldCharType="begin"/>
          </w:r>
          <w:r>
            <w:instrText xml:space="preserve"> PAGEREF _Toc26015 </w:instrText>
          </w:r>
          <w:r>
            <w:fldChar w:fldCharType="separate"/>
          </w:r>
          <w:r>
            <w:t>35</w:t>
          </w:r>
          <w:r>
            <w:fldChar w:fldCharType="end"/>
          </w:r>
          <w:r>
            <w:fldChar w:fldCharType="end"/>
          </w:r>
        </w:p>
        <w:p>
          <w:pPr>
            <w:pStyle w:val="17"/>
            <w:tabs>
              <w:tab w:val="right" w:leader="dot" w:pos="8306"/>
            </w:tabs>
          </w:pPr>
          <w:r>
            <w:fldChar w:fldCharType="begin"/>
          </w:r>
          <w:r>
            <w:instrText xml:space="preserve"> HYPERLINK \l _Toc21852 </w:instrText>
          </w:r>
          <w:r>
            <w:fldChar w:fldCharType="separate"/>
          </w:r>
          <w:r>
            <w:rPr>
              <w:rFonts w:hint="eastAsia"/>
              <w:lang w:val="en-US" w:eastAsia="zh-CN"/>
            </w:rPr>
            <w:t>4.4水土流失危害分析</w:t>
          </w:r>
          <w:r>
            <w:tab/>
          </w:r>
          <w:r>
            <w:fldChar w:fldCharType="begin"/>
          </w:r>
          <w:r>
            <w:instrText xml:space="preserve"> PAGEREF _Toc21852 </w:instrText>
          </w:r>
          <w:r>
            <w:fldChar w:fldCharType="separate"/>
          </w:r>
          <w:r>
            <w:t>38</w:t>
          </w:r>
          <w:r>
            <w:fldChar w:fldCharType="end"/>
          </w:r>
          <w:r>
            <w:fldChar w:fldCharType="end"/>
          </w:r>
        </w:p>
        <w:p>
          <w:pPr>
            <w:pStyle w:val="17"/>
            <w:tabs>
              <w:tab w:val="right" w:leader="dot" w:pos="8306"/>
            </w:tabs>
          </w:pPr>
          <w:r>
            <w:fldChar w:fldCharType="begin"/>
          </w:r>
          <w:r>
            <w:instrText xml:space="preserve"> HYPERLINK \l _Toc19623 </w:instrText>
          </w:r>
          <w:r>
            <w:fldChar w:fldCharType="separate"/>
          </w:r>
          <w:r>
            <w:rPr>
              <w:rFonts w:hint="eastAsia"/>
              <w:highlight w:val="none"/>
            </w:rPr>
            <w:t>4</w:t>
          </w:r>
          <w:r>
            <w:rPr>
              <w:highlight w:val="none"/>
            </w:rPr>
            <w:t>.</w:t>
          </w:r>
          <w:r>
            <w:rPr>
              <w:rFonts w:hint="eastAsia"/>
              <w:highlight w:val="none"/>
              <w:lang w:val="en-US" w:eastAsia="zh-CN"/>
            </w:rPr>
            <w:t>5指导性意见</w:t>
          </w:r>
          <w:r>
            <w:tab/>
          </w:r>
          <w:r>
            <w:fldChar w:fldCharType="begin"/>
          </w:r>
          <w:r>
            <w:instrText xml:space="preserve"> PAGEREF _Toc19623 </w:instrText>
          </w:r>
          <w:r>
            <w:fldChar w:fldCharType="separate"/>
          </w:r>
          <w:r>
            <w:t>39</w:t>
          </w:r>
          <w:r>
            <w:fldChar w:fldCharType="end"/>
          </w:r>
          <w:r>
            <w:fldChar w:fldCharType="end"/>
          </w:r>
        </w:p>
        <w:p>
          <w:pPr>
            <w:pStyle w:val="15"/>
            <w:tabs>
              <w:tab w:val="right" w:leader="dot" w:pos="8306"/>
            </w:tabs>
          </w:pPr>
          <w:r>
            <w:fldChar w:fldCharType="begin"/>
          </w:r>
          <w:r>
            <w:instrText xml:space="preserve"> HYPERLINK \l _Toc31726 </w:instrText>
          </w:r>
          <w:r>
            <w:fldChar w:fldCharType="separate"/>
          </w:r>
          <w:r>
            <w:t xml:space="preserve">5 </w:t>
          </w:r>
          <w:r>
            <w:rPr>
              <w:rFonts w:hint="eastAsia"/>
            </w:rPr>
            <w:t>水土保持措施设计</w:t>
          </w:r>
          <w:r>
            <w:tab/>
          </w:r>
          <w:r>
            <w:fldChar w:fldCharType="begin"/>
          </w:r>
          <w:r>
            <w:instrText xml:space="preserve"> PAGEREF _Toc31726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_Toc13456 </w:instrText>
          </w:r>
          <w:r>
            <w:fldChar w:fldCharType="separate"/>
          </w:r>
          <w:r>
            <w:rPr>
              <w:bCs/>
              <w:spacing w:val="0"/>
              <w:kern w:val="30"/>
              <w:szCs w:val="30"/>
            </w:rPr>
            <w:t>5.1防治区划分</w:t>
          </w:r>
          <w:r>
            <w:tab/>
          </w:r>
          <w:r>
            <w:fldChar w:fldCharType="begin"/>
          </w:r>
          <w:r>
            <w:instrText xml:space="preserve"> PAGEREF _Toc13456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_Toc25977 </w:instrText>
          </w:r>
          <w:r>
            <w:fldChar w:fldCharType="separate"/>
          </w:r>
          <w:r>
            <w:t xml:space="preserve">5.2 </w:t>
          </w:r>
          <w:r>
            <w:rPr>
              <w:rFonts w:hint="eastAsia"/>
            </w:rPr>
            <w:t>措施总体布局</w:t>
          </w:r>
          <w:r>
            <w:tab/>
          </w:r>
          <w:r>
            <w:fldChar w:fldCharType="begin"/>
          </w:r>
          <w:r>
            <w:instrText xml:space="preserve"> PAGEREF _Toc25977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_Toc30658 </w:instrText>
          </w:r>
          <w:r>
            <w:fldChar w:fldCharType="separate"/>
          </w:r>
          <w:r>
            <w:t xml:space="preserve">5.3 </w:t>
          </w:r>
          <w:r>
            <w:rPr>
              <w:rFonts w:hint="eastAsia"/>
            </w:rPr>
            <w:t>分区措施布设</w:t>
          </w:r>
          <w:r>
            <w:tab/>
          </w:r>
          <w:r>
            <w:fldChar w:fldCharType="begin"/>
          </w:r>
          <w:r>
            <w:instrText xml:space="preserve"> PAGEREF _Toc30658 </w:instrText>
          </w:r>
          <w:r>
            <w:fldChar w:fldCharType="separate"/>
          </w:r>
          <w:r>
            <w:t>42</w:t>
          </w:r>
          <w:r>
            <w:fldChar w:fldCharType="end"/>
          </w:r>
          <w:r>
            <w:fldChar w:fldCharType="end"/>
          </w:r>
        </w:p>
        <w:p>
          <w:pPr>
            <w:pStyle w:val="17"/>
            <w:tabs>
              <w:tab w:val="right" w:leader="dot" w:pos="8306"/>
            </w:tabs>
          </w:pPr>
          <w:r>
            <w:fldChar w:fldCharType="begin"/>
          </w:r>
          <w:r>
            <w:instrText xml:space="preserve"> HYPERLINK \l _Toc29068 </w:instrText>
          </w:r>
          <w:r>
            <w:fldChar w:fldCharType="separate"/>
          </w:r>
          <w:r>
            <w:rPr>
              <w:rFonts w:hint="eastAsia"/>
            </w:rPr>
            <w:t>5.4水土保持措施进度</w:t>
          </w:r>
          <w:r>
            <w:tab/>
          </w:r>
          <w:r>
            <w:fldChar w:fldCharType="begin"/>
          </w:r>
          <w:r>
            <w:instrText xml:space="preserve"> PAGEREF _Toc29068 </w:instrText>
          </w:r>
          <w:r>
            <w:fldChar w:fldCharType="separate"/>
          </w:r>
          <w:r>
            <w:t>45</w:t>
          </w:r>
          <w:r>
            <w:fldChar w:fldCharType="end"/>
          </w:r>
          <w:r>
            <w:fldChar w:fldCharType="end"/>
          </w:r>
        </w:p>
        <w:p>
          <w:pPr>
            <w:pStyle w:val="15"/>
            <w:tabs>
              <w:tab w:val="right" w:leader="dot" w:pos="8306"/>
            </w:tabs>
          </w:pPr>
          <w:r>
            <w:fldChar w:fldCharType="begin"/>
          </w:r>
          <w:r>
            <w:instrText xml:space="preserve"> HYPERLINK \l _Toc21299 </w:instrText>
          </w:r>
          <w:r>
            <w:fldChar w:fldCharType="separate"/>
          </w:r>
          <w:r>
            <w:rPr>
              <w:rFonts w:hint="eastAsia"/>
              <w:szCs w:val="22"/>
            </w:rPr>
            <w:t>6水土保持监测</w:t>
          </w:r>
          <w:r>
            <w:tab/>
          </w:r>
          <w:r>
            <w:fldChar w:fldCharType="begin"/>
          </w:r>
          <w:r>
            <w:instrText xml:space="preserve"> PAGEREF _Toc21299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_Toc24156 </w:instrText>
          </w:r>
          <w:r>
            <w:fldChar w:fldCharType="separate"/>
          </w:r>
          <w:r>
            <w:rPr>
              <w:rFonts w:hint="eastAsia"/>
            </w:rPr>
            <w:t>6</w:t>
          </w:r>
          <w:r>
            <w:t>.1</w:t>
          </w:r>
          <w:r>
            <w:rPr>
              <w:rFonts w:hint="eastAsia"/>
            </w:rPr>
            <w:t>监测范围与时段</w:t>
          </w:r>
          <w:r>
            <w:tab/>
          </w:r>
          <w:r>
            <w:fldChar w:fldCharType="begin"/>
          </w:r>
          <w:r>
            <w:instrText xml:space="preserve"> PAGEREF _Toc24156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_Toc5363 </w:instrText>
          </w:r>
          <w:r>
            <w:fldChar w:fldCharType="separate"/>
          </w:r>
          <w:r>
            <w:rPr>
              <w:rFonts w:hint="eastAsia"/>
              <w:lang w:val="en-US" w:eastAsia="zh-CN"/>
            </w:rPr>
            <w:t>6.2监测内容、方法、频次与点位布设</w:t>
          </w:r>
          <w:r>
            <w:tab/>
          </w:r>
          <w:r>
            <w:fldChar w:fldCharType="begin"/>
          </w:r>
          <w:r>
            <w:instrText xml:space="preserve"> PAGEREF _Toc5363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_Toc28585 </w:instrText>
          </w:r>
          <w:r>
            <w:fldChar w:fldCharType="separate"/>
          </w:r>
          <w:r>
            <w:rPr>
              <w:rFonts w:hint="eastAsia"/>
            </w:rPr>
            <w:t>6.3 点位布设</w:t>
          </w:r>
          <w:r>
            <w:tab/>
          </w:r>
          <w:r>
            <w:fldChar w:fldCharType="begin"/>
          </w:r>
          <w:r>
            <w:instrText xml:space="preserve"> PAGEREF _Toc28585 </w:instrText>
          </w:r>
          <w:r>
            <w:fldChar w:fldCharType="separate"/>
          </w:r>
          <w:r>
            <w:t>50</w:t>
          </w:r>
          <w:r>
            <w:fldChar w:fldCharType="end"/>
          </w:r>
          <w:r>
            <w:fldChar w:fldCharType="end"/>
          </w:r>
        </w:p>
        <w:p>
          <w:pPr>
            <w:pStyle w:val="17"/>
            <w:tabs>
              <w:tab w:val="right" w:leader="dot" w:pos="8306"/>
            </w:tabs>
          </w:pPr>
          <w:r>
            <w:fldChar w:fldCharType="begin"/>
          </w:r>
          <w:r>
            <w:instrText xml:space="preserve"> HYPERLINK \l _Toc4103 </w:instrText>
          </w:r>
          <w:r>
            <w:fldChar w:fldCharType="separate"/>
          </w:r>
          <w:r>
            <w:rPr>
              <w:rFonts w:hint="eastAsia"/>
            </w:rPr>
            <w:t>6</w:t>
          </w:r>
          <w:r>
            <w:t>.</w:t>
          </w:r>
          <w:r>
            <w:rPr>
              <w:rFonts w:hint="eastAsia"/>
            </w:rPr>
            <w:t>4监测设施设备及人员配备</w:t>
          </w:r>
          <w:r>
            <w:tab/>
          </w:r>
          <w:r>
            <w:fldChar w:fldCharType="begin"/>
          </w:r>
          <w:r>
            <w:instrText xml:space="preserve"> PAGEREF _Toc4103 </w:instrText>
          </w:r>
          <w:r>
            <w:fldChar w:fldCharType="separate"/>
          </w:r>
          <w:r>
            <w:t>50</w:t>
          </w:r>
          <w:r>
            <w:fldChar w:fldCharType="end"/>
          </w:r>
          <w:r>
            <w:fldChar w:fldCharType="end"/>
          </w:r>
        </w:p>
        <w:p>
          <w:pPr>
            <w:pStyle w:val="17"/>
            <w:tabs>
              <w:tab w:val="right" w:leader="dot" w:pos="8306"/>
            </w:tabs>
          </w:pPr>
          <w:r>
            <w:fldChar w:fldCharType="begin"/>
          </w:r>
          <w:r>
            <w:instrText xml:space="preserve"> HYPERLINK \l _Toc22939 </w:instrText>
          </w:r>
          <w:r>
            <w:fldChar w:fldCharType="separate"/>
          </w:r>
          <w:r>
            <w:rPr>
              <w:rFonts w:hint="eastAsia"/>
            </w:rPr>
            <w:t>6</w:t>
          </w:r>
          <w:r>
            <w:t>.</w:t>
          </w:r>
          <w:r>
            <w:rPr>
              <w:rFonts w:hint="eastAsia"/>
            </w:rPr>
            <w:t>5监测成果</w:t>
          </w:r>
          <w:r>
            <w:tab/>
          </w:r>
          <w:r>
            <w:fldChar w:fldCharType="begin"/>
          </w:r>
          <w:r>
            <w:instrText xml:space="preserve"> PAGEREF _Toc22939 </w:instrText>
          </w:r>
          <w:r>
            <w:fldChar w:fldCharType="separate"/>
          </w:r>
          <w:r>
            <w:t>51</w:t>
          </w:r>
          <w:r>
            <w:fldChar w:fldCharType="end"/>
          </w:r>
          <w:r>
            <w:fldChar w:fldCharType="end"/>
          </w:r>
        </w:p>
        <w:p>
          <w:pPr>
            <w:pStyle w:val="15"/>
            <w:tabs>
              <w:tab w:val="right" w:leader="dot" w:pos="8306"/>
            </w:tabs>
          </w:pPr>
          <w:r>
            <w:fldChar w:fldCharType="begin"/>
          </w:r>
          <w:r>
            <w:instrText xml:space="preserve"> HYPERLINK \l _Toc2121 </w:instrText>
          </w:r>
          <w:r>
            <w:fldChar w:fldCharType="separate"/>
          </w:r>
          <w:r>
            <w:rPr>
              <w:rFonts w:hint="eastAsia"/>
              <w:szCs w:val="22"/>
            </w:rPr>
            <w:t>7水土保持投资概算及效益分析</w:t>
          </w:r>
          <w:r>
            <w:tab/>
          </w:r>
          <w:r>
            <w:fldChar w:fldCharType="begin"/>
          </w:r>
          <w:r>
            <w:instrText xml:space="preserve"> PAGEREF _Toc2121 </w:instrText>
          </w:r>
          <w:r>
            <w:fldChar w:fldCharType="separate"/>
          </w:r>
          <w:r>
            <w:t>52</w:t>
          </w:r>
          <w:r>
            <w:fldChar w:fldCharType="end"/>
          </w:r>
          <w:r>
            <w:fldChar w:fldCharType="end"/>
          </w:r>
        </w:p>
        <w:p>
          <w:pPr>
            <w:pStyle w:val="17"/>
            <w:tabs>
              <w:tab w:val="right" w:leader="dot" w:pos="8306"/>
            </w:tabs>
          </w:pPr>
          <w:r>
            <w:fldChar w:fldCharType="begin"/>
          </w:r>
          <w:r>
            <w:instrText xml:space="preserve"> HYPERLINK \l _Toc30637 </w:instrText>
          </w:r>
          <w:r>
            <w:fldChar w:fldCharType="separate"/>
          </w:r>
          <w:r>
            <w:t>7.1投资概算</w:t>
          </w:r>
          <w:r>
            <w:tab/>
          </w:r>
          <w:r>
            <w:fldChar w:fldCharType="begin"/>
          </w:r>
          <w:r>
            <w:instrText xml:space="preserve"> PAGEREF _Toc30637 </w:instrText>
          </w:r>
          <w:r>
            <w:fldChar w:fldCharType="separate"/>
          </w:r>
          <w:r>
            <w:t>52</w:t>
          </w:r>
          <w:r>
            <w:fldChar w:fldCharType="end"/>
          </w:r>
          <w:r>
            <w:fldChar w:fldCharType="end"/>
          </w:r>
        </w:p>
        <w:p>
          <w:pPr>
            <w:pStyle w:val="17"/>
            <w:tabs>
              <w:tab w:val="right" w:leader="dot" w:pos="8306"/>
            </w:tabs>
          </w:pPr>
          <w:r>
            <w:fldChar w:fldCharType="begin"/>
          </w:r>
          <w:r>
            <w:instrText xml:space="preserve"> HYPERLINK \l _Toc7722 </w:instrText>
          </w:r>
          <w:r>
            <w:fldChar w:fldCharType="separate"/>
          </w:r>
          <w:r>
            <w:t>7.2效益分析</w:t>
          </w:r>
          <w:r>
            <w:tab/>
          </w:r>
          <w:r>
            <w:fldChar w:fldCharType="begin"/>
          </w:r>
          <w:r>
            <w:instrText xml:space="preserve"> PAGEREF _Toc7722 </w:instrText>
          </w:r>
          <w:r>
            <w:fldChar w:fldCharType="separate"/>
          </w:r>
          <w:r>
            <w:t>60</w:t>
          </w:r>
          <w:r>
            <w:fldChar w:fldCharType="end"/>
          </w:r>
          <w:r>
            <w:fldChar w:fldCharType="end"/>
          </w:r>
        </w:p>
        <w:p>
          <w:pPr>
            <w:pStyle w:val="15"/>
            <w:tabs>
              <w:tab w:val="right" w:leader="dot" w:pos="8306"/>
            </w:tabs>
          </w:pPr>
          <w:r>
            <w:fldChar w:fldCharType="begin"/>
          </w:r>
          <w:r>
            <w:instrText xml:space="preserve"> HYPERLINK \l _Toc22504 </w:instrText>
          </w:r>
          <w:r>
            <w:fldChar w:fldCharType="separate"/>
          </w:r>
          <w:r>
            <w:rPr>
              <w:rFonts w:hint="eastAsia" w:ascii="仿宋" w:hAnsi="仿宋" w:eastAsia="仿宋"/>
            </w:rPr>
            <w:t>8 水土保持管理</w:t>
          </w:r>
          <w:r>
            <w:tab/>
          </w:r>
          <w:r>
            <w:fldChar w:fldCharType="begin"/>
          </w:r>
          <w:r>
            <w:instrText xml:space="preserve"> PAGEREF _Toc22504 </w:instrText>
          </w:r>
          <w:r>
            <w:fldChar w:fldCharType="separate"/>
          </w:r>
          <w:r>
            <w:t>63</w:t>
          </w:r>
          <w:r>
            <w:fldChar w:fldCharType="end"/>
          </w:r>
          <w:r>
            <w:fldChar w:fldCharType="end"/>
          </w:r>
        </w:p>
        <w:p>
          <w:pPr>
            <w:pStyle w:val="17"/>
            <w:tabs>
              <w:tab w:val="right" w:leader="dot" w:pos="8306"/>
            </w:tabs>
          </w:pPr>
          <w:r>
            <w:fldChar w:fldCharType="begin"/>
          </w:r>
          <w:r>
            <w:instrText xml:space="preserve"> HYPERLINK \l _Toc16765 </w:instrText>
          </w:r>
          <w:r>
            <w:fldChar w:fldCharType="separate"/>
          </w:r>
          <w:r>
            <w:rPr>
              <w:rFonts w:hint="eastAsia" w:ascii="Times New Roman" w:hAnsi="Times New Roman" w:cs="Times New Roman"/>
              <w:szCs w:val="22"/>
            </w:rPr>
            <w:t>8.1</w:t>
          </w:r>
          <w:r>
            <w:rPr>
              <w:rFonts w:hint="eastAsia" w:ascii="仿宋" w:hAnsi="仿宋" w:eastAsia="仿宋"/>
            </w:rPr>
            <w:t xml:space="preserve"> 组织管理</w:t>
          </w:r>
          <w:r>
            <w:tab/>
          </w:r>
          <w:r>
            <w:fldChar w:fldCharType="begin"/>
          </w:r>
          <w:r>
            <w:instrText xml:space="preserve"> PAGEREF _Toc16765 </w:instrText>
          </w:r>
          <w:r>
            <w:fldChar w:fldCharType="separate"/>
          </w:r>
          <w:r>
            <w:t>63</w:t>
          </w:r>
          <w:r>
            <w:fldChar w:fldCharType="end"/>
          </w:r>
          <w:r>
            <w:fldChar w:fldCharType="end"/>
          </w:r>
        </w:p>
        <w:p>
          <w:pPr>
            <w:pStyle w:val="17"/>
            <w:tabs>
              <w:tab w:val="right" w:leader="dot" w:pos="8306"/>
            </w:tabs>
          </w:pPr>
          <w:r>
            <w:fldChar w:fldCharType="begin"/>
          </w:r>
          <w:r>
            <w:instrText xml:space="preserve"> HYPERLINK \l _Toc9466 </w:instrText>
          </w:r>
          <w:r>
            <w:fldChar w:fldCharType="separate"/>
          </w:r>
          <w:r>
            <w:rPr>
              <w:rFonts w:hint="eastAsia" w:ascii="Times New Roman" w:hAnsi="Times New Roman" w:cs="Times New Roman"/>
              <w:szCs w:val="22"/>
            </w:rPr>
            <w:t xml:space="preserve">8.2 </w:t>
          </w:r>
          <w:r>
            <w:rPr>
              <w:rFonts w:hint="eastAsia" w:ascii="仿宋" w:hAnsi="仿宋" w:eastAsia="仿宋"/>
            </w:rPr>
            <w:t>水土保持监测</w:t>
          </w:r>
          <w:r>
            <w:tab/>
          </w:r>
          <w:r>
            <w:fldChar w:fldCharType="begin"/>
          </w:r>
          <w:r>
            <w:instrText xml:space="preserve"> PAGEREF _Toc9466 </w:instrText>
          </w:r>
          <w:r>
            <w:fldChar w:fldCharType="separate"/>
          </w:r>
          <w:r>
            <w:t>64</w:t>
          </w:r>
          <w:r>
            <w:fldChar w:fldCharType="end"/>
          </w:r>
          <w:r>
            <w:fldChar w:fldCharType="end"/>
          </w:r>
        </w:p>
        <w:p>
          <w:pPr>
            <w:pStyle w:val="17"/>
            <w:tabs>
              <w:tab w:val="right" w:leader="dot" w:pos="8306"/>
            </w:tabs>
          </w:pPr>
          <w:r>
            <w:fldChar w:fldCharType="begin"/>
          </w:r>
          <w:r>
            <w:instrText xml:space="preserve"> HYPERLINK \l _Toc11201 </w:instrText>
          </w:r>
          <w:r>
            <w:fldChar w:fldCharType="separate"/>
          </w:r>
          <w:r>
            <w:rPr>
              <w:rFonts w:hint="eastAsia" w:ascii="Times New Roman" w:hAnsi="Times New Roman" w:cs="Times New Roman"/>
              <w:szCs w:val="22"/>
            </w:rPr>
            <w:t xml:space="preserve">8.3 </w:t>
          </w:r>
          <w:r>
            <w:rPr>
              <w:rFonts w:hint="eastAsia" w:ascii="仿宋" w:hAnsi="仿宋" w:eastAsia="仿宋"/>
            </w:rPr>
            <w:t>水土保持监理</w:t>
          </w:r>
          <w:r>
            <w:tab/>
          </w:r>
          <w:r>
            <w:fldChar w:fldCharType="begin"/>
          </w:r>
          <w:r>
            <w:instrText xml:space="preserve"> PAGEREF _Toc11201 </w:instrText>
          </w:r>
          <w:r>
            <w:fldChar w:fldCharType="separate"/>
          </w:r>
          <w:r>
            <w:t>65</w:t>
          </w:r>
          <w:r>
            <w:fldChar w:fldCharType="end"/>
          </w:r>
          <w:r>
            <w:fldChar w:fldCharType="end"/>
          </w:r>
        </w:p>
        <w:p>
          <w:pPr>
            <w:pStyle w:val="17"/>
            <w:tabs>
              <w:tab w:val="right" w:leader="dot" w:pos="8306"/>
            </w:tabs>
          </w:pPr>
          <w:r>
            <w:fldChar w:fldCharType="begin"/>
          </w:r>
          <w:r>
            <w:instrText xml:space="preserve"> HYPERLINK \l _Toc3558 </w:instrText>
          </w:r>
          <w:r>
            <w:fldChar w:fldCharType="separate"/>
          </w:r>
          <w:r>
            <w:rPr>
              <w:rFonts w:hint="eastAsia" w:ascii="Times New Roman" w:hAnsi="Times New Roman" w:cs="Times New Roman"/>
              <w:szCs w:val="22"/>
            </w:rPr>
            <w:t xml:space="preserve">8.4 </w:t>
          </w:r>
          <w:r>
            <w:rPr>
              <w:rFonts w:hint="eastAsia" w:ascii="仿宋" w:hAnsi="仿宋" w:eastAsia="仿宋"/>
            </w:rPr>
            <w:t>水土保持工程施工</w:t>
          </w:r>
          <w:r>
            <w:tab/>
          </w:r>
          <w:r>
            <w:fldChar w:fldCharType="begin"/>
          </w:r>
          <w:r>
            <w:instrText xml:space="preserve"> PAGEREF _Toc3558 </w:instrText>
          </w:r>
          <w:r>
            <w:fldChar w:fldCharType="separate"/>
          </w:r>
          <w:r>
            <w:t>66</w:t>
          </w:r>
          <w:r>
            <w:fldChar w:fldCharType="end"/>
          </w:r>
          <w:r>
            <w:fldChar w:fldCharType="end"/>
          </w:r>
        </w:p>
        <w:p>
          <w:pPr>
            <w:pStyle w:val="17"/>
            <w:tabs>
              <w:tab w:val="right" w:leader="dot" w:pos="8306"/>
            </w:tabs>
          </w:pPr>
          <w:r>
            <w:fldChar w:fldCharType="begin"/>
          </w:r>
          <w:r>
            <w:instrText xml:space="preserve"> HYPERLINK \l _Toc9593 </w:instrText>
          </w:r>
          <w:r>
            <w:fldChar w:fldCharType="separate"/>
          </w:r>
          <w:r>
            <w:rPr>
              <w:rFonts w:hint="eastAsia" w:ascii="Times New Roman" w:hAnsi="Times New Roman" w:cs="Times New Roman"/>
              <w:szCs w:val="22"/>
            </w:rPr>
            <w:t xml:space="preserve">8.5 </w:t>
          </w:r>
          <w:r>
            <w:rPr>
              <w:rFonts w:hint="eastAsia" w:ascii="仿宋" w:hAnsi="仿宋" w:eastAsia="仿宋"/>
            </w:rPr>
            <w:t>水土保持设施验收</w:t>
          </w:r>
          <w:r>
            <w:tab/>
          </w:r>
          <w:r>
            <w:fldChar w:fldCharType="begin"/>
          </w:r>
          <w:r>
            <w:instrText xml:space="preserve"> PAGEREF _Toc9593 </w:instrText>
          </w:r>
          <w:r>
            <w:fldChar w:fldCharType="separate"/>
          </w:r>
          <w:r>
            <w:t>66</w:t>
          </w:r>
          <w:r>
            <w:fldChar w:fldCharType="end"/>
          </w:r>
          <w:r>
            <w:fldChar w:fldCharType="end"/>
          </w:r>
        </w:p>
        <w:p>
          <w:pPr>
            <w:pStyle w:val="2"/>
          </w:pPr>
          <w:r>
            <w:fldChar w:fldCharType="end"/>
          </w:r>
        </w:p>
      </w:sdtContent>
    </w:sdt>
    <w:p>
      <w:pPr>
        <w:pStyle w:val="3"/>
        <w:rPr>
          <w:rFonts w:ascii="仿宋" w:hAnsi="仿宋" w:eastAsia="仿宋"/>
        </w:rPr>
      </w:pPr>
    </w:p>
    <w:p>
      <w:pPr>
        <w:pStyle w:val="3"/>
        <w:rPr>
          <w:rFonts w:ascii="仿宋" w:hAnsi="仿宋" w:eastAsia="仿宋"/>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rPr>
          <w:rFonts w:ascii="仿宋" w:hAnsi="仿宋" w:eastAsia="仿宋"/>
        </w:rPr>
      </w:pPr>
      <w:bookmarkStart w:id="5" w:name="_Toc13590"/>
      <w:r>
        <w:rPr>
          <w:rFonts w:ascii="仿宋" w:hAnsi="仿宋" w:eastAsia="仿宋"/>
        </w:rPr>
        <w:t xml:space="preserve">1 </w:t>
      </w:r>
      <w:r>
        <w:rPr>
          <w:rFonts w:hint="eastAsia" w:ascii="仿宋" w:hAnsi="仿宋" w:eastAsia="仿宋"/>
        </w:rPr>
        <w:t>综合说明</w:t>
      </w:r>
      <w:bookmarkEnd w:id="0"/>
      <w:bookmarkEnd w:id="1"/>
      <w:bookmarkEnd w:id="2"/>
      <w:bookmarkEnd w:id="3"/>
      <w:bookmarkEnd w:id="4"/>
      <w:bookmarkEnd w:id="5"/>
    </w:p>
    <w:p>
      <w:pPr>
        <w:pStyle w:val="4"/>
        <w:rPr>
          <w:rFonts w:ascii="仿宋" w:hAnsi="仿宋" w:eastAsia="仿宋"/>
        </w:rPr>
      </w:pPr>
      <w:bookmarkStart w:id="6" w:name="_Toc23571"/>
      <w:bookmarkStart w:id="7" w:name="_Toc3434"/>
      <w:bookmarkStart w:id="8" w:name="_Toc7263"/>
      <w:bookmarkStart w:id="9" w:name="_Toc15182"/>
      <w:bookmarkStart w:id="10" w:name="_Toc11614"/>
      <w:bookmarkStart w:id="11" w:name="_Toc371412975"/>
      <w:bookmarkStart w:id="12" w:name="_Toc48656904"/>
      <w:bookmarkStart w:id="13" w:name="_Toc76045788"/>
      <w:r>
        <w:rPr>
          <w:rFonts w:ascii="仿宋" w:hAnsi="仿宋" w:eastAsia="仿宋"/>
        </w:rPr>
        <w:t>1.1</w:t>
      </w:r>
      <w:r>
        <w:rPr>
          <w:rFonts w:hint="eastAsia" w:ascii="仿宋" w:hAnsi="仿宋" w:eastAsia="仿宋"/>
        </w:rPr>
        <w:t>项目简况</w:t>
      </w:r>
      <w:bookmarkEnd w:id="6"/>
      <w:bookmarkEnd w:id="7"/>
      <w:bookmarkEnd w:id="8"/>
      <w:bookmarkEnd w:id="9"/>
      <w:bookmarkEnd w:id="10"/>
      <w:bookmarkEnd w:id="11"/>
      <w:bookmarkEnd w:id="12"/>
      <w:bookmarkEnd w:id="13"/>
    </w:p>
    <w:p>
      <w:pPr>
        <w:pStyle w:val="6"/>
        <w:rPr>
          <w:rFonts w:ascii="仿宋" w:hAnsi="仿宋" w:eastAsia="仿宋"/>
        </w:rPr>
      </w:pPr>
      <w:bookmarkStart w:id="14" w:name="_Toc4861"/>
      <w:r>
        <w:rPr>
          <w:rFonts w:ascii="仿宋" w:hAnsi="仿宋" w:eastAsia="仿宋"/>
        </w:rPr>
        <w:t>1.1.1</w:t>
      </w:r>
      <w:r>
        <w:rPr>
          <w:rFonts w:hint="eastAsia" w:ascii="仿宋" w:hAnsi="仿宋" w:eastAsia="仿宋"/>
        </w:rPr>
        <w:t>项目基本情况</w:t>
      </w:r>
      <w:bookmarkEnd w:id="14"/>
    </w:p>
    <w:p>
      <w:pPr>
        <w:spacing w:line="360" w:lineRule="auto"/>
        <w:ind w:firstLine="480" w:firstLineChars="200"/>
        <w:rPr>
          <w:rFonts w:hint="eastAsia"/>
          <w:lang w:eastAsia="zh-CN"/>
        </w:rPr>
      </w:pPr>
      <w:r>
        <w:rPr>
          <w:rFonts w:hint="eastAsia"/>
          <w:lang w:eastAsia="zh-CN"/>
        </w:rPr>
        <w:t>本项目</w:t>
      </w:r>
      <w:r>
        <w:rPr>
          <w:rFonts w:hint="eastAsia"/>
          <w:highlight w:val="none"/>
          <w:lang w:eastAsia="zh-CN"/>
        </w:rPr>
        <w:t>属于新建建设类项目</w:t>
      </w:r>
      <w:r>
        <w:rPr>
          <w:rFonts w:hint="eastAsia"/>
          <w:lang w:eastAsia="zh-CN"/>
        </w:rPr>
        <w:t>，位于</w:t>
      </w:r>
      <w:r>
        <w:rPr>
          <w:rFonts w:hint="eastAsia"/>
          <w:szCs w:val="21"/>
          <w:lang w:eastAsia="zh-CN"/>
        </w:rPr>
        <w:t>南充市仪陇县新政镇琳琅大道中段，地理位</w:t>
      </w:r>
      <w:r>
        <w:rPr>
          <w:rFonts w:hint="eastAsia" w:ascii="Times New Roman" w:hAnsi="Times New Roman" w:cs="Times New Roman"/>
          <w:szCs w:val="21"/>
          <w:lang w:eastAsia="zh-CN"/>
        </w:rPr>
        <w:t>置： 东经106°17'33.7</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"北纬31°16'32.16"，项目西侧为琳琅大道北二段；东侧为跃进一</w:t>
      </w:r>
      <w:r>
        <w:rPr>
          <w:rFonts w:hint="eastAsia" w:cs="Times New Roman"/>
          <w:szCs w:val="21"/>
          <w:lang w:eastAsia="zh-CN"/>
        </w:rPr>
        <w:t>、跃进三</w:t>
      </w:r>
      <w:r>
        <w:rPr>
          <w:rFonts w:hint="eastAsia" w:ascii="Times New Roman" w:hAnsi="Times New Roman" w:cs="Times New Roman"/>
          <w:szCs w:val="21"/>
          <w:lang w:eastAsia="zh-CN"/>
        </w:rPr>
        <w:t>安置区；北侧为《仪陇县琳琅大道中段棚户区改造项目（</w:t>
      </w:r>
      <w:r>
        <w:rPr>
          <w:rFonts w:hint="eastAsia" w:cs="Times New Roman"/>
          <w:szCs w:val="21"/>
          <w:lang w:eastAsia="zh-CN"/>
        </w:rPr>
        <w:t>镇中旁</w:t>
      </w:r>
      <w:r>
        <w:rPr>
          <w:rFonts w:hint="eastAsia" w:ascii="Times New Roman" w:hAnsi="Times New Roman" w:cs="Times New Roman"/>
          <w:szCs w:val="21"/>
          <w:lang w:eastAsia="zh-CN"/>
        </w:rPr>
        <w:t>地块）》项目建筑地，南侧为嘉陵西路。</w:t>
      </w:r>
      <w:r>
        <w:rPr>
          <w:rFonts w:hint="eastAsia"/>
          <w:szCs w:val="21"/>
          <w:lang w:eastAsia="zh-CN"/>
        </w:rPr>
        <w:t>该项目占地</w:t>
      </w:r>
      <w:r>
        <w:rPr>
          <w:rFonts w:hint="eastAsia"/>
          <w:szCs w:val="21"/>
          <w:lang w:val="en-US" w:eastAsia="zh-CN"/>
        </w:rPr>
        <w:t>10154.6平方米，新建高层住宅（安置房）、商业、管理用房等，总建筑面积33413m²的安置房（包含住宅28990m²，商业房4423m²）。</w:t>
      </w:r>
      <w:r>
        <w:rPr>
          <w:rFonts w:hint="eastAsia"/>
          <w:color w:val="000000"/>
          <w:lang w:eastAsia="zh-CN"/>
        </w:rPr>
        <w:t>项目</w:t>
      </w:r>
      <w:r>
        <w:rPr>
          <w:rFonts w:hint="eastAsia"/>
          <w:lang w:eastAsia="zh-CN"/>
        </w:rPr>
        <w:t>仅隔已建的嘉陵路，地理位置优越，交通发达。</w:t>
      </w:r>
    </w:p>
    <w:p>
      <w:pPr>
        <w:bidi w:val="0"/>
        <w:ind w:firstLine="480" w:firstLineChars="200"/>
        <w:jc w:val="both"/>
        <w:rPr>
          <w:rFonts w:hint="eastAsia"/>
          <w:color w:val="000000"/>
          <w:lang w:eastAsia="zh-CN"/>
        </w:rPr>
      </w:pPr>
      <w:r>
        <w:rPr>
          <w:rFonts w:hint="eastAsia"/>
          <w:color w:val="000000"/>
        </w:rPr>
        <w:t>项目总占地面积</w:t>
      </w:r>
      <w:r>
        <w:rPr>
          <w:rFonts w:hint="eastAsia"/>
          <w:color w:val="000000"/>
          <w:lang w:val="en-US" w:eastAsia="zh-CN"/>
        </w:rPr>
        <w:t>1.02</w:t>
      </w:r>
      <w:r>
        <w:rPr>
          <w:rFonts w:hint="eastAsia"/>
          <w:color w:val="000000"/>
        </w:rPr>
        <w:t>h</w:t>
      </w:r>
      <w:r>
        <w:rPr>
          <w:color w:val="000000"/>
        </w:rPr>
        <w:t>m²</w:t>
      </w:r>
      <w:r>
        <w:rPr>
          <w:rFonts w:hint="eastAsia"/>
          <w:color w:val="000000"/>
        </w:rPr>
        <w:t>，</w:t>
      </w:r>
      <w:r>
        <w:rPr>
          <w:rFonts w:hint="eastAsia"/>
          <w:color w:val="000000"/>
          <w:lang w:val="en-US" w:eastAsia="zh-CN"/>
        </w:rPr>
        <w:t>均为永久占地，</w:t>
      </w:r>
      <w:r>
        <w:rPr>
          <w:rFonts w:hint="eastAsia"/>
          <w:color w:val="000000"/>
        </w:rPr>
        <w:t>占地类型为</w:t>
      </w:r>
      <w:r>
        <w:rPr>
          <w:rFonts w:hint="eastAsia"/>
          <w:color w:val="000000"/>
          <w:lang w:eastAsia="zh-CN"/>
        </w:rPr>
        <w:t>住宅用地。</w:t>
      </w:r>
    </w:p>
    <w:p>
      <w:pPr>
        <w:pStyle w:val="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项目土石方总开挖量1</w:t>
      </w:r>
      <w:r>
        <w:rPr>
          <w:rFonts w:hint="eastAsia" w:cs="Times New Roman"/>
          <w:color w:val="000000"/>
          <w:kern w:val="2"/>
          <w:sz w:val="24"/>
          <w:szCs w:val="22"/>
          <w:lang w:val="en-US" w:eastAsia="zh-CN" w:bidi="ar-SA"/>
        </w:rPr>
        <w:t>.1</w:t>
      </w:r>
      <w:r>
        <w:rPr>
          <w:rFonts w:hint="eastAsia" w:ascii="Times New Roman" w:hAnsi="Times New Roman" w:eastAsia="仿宋" w:cs="Times New Roman"/>
          <w:color w:val="000000"/>
          <w:kern w:val="2"/>
          <w:sz w:val="24"/>
          <w:szCs w:val="22"/>
          <w:lang w:val="en-US" w:eastAsia="zh-CN" w:bidi="ar-SA"/>
        </w:rPr>
        <w:t>万m³，土石方回填总量</w:t>
      </w:r>
      <w:r>
        <w:rPr>
          <w:rFonts w:hint="eastAsia" w:cs="Times New Roman"/>
          <w:color w:val="000000"/>
          <w:kern w:val="2"/>
          <w:sz w:val="24"/>
          <w:szCs w:val="22"/>
          <w:lang w:val="en-US" w:eastAsia="zh-CN" w:bidi="ar-SA"/>
        </w:rPr>
        <w:t>0.83</w:t>
      </w:r>
      <w:r>
        <w:rPr>
          <w:rFonts w:hint="eastAsia" w:ascii="Times New Roman" w:hAnsi="Times New Roman" w:eastAsia="仿宋" w:cs="Times New Roman"/>
          <w:color w:val="000000"/>
          <w:kern w:val="2"/>
          <w:sz w:val="24"/>
          <w:szCs w:val="22"/>
          <w:lang w:val="en-US" w:eastAsia="zh-CN" w:bidi="ar-SA"/>
        </w:rPr>
        <w:t>万m³</w:t>
      </w:r>
      <w:r>
        <w:rPr>
          <w:rFonts w:hint="eastAsia" w:cs="Times New Roman"/>
          <w:color w:val="000000"/>
          <w:kern w:val="2"/>
          <w:sz w:val="24"/>
          <w:szCs w:val="22"/>
          <w:lang w:val="en-US" w:eastAsia="zh-CN" w:bidi="ar-SA"/>
        </w:rPr>
        <w:t>（含种植土0.14</w:t>
      </w:r>
      <w:r>
        <w:rPr>
          <w:rFonts w:hint="eastAsia" w:ascii="Times New Roman" w:hAnsi="Times New Roman" w:eastAsia="仿宋" w:cs="Times New Roman"/>
          <w:color w:val="000000"/>
          <w:kern w:val="2"/>
          <w:sz w:val="24"/>
          <w:szCs w:val="22"/>
          <w:lang w:val="en-US" w:eastAsia="zh-CN" w:bidi="ar-SA"/>
        </w:rPr>
        <w:t>万m³），</w:t>
      </w:r>
      <w:r>
        <w:rPr>
          <w:rFonts w:hint="eastAsia" w:ascii="Times New Roman" w:hAnsi="Times New Roman" w:cs="Times New Roman"/>
          <w:color w:val="000000"/>
          <w:kern w:val="2"/>
          <w:sz w:val="24"/>
          <w:szCs w:val="22"/>
          <w:lang w:val="en-US" w:eastAsia="zh-CN" w:bidi="ar-SA"/>
        </w:rPr>
        <w:t>产生</w:t>
      </w:r>
      <w:r>
        <w:rPr>
          <w:rFonts w:hint="eastAsia" w:ascii="Times New Roman" w:hAnsi="Times New Roman" w:eastAsia="仿宋" w:cs="Times New Roman"/>
          <w:color w:val="000000"/>
          <w:kern w:val="2"/>
          <w:sz w:val="24"/>
          <w:szCs w:val="22"/>
          <w:lang w:val="en-US" w:eastAsia="zh-CN" w:bidi="ar-SA"/>
        </w:rPr>
        <w:t>借方0.14万m³（含种植土0.14万m³），来源为外购，产生弃方0.41万m³，</w:t>
      </w:r>
      <w:r>
        <w:rPr>
          <w:rFonts w:hint="default" w:ascii="Times New Roman" w:hAnsi="Times New Roman" w:eastAsia="仿宋" w:cs="Times New Roman"/>
          <w:color w:val="000000"/>
          <w:kern w:val="2"/>
          <w:sz w:val="24"/>
          <w:szCs w:val="22"/>
          <w:lang w:val="en-US" w:eastAsia="zh-CN" w:bidi="ar-SA"/>
        </w:rPr>
        <w:t>废弃土石方由建设单位统一运至</w:t>
      </w:r>
      <w:r>
        <w:rPr>
          <w:rFonts w:hint="eastAsia" w:ascii="Times New Roman" w:hAnsi="Times New Roman" w:eastAsia="仿宋" w:cs="Times New Roman"/>
          <w:color w:val="000000"/>
          <w:kern w:val="2"/>
          <w:sz w:val="24"/>
          <w:szCs w:val="22"/>
          <w:lang w:val="en-US" w:eastAsia="zh-CN" w:bidi="ar-SA"/>
        </w:rPr>
        <w:t>秦家岸弃土场。</w:t>
      </w:r>
    </w:p>
    <w:p>
      <w:pPr>
        <w:ind w:firstLine="480"/>
        <w:rPr>
          <w:rFonts w:hint="eastAsia"/>
          <w:color w:val="000000"/>
          <w:szCs w:val="22"/>
        </w:rPr>
      </w:pPr>
      <w:r>
        <w:rPr>
          <w:rFonts w:hint="eastAsia"/>
          <w:color w:val="000000"/>
        </w:rPr>
        <w:t>本项目建设单位为</w:t>
      </w:r>
      <w:r>
        <w:rPr>
          <w:rFonts w:hint="eastAsia"/>
          <w:szCs w:val="21"/>
          <w:lang w:eastAsia="zh-CN"/>
        </w:rPr>
        <w:t>四川华家建筑工程有限公司</w:t>
      </w:r>
      <w:r>
        <w:rPr>
          <w:rFonts w:hint="eastAsia"/>
          <w:color w:val="000000"/>
        </w:rPr>
        <w:t>。项目</w:t>
      </w:r>
      <w:r>
        <w:rPr>
          <w:rFonts w:hint="eastAsia"/>
          <w:color w:val="000000"/>
          <w:lang w:eastAsia="zh-CN"/>
        </w:rPr>
        <w:t>建设</w:t>
      </w:r>
      <w:r>
        <w:rPr>
          <w:rFonts w:hint="eastAsia"/>
          <w:color w:val="000000"/>
        </w:rPr>
        <w:t>总投资</w:t>
      </w:r>
      <w:r>
        <w:rPr>
          <w:rFonts w:hint="eastAsia"/>
          <w:color w:val="000000"/>
          <w:lang w:val="en-US" w:eastAsia="zh-CN"/>
        </w:rPr>
        <w:t>12600</w:t>
      </w:r>
      <w:r>
        <w:rPr>
          <w:rFonts w:hint="eastAsia"/>
          <w:color w:val="000000"/>
        </w:rPr>
        <w:t>万元，</w:t>
      </w:r>
      <w:r>
        <w:rPr>
          <w:rFonts w:hint="eastAsia"/>
          <w:color w:val="000000"/>
          <w:lang w:eastAsia="zh-CN"/>
        </w:rPr>
        <w:t>其中：土建投资</w:t>
      </w:r>
      <w:r>
        <w:rPr>
          <w:rFonts w:hint="eastAsia"/>
          <w:color w:val="000000"/>
          <w:lang w:val="en-US" w:eastAsia="zh-CN"/>
        </w:rPr>
        <w:t>9500万元。</w:t>
      </w:r>
      <w:r>
        <w:rPr>
          <w:rFonts w:hint="eastAsia"/>
          <w:color w:val="000000"/>
        </w:rPr>
        <w:t>资金来源为</w:t>
      </w:r>
      <w:r>
        <w:rPr>
          <w:rFonts w:hint="eastAsia"/>
          <w:color w:val="000000"/>
          <w:szCs w:val="22"/>
        </w:rPr>
        <w:t>争取中、省财政补助资金和县财政资金及自筹。</w:t>
      </w:r>
    </w:p>
    <w:p>
      <w:pPr>
        <w:pStyle w:val="8"/>
        <w:ind w:firstLine="480"/>
        <w:rPr>
          <w:rFonts w:hint="eastAsia"/>
          <w:color w:val="000000"/>
        </w:rPr>
      </w:pPr>
      <w:r>
        <w:rPr>
          <w:rFonts w:hint="eastAsia"/>
          <w:color w:val="000000"/>
        </w:rPr>
        <w:t>本项目不涉及移民拆迁安置和专项设施改迁建。</w:t>
      </w:r>
    </w:p>
    <w:p>
      <w:pPr>
        <w:pStyle w:val="6"/>
        <w:keepNext/>
        <w:rPr>
          <w:rFonts w:hint="default" w:eastAsia="仿宋_GB2312"/>
          <w:color w:val="000000"/>
          <w:lang w:val="en-US" w:eastAsia="zh-CN"/>
        </w:rPr>
      </w:pPr>
      <w:bookmarkStart w:id="15" w:name="_Toc5706"/>
      <w:r>
        <w:rPr>
          <w:color w:val="000000"/>
        </w:rPr>
        <w:t>1.1.2</w:t>
      </w:r>
      <w:r>
        <w:rPr>
          <w:rFonts w:hint="eastAsia"/>
          <w:color w:val="000000"/>
          <w:lang w:val="en-US" w:eastAsia="zh-CN"/>
        </w:rPr>
        <w:t>项目前期工作进展情况</w:t>
      </w:r>
      <w:bookmarkEnd w:id="15"/>
    </w:p>
    <w:p>
      <w:pPr>
        <w:ind w:firstLine="480"/>
        <w:rPr>
          <w:rFonts w:hint="eastAsia" w:ascii="Times New Roman" w:hAnsi="Times New Roman" w:eastAsia="仿宋" w:cs="Times New Roman"/>
          <w:b w:val="0"/>
          <w:color w:val="000000"/>
          <w:spacing w:val="0"/>
          <w:kern w:val="2"/>
          <w:sz w:val="24"/>
          <w:szCs w:val="22"/>
          <w:lang w:val="en-US" w:eastAsia="zh-CN" w:bidi="ar-SA"/>
        </w:rPr>
      </w:pPr>
      <w:r>
        <w:rPr>
          <w:rFonts w:hint="eastAsia"/>
        </w:rPr>
        <w:t>1、本项目前期工作进展</w:t>
      </w:r>
    </w:p>
    <w:p>
      <w:pPr>
        <w:bidi w:val="0"/>
        <w:ind w:firstLine="480" w:firstLineChars="200"/>
        <w:rPr>
          <w:rFonts w:hint="eastAsia"/>
          <w:lang w:val="en-US" w:eastAsia="zh-CN"/>
        </w:rPr>
      </w:pPr>
      <w:r>
        <w:rPr>
          <w:rFonts w:hint="eastAsia"/>
          <w:lang w:val="en-US" w:eastAsia="zh-CN"/>
        </w:rPr>
        <w:t>本工程已于2020年10月开工，计划于2022年10月竣工，总工期25个月。</w:t>
      </w:r>
    </w:p>
    <w:p>
      <w:pPr>
        <w:ind w:firstLine="480"/>
        <w:rPr>
          <w:rFonts w:hint="eastAsia" w:ascii="仿宋" w:hAnsi="仿宋" w:eastAsia="仿宋"/>
        </w:rPr>
      </w:pPr>
      <w:r>
        <w:rPr>
          <w:rFonts w:hint="eastAsia"/>
          <w:lang w:val="en-US" w:eastAsia="zh-CN"/>
        </w:rPr>
        <w:t>2020年6月10日，本项目《</w:t>
      </w:r>
      <w:r>
        <w:rPr>
          <w:rFonts w:hint="eastAsia" w:cs="Times New Roman"/>
          <w:i w:val="0"/>
          <w:iCs w:val="0"/>
          <w:color w:val="auto"/>
          <w:sz w:val="24"/>
          <w:highlight w:val="none"/>
          <w:lang w:eastAsia="zh-CN"/>
        </w:rPr>
        <w:t>仪陇县琳琅大道中段棚户区改造项目（五星花园地块）》</w:t>
      </w:r>
      <w:r>
        <w:rPr>
          <w:rFonts w:hint="eastAsia" w:ascii="Times New Roman" w:hAnsi="Times New Roman" w:cs="Times New Roman"/>
          <w:szCs w:val="22"/>
          <w:lang w:val="en-US" w:eastAsia="zh-CN"/>
        </w:rPr>
        <w:t>取得了仪陇县发展和改革局出具的《四川省固定资产投资项目备案表》（川投资备【2020-511324-70-03-</w:t>
      </w:r>
      <w:r>
        <w:rPr>
          <w:rFonts w:hint="eastAsia" w:cs="Times New Roman"/>
          <w:szCs w:val="22"/>
          <w:lang w:val="en-US" w:eastAsia="zh-CN"/>
        </w:rPr>
        <w:t>467912</w:t>
      </w:r>
      <w:r>
        <w:rPr>
          <w:rFonts w:hint="eastAsia" w:ascii="Times New Roman" w:hAnsi="Times New Roman" w:cs="Times New Roman"/>
          <w:szCs w:val="22"/>
          <w:lang w:val="en-US" w:eastAsia="zh-CN"/>
        </w:rPr>
        <w:t>】FGQB-008</w:t>
      </w:r>
      <w:r>
        <w:rPr>
          <w:rFonts w:hint="eastAsia" w:cs="Times New Roman"/>
          <w:szCs w:val="22"/>
          <w:lang w:val="en-US" w:eastAsia="zh-CN"/>
        </w:rPr>
        <w:t>4</w:t>
      </w:r>
      <w:r>
        <w:rPr>
          <w:rFonts w:hint="eastAsia" w:ascii="Times New Roman" w:hAnsi="Times New Roman" w:cs="Times New Roman"/>
          <w:szCs w:val="22"/>
          <w:lang w:val="en-US" w:eastAsia="zh-CN"/>
        </w:rPr>
        <w:t>号）</w:t>
      </w:r>
      <w:r>
        <w:rPr>
          <w:rFonts w:hint="eastAsia" w:cs="Times New Roman"/>
          <w:szCs w:val="22"/>
          <w:lang w:val="en-US" w:eastAsia="zh-CN"/>
        </w:rPr>
        <w:t>，</w:t>
      </w:r>
      <w:r>
        <w:rPr>
          <w:rFonts w:hint="eastAsia" w:ascii="仿宋" w:hAnsi="仿宋" w:eastAsia="仿宋"/>
        </w:rPr>
        <w:t>为了贯彻执行《中华人民共和国水土保持法》、《四川省&lt;中华人民共和国水土保持法&gt;实施办法》和有关法律法规，确保本项目在建设过程中可能产生的水土流失得到全面有效的治理，</w:t>
      </w:r>
      <w:r>
        <w:rPr>
          <w:rFonts w:hint="eastAsia"/>
          <w:szCs w:val="21"/>
          <w:lang w:eastAsia="zh-CN"/>
        </w:rPr>
        <w:t>四川华家建筑工程有限公司</w:t>
      </w:r>
      <w:r>
        <w:rPr>
          <w:rFonts w:hint="eastAsia" w:ascii="仿宋" w:hAnsi="仿宋" w:eastAsia="仿宋"/>
        </w:rPr>
        <w:t>委托中铭</w:t>
      </w:r>
      <w:r>
        <w:rPr>
          <w:rFonts w:ascii="仿宋" w:hAnsi="仿宋" w:eastAsia="仿宋"/>
        </w:rPr>
        <w:t>工程设计咨询有限公司南充分公司</w:t>
      </w:r>
      <w:r>
        <w:rPr>
          <w:rFonts w:hint="eastAsia" w:ascii="仿宋" w:hAnsi="仿宋" w:eastAsia="仿宋"/>
        </w:rPr>
        <w:t>开展该项目水土保持方案的编制工作。</w:t>
      </w:r>
    </w:p>
    <w:p>
      <w:pPr>
        <w:ind w:firstLine="480"/>
        <w:rPr>
          <w:rFonts w:hint="eastAsia"/>
          <w:szCs w:val="22"/>
        </w:rPr>
      </w:pPr>
      <w:r>
        <w:rPr>
          <w:rFonts w:hint="eastAsia"/>
          <w:lang w:val="en-US" w:eastAsia="zh-CN"/>
        </w:rPr>
        <w:t>2021年7月</w:t>
      </w:r>
      <w:r>
        <w:rPr>
          <w:rFonts w:hint="eastAsia" w:ascii="仿宋" w:hAnsi="仿宋" w:eastAsia="仿宋"/>
        </w:rPr>
        <w:t>，项目水土保持方案编制单位（中铭</w:t>
      </w:r>
      <w:r>
        <w:rPr>
          <w:rFonts w:ascii="仿宋" w:hAnsi="仿宋" w:eastAsia="仿宋"/>
        </w:rPr>
        <w:t>工程设计咨询有限公司南充</w:t>
      </w:r>
      <w:r>
        <w:rPr>
          <w:rFonts w:hint="eastAsia"/>
          <w:szCs w:val="22"/>
        </w:rPr>
        <w:t>分公司）接到业主</w:t>
      </w:r>
      <w:r>
        <w:rPr>
          <w:rFonts w:hint="eastAsia"/>
          <w:szCs w:val="22"/>
          <w:lang w:eastAsia="zh-CN"/>
        </w:rPr>
        <w:t>（</w:t>
      </w:r>
      <w:r>
        <w:rPr>
          <w:rFonts w:hint="eastAsia"/>
          <w:szCs w:val="22"/>
          <w:highlight w:val="none"/>
          <w:lang w:eastAsia="zh-CN"/>
        </w:rPr>
        <w:t>四川华家建筑工程有限公司</w:t>
      </w:r>
      <w:r>
        <w:rPr>
          <w:rFonts w:hint="eastAsia"/>
          <w:szCs w:val="22"/>
          <w:lang w:eastAsia="zh-CN"/>
        </w:rPr>
        <w:t>）委托后，</w:t>
      </w:r>
      <w:r>
        <w:rPr>
          <w:rFonts w:hint="eastAsia"/>
          <w:szCs w:val="22"/>
        </w:rPr>
        <w:t>对现场进行了实地踏勘和收集相关工程资料，结合项目区自然地理条件和工程特性，于2021年</w:t>
      </w:r>
      <w:r>
        <w:rPr>
          <w:rFonts w:hint="eastAsia"/>
          <w:szCs w:val="22"/>
          <w:lang w:val="en-US" w:eastAsia="zh-CN"/>
        </w:rPr>
        <w:t>7</w:t>
      </w:r>
      <w:r>
        <w:rPr>
          <w:rFonts w:hint="eastAsia"/>
          <w:szCs w:val="22"/>
        </w:rPr>
        <w:t>月</w:t>
      </w:r>
      <w:r>
        <w:rPr>
          <w:rFonts w:hint="eastAsia"/>
          <w:szCs w:val="22"/>
          <w:lang w:eastAsia="zh-CN"/>
        </w:rPr>
        <w:t>底</w:t>
      </w:r>
      <w:r>
        <w:rPr>
          <w:rFonts w:hint="eastAsia"/>
          <w:szCs w:val="22"/>
        </w:rPr>
        <w:t>完成了水土保持方案初稿编制。</w:t>
      </w:r>
    </w:p>
    <w:p>
      <w:pPr>
        <w:ind w:firstLine="480"/>
        <w:rPr>
          <w:rFonts w:hint="eastAsia"/>
          <w:szCs w:val="22"/>
        </w:rPr>
      </w:pPr>
      <w:r>
        <w:rPr>
          <w:rFonts w:hint="eastAsia"/>
          <w:szCs w:val="22"/>
        </w:rPr>
        <w:t>2、项目现状进展情况</w:t>
      </w:r>
    </w:p>
    <w:p>
      <w:pPr>
        <w:ind w:firstLine="480"/>
        <w:rPr>
          <w:rFonts w:hint="default" w:eastAsia="仿宋"/>
          <w:lang w:val="en-US" w:eastAsia="zh-CN"/>
        </w:rPr>
      </w:pPr>
      <w:r>
        <w:rPr>
          <w:rFonts w:hint="eastAsia" w:ascii="Times New Roman" w:hAnsi="Times New Roman" w:eastAsia="仿宋" w:cs="Times New Roman"/>
          <w:kern w:val="2"/>
          <w:sz w:val="24"/>
          <w:szCs w:val="22"/>
          <w:lang w:val="en-US" w:eastAsia="zh-CN" w:bidi="ar-SA"/>
        </w:rPr>
        <w:t>根据2021年7月现场勘踏，场地及道路大部分区域已进行场地硬化，</w:t>
      </w:r>
      <w:r>
        <w:rPr>
          <w:rFonts w:hint="eastAsia" w:ascii="Times New Roman" w:hAnsi="Times New Roman" w:cs="Times New Roman"/>
          <w:kern w:val="2"/>
          <w:sz w:val="24"/>
          <w:szCs w:val="22"/>
          <w:lang w:val="en-US" w:eastAsia="zh-CN" w:bidi="ar-SA"/>
        </w:rPr>
        <w:t>并且有少数绿化</w:t>
      </w:r>
      <w:r>
        <w:rPr>
          <w:rFonts w:hint="eastAsia" w:cs="Times New Roman"/>
          <w:kern w:val="2"/>
          <w:sz w:val="24"/>
          <w:szCs w:val="22"/>
          <w:lang w:val="en-US" w:eastAsia="zh-CN" w:bidi="ar-SA"/>
        </w:rPr>
        <w:t>，</w:t>
      </w:r>
      <w:r>
        <w:rPr>
          <w:rFonts w:hint="eastAsia"/>
          <w:szCs w:val="22"/>
        </w:rPr>
        <w:t>具有一定的水土保持功能，主体工程建设对施工过程中的临时遮盖等措施考虑不足，本方案进行补充布置，以</w:t>
      </w:r>
      <w:r>
        <w:rPr>
          <w:rFonts w:ascii="仿宋" w:hAnsi="仿宋" w:eastAsia="仿宋"/>
          <w:sz w:val="24"/>
        </w:rPr>
        <w:t>形成完善的水土保持体系</w:t>
      </w:r>
      <w:r>
        <w:rPr>
          <w:rFonts w:hint="eastAsia" w:ascii="仿宋" w:hAnsi="仿宋" w:eastAsia="仿宋"/>
          <w:sz w:val="24"/>
        </w:rPr>
        <w:t>。</w:t>
      </w:r>
    </w:p>
    <w:p>
      <w:pPr>
        <w:pStyle w:val="6"/>
        <w:rPr>
          <w:rFonts w:hint="eastAsia"/>
          <w:color w:val="000000"/>
          <w:lang w:val="en-US" w:eastAsia="zh-CN"/>
        </w:rPr>
      </w:pPr>
      <w:r>
        <w:rPr>
          <w:rFonts w:hint="eastAsia"/>
          <w:color w:val="000000"/>
        </w:rPr>
        <w:t>1.1.</w:t>
      </w:r>
      <w:r>
        <w:rPr>
          <w:rFonts w:hint="eastAsia"/>
          <w:color w:val="000000"/>
          <w:lang w:val="en-US" w:eastAsia="zh-CN"/>
        </w:rPr>
        <w:t>3自然简况</w:t>
      </w:r>
    </w:p>
    <w:p>
      <w:pPr>
        <w:ind w:firstLine="480"/>
        <w:rPr>
          <w:rFonts w:hint="eastAsia" w:ascii="Times New Roman" w:hAnsi="Times New Roman" w:cs="Times New Roman"/>
          <w:color w:val="000000"/>
          <w:szCs w:val="22"/>
        </w:rPr>
      </w:pPr>
      <w:r>
        <w:rPr>
          <w:rFonts w:hint="eastAsia" w:ascii="Times New Roman" w:hAnsi="Times New Roman" w:cs="Times New Roman"/>
          <w:color w:val="000000"/>
          <w:szCs w:val="22"/>
        </w:rPr>
        <w:t>项目区地貌单元为</w:t>
      </w:r>
      <w:r>
        <w:rPr>
          <w:rFonts w:hint="eastAsia" w:ascii="Times New Roman" w:hAnsi="Times New Roman" w:cs="Times New Roman"/>
          <w:color w:val="000000"/>
          <w:szCs w:val="22"/>
          <w:lang w:val="en-US" w:eastAsia="zh-CN"/>
        </w:rPr>
        <w:t>丘陵</w:t>
      </w:r>
      <w:r>
        <w:rPr>
          <w:rFonts w:hint="eastAsia" w:ascii="Times New Roman" w:hAnsi="Times New Roman" w:cs="Times New Roman"/>
          <w:color w:val="000000"/>
          <w:szCs w:val="22"/>
        </w:rPr>
        <w:t>。</w:t>
      </w:r>
      <w:r>
        <w:rPr>
          <w:rFonts w:hint="eastAsia" w:ascii="Times New Roman" w:hAnsi="Times New Roman" w:cs="Times New Roman"/>
          <w:color w:val="000000"/>
          <w:szCs w:val="22"/>
          <w:lang w:val="en-US" w:eastAsia="zh-CN"/>
        </w:rPr>
        <w:t>项目区地震动峰值加速度为0.05g，地震动反应谱特征周期为0.35s，地震基本烈度为Ⅵ度</w:t>
      </w:r>
      <w:r>
        <w:rPr>
          <w:rFonts w:hint="eastAsia" w:ascii="Times New Roman" w:hAnsi="Times New Roman" w:cs="Times New Roman"/>
          <w:color w:val="000000"/>
          <w:szCs w:val="22"/>
        </w:rPr>
        <w:t>。项目区属</w:t>
      </w:r>
      <w:r>
        <w:rPr>
          <w:rFonts w:hint="eastAsia" w:ascii="Times New Roman" w:hAnsi="Times New Roman" w:cs="Times New Roman"/>
          <w:color w:val="000000"/>
          <w:szCs w:val="22"/>
          <w:lang w:val="en-US" w:eastAsia="zh-CN"/>
        </w:rPr>
        <w:t>亚热带湿润季风气候，年平均气温16℃左右，年降水量985.5mm</w:t>
      </w:r>
      <w:r>
        <w:rPr>
          <w:rFonts w:hint="eastAsia" w:ascii="Times New Roman" w:hAnsi="Times New Roman" w:cs="Times New Roman"/>
          <w:color w:val="000000"/>
          <w:szCs w:val="22"/>
        </w:rPr>
        <w:t>。项目区主要以紫色土为主。项目区的植被属于亚热带常绿阔叶林区。</w:t>
      </w:r>
      <w:r>
        <w:rPr>
          <w:rFonts w:hint="eastAsia" w:ascii="Times New Roman" w:hAnsi="Times New Roman" w:cs="Times New Roman"/>
          <w:color w:val="000000"/>
          <w:szCs w:val="22"/>
          <w:lang w:val="en-US" w:eastAsia="zh-CN"/>
        </w:rPr>
        <w:t>依据《水利部办公厅关于印发&lt;全国水土保持规划国家级水 土流失重点预防区和重点治理区复核划分成果&gt;的通知》(办水保[2013]188 号)，项目区属于</w:t>
      </w:r>
      <w:r>
        <w:rPr>
          <w:rFonts w:hint="eastAsia" w:cs="Times New Roman"/>
          <w:color w:val="000000"/>
          <w:szCs w:val="22"/>
          <w:lang w:val="en-US" w:eastAsia="zh-CN"/>
        </w:rPr>
        <w:t>嘉</w:t>
      </w:r>
      <w:r>
        <w:rPr>
          <w:rFonts w:hint="eastAsia" w:ascii="Times New Roman" w:hAnsi="Times New Roman" w:cs="Times New Roman"/>
          <w:color w:val="000000"/>
          <w:szCs w:val="22"/>
          <w:lang w:val="en-US" w:eastAsia="zh-CN"/>
        </w:rPr>
        <w:t>陵江及沱江中下游国家级水土流失重点治理区</w:t>
      </w:r>
      <w:r>
        <w:rPr>
          <w:rFonts w:hint="eastAsia" w:ascii="Times New Roman" w:hAnsi="Times New Roman" w:cs="Times New Roman"/>
          <w:color w:val="000000"/>
          <w:szCs w:val="22"/>
        </w:rPr>
        <w:t>；根据《全国水土保持区划（试行）》（办水保[2012]512号），项目所在</w:t>
      </w:r>
      <w:r>
        <w:rPr>
          <w:rFonts w:hint="eastAsia" w:ascii="Times New Roman" w:hAnsi="Times New Roman" w:cs="Times New Roman"/>
          <w:color w:val="000000"/>
          <w:szCs w:val="22"/>
          <w:lang w:val="en-US" w:eastAsia="zh-CN"/>
        </w:rPr>
        <w:t>地</w:t>
      </w:r>
      <w:r>
        <w:rPr>
          <w:rFonts w:hint="eastAsia" w:ascii="Times New Roman" w:hAnsi="Times New Roman" w:cs="Times New Roman"/>
          <w:color w:val="000000"/>
          <w:szCs w:val="22"/>
        </w:rPr>
        <w:t>属于西南紫色土区；工程区属于以水力侵蚀为主的西南土石山区，容许土壤流失量为500t/km²·a，工程区平均土壤侵蚀模数约</w:t>
      </w:r>
      <w:r>
        <w:rPr>
          <w:rFonts w:hint="eastAsia" w:cs="Times New Roman"/>
          <w:color w:val="000000"/>
          <w:szCs w:val="22"/>
          <w:lang w:val="en-US" w:eastAsia="zh-CN"/>
        </w:rPr>
        <w:t>557</w:t>
      </w:r>
      <w:r>
        <w:rPr>
          <w:rFonts w:hint="eastAsia" w:ascii="Times New Roman" w:hAnsi="Times New Roman" w:cs="Times New Roman"/>
          <w:color w:val="000000"/>
          <w:szCs w:val="22"/>
        </w:rPr>
        <w:t>t/km²·a，土壤侵蚀强度表现为</w:t>
      </w:r>
      <w:r>
        <w:rPr>
          <w:rFonts w:hint="eastAsia" w:ascii="Times New Roman" w:hAnsi="Times New Roman" w:cs="Times New Roman"/>
          <w:color w:val="000000"/>
          <w:szCs w:val="22"/>
          <w:lang w:val="en-US" w:eastAsia="zh-CN"/>
        </w:rPr>
        <w:t>轻</w:t>
      </w:r>
      <w:r>
        <w:rPr>
          <w:rFonts w:hint="eastAsia" w:ascii="Times New Roman" w:hAnsi="Times New Roman" w:cs="Times New Roman"/>
          <w:color w:val="000000"/>
          <w:szCs w:val="22"/>
        </w:rPr>
        <w:t>度。</w:t>
      </w:r>
    </w:p>
    <w:p>
      <w:pPr>
        <w:pStyle w:val="23"/>
        <w:spacing w:before="0" w:beforeLines="0" w:after="0" w:afterLines="0" w:line="360" w:lineRule="auto"/>
        <w:ind w:firstLine="480"/>
        <w:rPr>
          <w:rFonts w:ascii="Times New Roman"/>
          <w:sz w:val="24"/>
          <w:szCs w:val="16"/>
        </w:rPr>
      </w:pPr>
      <w:r>
        <w:rPr>
          <w:rFonts w:hint="eastAsia" w:ascii="Times New Roman"/>
          <w:sz w:val="24"/>
          <w:szCs w:val="16"/>
        </w:rPr>
        <w:t>在拟建场地勘探深度范围内的地层主要由第四系全新统人工填土层(Q4ml)的素填土，第四系全新统冲洪积层（Q4al+pl）的粉质黏土及圆砾，侏罗系上统蓬莱镇组泥岩（J3p)的泥岩组成。</w:t>
      </w:r>
    </w:p>
    <w:p>
      <w:pPr>
        <w:pStyle w:val="23"/>
        <w:spacing w:before="0" w:beforeLines="0" w:after="0" w:afterLines="0" w:line="360" w:lineRule="auto"/>
        <w:ind w:firstLine="480"/>
        <w:rPr>
          <w:rFonts w:ascii="Times New Roman"/>
          <w:sz w:val="24"/>
          <w:szCs w:val="16"/>
        </w:rPr>
      </w:pPr>
      <w:r>
        <w:rPr>
          <w:rFonts w:hint="eastAsia" w:ascii="Times New Roman"/>
          <w:sz w:val="24"/>
          <w:szCs w:val="16"/>
        </w:rPr>
        <w:t>仪陇县在地质构造上位于新华夏系四川沉降带川北台坳内，巴中-龙泉山断裂带与华蓥山断裂带之间，该两条断裂带呈北东-南西走向，延伸较长。工程区内构造变动微弱，岩层产状平缓，近于水平，区内晚近期构造活动微弱，无深大断裂与褶皱构造存在，区内构造简单，构造裂隙不发育，主要受外围地震波及的影响，影响烈度较小，未见破坏性地震。</w:t>
      </w:r>
    </w:p>
    <w:p>
      <w:pPr>
        <w:pStyle w:val="23"/>
        <w:spacing w:before="0" w:beforeLines="0" w:after="0" w:afterLines="0" w:line="360" w:lineRule="auto"/>
        <w:ind w:firstLine="480"/>
        <w:rPr>
          <w:rFonts w:ascii="Times New Roman"/>
          <w:sz w:val="24"/>
          <w:szCs w:val="16"/>
        </w:rPr>
      </w:pPr>
      <w:r>
        <w:rPr>
          <w:rFonts w:hint="eastAsia" w:ascii="Times New Roman"/>
          <w:sz w:val="24"/>
          <w:szCs w:val="16"/>
        </w:rPr>
        <w:t>根据《建筑抗震设计规范》(GB50011-2010)2016版附录A及第5.1.4条和《中国地震动参数区划图》(GB18306-2015)表C内容的的划分，南充市仪陇县抗震设防烈度为</w:t>
      </w:r>
      <w:r>
        <w:rPr>
          <w:rFonts w:hint="eastAsia" w:ascii="Times New Roman"/>
          <w:sz w:val="24"/>
          <w:szCs w:val="16"/>
          <w:lang w:val="en-US" w:eastAsia="zh-CN"/>
        </w:rPr>
        <w:t>VI</w:t>
      </w:r>
      <w:r>
        <w:rPr>
          <w:rFonts w:hint="eastAsia" w:ascii="Times New Roman"/>
          <w:sz w:val="24"/>
          <w:szCs w:val="16"/>
        </w:rPr>
        <w:t>度，设计基本地震加速度值0.05g，设计地震分组为第一组，场地为Ⅱ类的特征周期值为0.35s。</w:t>
      </w:r>
    </w:p>
    <w:p>
      <w:pPr>
        <w:pStyle w:val="23"/>
        <w:spacing w:before="0" w:beforeLines="0" w:after="0" w:afterLines="0" w:line="360" w:lineRule="auto"/>
        <w:ind w:firstLine="480"/>
        <w:rPr>
          <w:rFonts w:ascii="Times New Roman"/>
          <w:sz w:val="24"/>
          <w:szCs w:val="16"/>
        </w:rPr>
      </w:pPr>
      <w:r>
        <w:rPr>
          <w:rFonts w:hint="eastAsia" w:ascii="Times New Roman"/>
          <w:sz w:val="24"/>
          <w:szCs w:val="16"/>
        </w:rPr>
        <w:t>仪陇属亚热带湿润季风气候，夏热冬温，无霜期长，阴雾天多。多年平均日照时数1191.7小时；年平均气温 16℃左右，年平均降雨985.5mm，无霜期300天以上，多年平均蒸发量1033.8mm，相对湿度76－86%</w:t>
      </w:r>
      <w:r>
        <w:rPr>
          <w:rFonts w:hint="eastAsia" w:ascii="Times New Roman"/>
          <w:sz w:val="24"/>
          <w:szCs w:val="16"/>
          <w:lang w:eastAsia="zh-CN"/>
        </w:rPr>
        <w:t>。</w:t>
      </w:r>
      <w:r>
        <w:rPr>
          <w:rFonts w:hint="eastAsia" w:ascii="Times New Roman"/>
          <w:sz w:val="24"/>
          <w:szCs w:val="16"/>
        </w:rPr>
        <w:t>受大气环流控制，降雨分配季节不均，冬春（11月-次年4月）降水量少，多年平均降水量仅占全年的18.5%，降雨不能满足蒸发需要，因此，春旱常常发生。夏秋两季降雨量（5-10月）偏多，多年平均降水量占全年的81.5%。从多年平均降水量逐月变化及典型站各代表年看，降水时空分布不均，8月份雨量偏少， 1972年8月份仅为21.7mm，仅占全年的2.5%，说明区内伏旱发生较频繁。5年一遇1h最大暴雨量为55.5mm，10年一遇1h最大降雨量为73.6mm，10年一遇1h最大降雨量为84.8mm。根据施工资料</w:t>
      </w:r>
      <w:r>
        <w:rPr>
          <w:rFonts w:hint="eastAsia" w:ascii="Times New Roman"/>
          <w:sz w:val="24"/>
          <w:szCs w:val="16"/>
          <w:lang w:eastAsia="zh-CN"/>
        </w:rPr>
        <w:t>，</w:t>
      </w:r>
      <w:r>
        <w:rPr>
          <w:rFonts w:hint="eastAsia" w:ascii="Times New Roman"/>
          <w:sz w:val="24"/>
          <w:szCs w:val="16"/>
        </w:rPr>
        <w:t>项目区</w:t>
      </w:r>
      <w:r>
        <w:rPr>
          <w:rFonts w:hint="eastAsia" w:ascii="Times New Roman"/>
          <w:sz w:val="24"/>
          <w:szCs w:val="16"/>
          <w:lang w:eastAsia="zh-CN"/>
        </w:rPr>
        <w:t>原始地貌表层土基本为夯实土和石方，因此无可剥离表土，无植被覆盖。</w:t>
      </w:r>
    </w:p>
    <w:p>
      <w:pPr>
        <w:adjustRightInd w:val="0"/>
        <w:spacing w:line="360" w:lineRule="auto"/>
        <w:ind w:firstLine="480"/>
        <w:rPr>
          <w:rFonts w:hint="eastAsia" w:ascii="Times New Roman" w:hAnsi="Times New Roman" w:eastAsia="仿宋_GB2312" w:cs="Times New Roman"/>
          <w:color w:val="auto"/>
          <w:kern w:val="1"/>
          <w:sz w:val="24"/>
          <w:szCs w:val="24"/>
          <w:lang w:val="en-US" w:eastAsia="zh-CN" w:bidi="ar-SA"/>
        </w:rPr>
      </w:pPr>
      <w:r>
        <w:rPr>
          <w:rFonts w:hint="default" w:ascii="Times New Roman" w:hAnsi="Times New Roman" w:eastAsia="仿宋_GB2312" w:cs="Times New Roman"/>
          <w:i w:val="0"/>
          <w:iCs w:val="0"/>
          <w:color w:val="auto"/>
          <w:sz w:val="24"/>
          <w:szCs w:val="24"/>
          <w:highlight w:val="none"/>
        </w:rPr>
        <w:t>根据水利部办公厅关于印发《全国水土保持规划国家级水土流失重点预防区和重点治理区复核划分成果》的通知（办水保[2013]188号）和四川省水利厅关于印发《四川省省级水土流失重点预防区和重点治理区划分成果》的通知（川水函[2017]482号）及《南充市水土保持规划（2015-2030年）》，工程所在的仪陇县属于嘉陵江及沱江中下游国家级水土流失重点治理区；根据《生产建设项目水土流失防治标准》（GB50434-2018）第4.0.1第1条规定：位于各级人民政府和相关机构确定的水土保持重点预防区和治理区，且不可避免，应执行一级标准。故本方案执行西南紫色土区建设类项目一级标准。</w:t>
      </w:r>
    </w:p>
    <w:p>
      <w:pPr>
        <w:keepNext/>
        <w:ind w:firstLine="0" w:firstLineChars="0"/>
        <w:jc w:val="left"/>
        <w:outlineLvl w:val="1"/>
        <w:rPr>
          <w:rFonts w:hint="eastAsia" w:ascii="Times New Roman" w:hAnsi="Times New Roman" w:eastAsia="仿宋" w:cs="Times New Roman"/>
          <w:spacing w:val="6"/>
          <w:kern w:val="2"/>
          <w:sz w:val="30"/>
          <w:szCs w:val="22"/>
          <w:lang w:val="en-US" w:eastAsia="zh-CN" w:bidi="ar-SA"/>
        </w:rPr>
      </w:pPr>
      <w:bookmarkStart w:id="16" w:name="_Toc11923"/>
      <w:bookmarkStart w:id="17" w:name="_Toc22763"/>
      <w:bookmarkStart w:id="18" w:name="_Toc22302"/>
      <w:bookmarkStart w:id="19" w:name="_Toc24017"/>
      <w:bookmarkStart w:id="20" w:name="_Toc13956"/>
      <w:bookmarkStart w:id="21" w:name="_Toc16465"/>
      <w:bookmarkStart w:id="22" w:name="_Toc48656905"/>
      <w:r>
        <w:rPr>
          <w:rFonts w:hint="eastAsia" w:ascii="Times New Roman" w:hAnsi="Times New Roman" w:eastAsia="仿宋" w:cs="Times New Roman"/>
          <w:spacing w:val="6"/>
          <w:kern w:val="2"/>
          <w:sz w:val="30"/>
          <w:szCs w:val="22"/>
          <w:lang w:val="en-US" w:eastAsia="zh-CN" w:bidi="ar-SA"/>
        </w:rPr>
        <w:t>1.2编制依据</w:t>
      </w:r>
      <w:bookmarkEnd w:id="16"/>
      <w:bookmarkEnd w:id="17"/>
      <w:bookmarkEnd w:id="18"/>
      <w:bookmarkEnd w:id="19"/>
      <w:bookmarkEnd w:id="20"/>
      <w:bookmarkEnd w:id="21"/>
      <w:bookmarkEnd w:id="22"/>
    </w:p>
    <w:p>
      <w:pPr>
        <w:pStyle w:val="6"/>
        <w:bidi w:val="0"/>
      </w:pPr>
      <w:bookmarkStart w:id="23" w:name="_Toc7802"/>
      <w:r>
        <w:t>1.</w:t>
      </w:r>
      <w:r>
        <w:rPr>
          <w:rFonts w:hint="eastAsia"/>
        </w:rPr>
        <w:t>2</w:t>
      </w:r>
      <w:r>
        <w:t>.</w:t>
      </w:r>
      <w:r>
        <w:rPr>
          <w:rFonts w:hint="eastAsia"/>
        </w:rPr>
        <w:t>1</w:t>
      </w:r>
      <w:r>
        <w:t xml:space="preserve"> </w:t>
      </w:r>
      <w:r>
        <w:rPr>
          <w:rFonts w:hint="eastAsia"/>
        </w:rPr>
        <w:t>法律法规</w:t>
      </w:r>
      <w:bookmarkEnd w:id="23"/>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lang w:eastAsia="zh-CN"/>
        </w:rPr>
      </w:pPr>
      <w:r>
        <w:rPr>
          <w:rFonts w:hint="default" w:ascii="Times New Roman" w:hAnsi="Times New Roman" w:eastAsia="仿宋_GB2312" w:cs="Times New Roman"/>
          <w:i w:val="0"/>
          <w:iCs w:val="0"/>
          <w:color w:val="auto"/>
          <w:sz w:val="24"/>
          <w:szCs w:val="22"/>
          <w:highlight w:val="none"/>
          <w:lang w:eastAsia="zh-CN"/>
        </w:rPr>
        <w:t>（1）《中华人民共和国水土保持法》（全国人大常委会，1991年6月29日通过，2010年12月25日修订，自2011年3月1日起施行）；</w:t>
      </w:r>
    </w:p>
    <w:p>
      <w:pPr>
        <w:adjustRightInd w:val="0"/>
        <w:snapToGrid w:val="0"/>
        <w:spacing w:line="360" w:lineRule="auto"/>
        <w:ind w:firstLine="480" w:firstLineChars="200"/>
        <w:rPr>
          <w:rFonts w:hint="eastAsia" w:ascii="Times New Roman" w:hAnsi="Times New Roman" w:eastAsia="仿宋_GB2312" w:cs="Times New Roman"/>
          <w:i w:val="0"/>
          <w:iCs w:val="0"/>
          <w:color w:val="auto"/>
          <w:sz w:val="24"/>
          <w:szCs w:val="22"/>
          <w:highlight w:val="none"/>
          <w:lang w:eastAsia="zh-CN"/>
        </w:rPr>
      </w:pPr>
      <w:r>
        <w:rPr>
          <w:rFonts w:hint="default" w:ascii="Times New Roman" w:hAnsi="Times New Roman" w:eastAsia="仿宋_GB2312" w:cs="Times New Roman"/>
          <w:i w:val="0"/>
          <w:iCs w:val="0"/>
          <w:color w:val="auto"/>
          <w:sz w:val="24"/>
          <w:szCs w:val="22"/>
          <w:highlight w:val="none"/>
          <w:lang w:eastAsia="zh-CN"/>
        </w:rPr>
        <w:t>（2）《四川省〈中华人民共和国水土保持法〉实施办法》（四川省人大常委会，1993年12月15日通过，2012年9月21日修订，自2012年12月1日起施行）</w:t>
      </w:r>
      <w:r>
        <w:rPr>
          <w:rFonts w:hint="eastAsia" w:ascii="Times New Roman" w:hAnsi="Times New Roman" w:eastAsia="仿宋_GB2312" w:cs="Times New Roman"/>
          <w:i w:val="0"/>
          <w:iCs w:val="0"/>
          <w:color w:val="auto"/>
          <w:sz w:val="24"/>
          <w:szCs w:val="22"/>
          <w:highlight w:val="none"/>
          <w:lang w:eastAsia="zh-CN"/>
        </w:rPr>
        <w:t>；</w:t>
      </w:r>
    </w:p>
    <w:p>
      <w:pPr>
        <w:pStyle w:val="6"/>
        <w:bidi w:val="0"/>
        <w:rPr>
          <w:rFonts w:hint="default"/>
        </w:rPr>
      </w:pPr>
      <w:bookmarkStart w:id="24" w:name="_Toc13884"/>
      <w:bookmarkStart w:id="25" w:name="_Toc173"/>
      <w:bookmarkStart w:id="26" w:name="_Toc7583"/>
      <w:bookmarkStart w:id="27" w:name="_Toc24700"/>
      <w:bookmarkStart w:id="28" w:name="_Toc11219"/>
      <w:bookmarkStart w:id="29" w:name="_Toc12294"/>
      <w:r>
        <w:rPr>
          <w:rFonts w:hint="default"/>
        </w:rPr>
        <w:t>1.</w:t>
      </w:r>
      <w:r>
        <w:rPr>
          <w:rFonts w:hint="eastAsia"/>
          <w:lang w:val="en-US" w:eastAsia="zh-CN"/>
        </w:rPr>
        <w:t>2.2</w:t>
      </w:r>
      <w:r>
        <w:rPr>
          <w:rFonts w:hint="default"/>
        </w:rPr>
        <w:t>技术标准</w:t>
      </w:r>
      <w:bookmarkEnd w:id="24"/>
      <w:bookmarkEnd w:id="25"/>
      <w:bookmarkEnd w:id="26"/>
      <w:bookmarkEnd w:id="27"/>
      <w:bookmarkEnd w:id="28"/>
      <w:bookmarkEnd w:id="29"/>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（1）《生产建设项目水土保持技术标准》（GB50433-2018）；</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（2）《生产建设项目水土流失防治标准》（GB/T50434-2018）；</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（3）《水土保持工程设计规范》（GB51018-2014）；</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（4）《土地利用现状分类标准》（GB/T21010-2017）；</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（5）《土壤侵蚀分类分级标准》（SL190-2007）；</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（6）《防洪标准》（GB50201-2014）；</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（7）《水利水电工程制图标准水土保持图》（SL73.6-2015）；</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（8）《水土保持工程概（估）算编制规定》（水利部水总〔2003〕67号）；</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（9）《建筑给水排水设计规范》（GB50015-2009）；</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（10）《室外排水设计规范》（GB50014-2006）（2016年版）</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（11）《中国地震动参数区划图》（GB18306-2015）；</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（12）《生产建设项目水土保持监测与评价标准》（GBT51240-2018）；</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szCs w:val="22"/>
          <w:highlight w:val="none"/>
        </w:rPr>
      </w:pPr>
      <w:r>
        <w:rPr>
          <w:rFonts w:hint="default" w:ascii="Times New Roman" w:hAnsi="Times New Roman" w:eastAsia="仿宋_GB2312" w:cs="Times New Roman"/>
          <w:i w:val="0"/>
          <w:iCs w:val="0"/>
          <w:color w:val="auto"/>
          <w:sz w:val="24"/>
          <w:szCs w:val="22"/>
          <w:highlight w:val="none"/>
        </w:rPr>
        <w:t>（13）《生产建设项目土壤流失量测算导则》（SL773-2018）。</w:t>
      </w:r>
    </w:p>
    <w:p>
      <w:pPr>
        <w:pStyle w:val="6"/>
        <w:bidi w:val="0"/>
        <w:rPr>
          <w:rFonts w:hint="default"/>
        </w:rPr>
      </w:pPr>
      <w:bookmarkStart w:id="30" w:name="_Toc13909"/>
      <w:bookmarkStart w:id="31" w:name="_Toc17995"/>
      <w:bookmarkStart w:id="32" w:name="_Toc14865"/>
      <w:bookmarkStart w:id="33" w:name="_Toc18103"/>
      <w:bookmarkStart w:id="34" w:name="_Toc10613"/>
      <w:bookmarkStart w:id="35" w:name="_Toc11067"/>
      <w:r>
        <w:rPr>
          <w:rFonts w:hint="default"/>
        </w:rPr>
        <w:t>1.</w:t>
      </w:r>
      <w:r>
        <w:rPr>
          <w:rFonts w:hint="eastAsia"/>
          <w:lang w:val="en-US" w:eastAsia="zh-CN"/>
        </w:rPr>
        <w:t>2.3</w:t>
      </w:r>
      <w:r>
        <w:rPr>
          <w:rFonts w:hint="default"/>
        </w:rPr>
        <w:t>技术资料</w:t>
      </w:r>
      <w:bookmarkEnd w:id="30"/>
      <w:bookmarkEnd w:id="31"/>
      <w:bookmarkEnd w:id="32"/>
      <w:bookmarkEnd w:id="33"/>
      <w:bookmarkEnd w:id="34"/>
      <w:bookmarkEnd w:id="35"/>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1、《水利部办公厅关于印发生产建设项目水土保持技术文件编写和印刷格式规定（试行）的通知》（办水保〔2018〕135号）；</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2、关于印发《生产建设项目水土保持方案技术审查要点》的通知（水保监〔2014〕58号）；</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3、水利部办公厅关于印发《水利工程营业税改征增值税计价依据调整办法》的通知（办水总〔2016〕132号）；</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4、《仪陇县水土保持规划》（2015-2030）；</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5、《</w:t>
      </w:r>
      <w:r>
        <w:rPr>
          <w:rFonts w:hint="eastAsia" w:cs="Times New Roman"/>
          <w:i w:val="0"/>
          <w:iCs w:val="0"/>
          <w:color w:val="auto"/>
          <w:sz w:val="24"/>
          <w:highlight w:val="none"/>
          <w:lang w:eastAsia="zh-CN"/>
        </w:rPr>
        <w:t>仪陇县琳琅大道中段棚户区改造项目（五星花园地块）</w:t>
      </w:r>
      <w:r>
        <w:rPr>
          <w:rFonts w:hint="default" w:ascii="Times New Roman" w:hAnsi="Times New Roman" w:eastAsia="仿宋_GB2312" w:cs="Times New Roman"/>
          <w:i w:val="0"/>
          <w:iCs w:val="0"/>
          <w:color w:val="auto"/>
          <w:sz w:val="24"/>
          <w:highlight w:val="none"/>
        </w:rPr>
        <w:t>总平面图》；</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6、建设单位提供的其它资料。</w:t>
      </w:r>
    </w:p>
    <w:p>
      <w:pPr>
        <w:pStyle w:val="4"/>
        <w:keepNext w:val="0"/>
        <w:rPr>
          <w:color w:val="000000"/>
        </w:rPr>
      </w:pPr>
      <w:bookmarkStart w:id="36" w:name="_Toc48656906"/>
      <w:bookmarkStart w:id="37" w:name="_Toc30375"/>
      <w:bookmarkStart w:id="38" w:name="_Toc12886"/>
      <w:bookmarkStart w:id="39" w:name="_Toc20918"/>
      <w:bookmarkStart w:id="40" w:name="_Toc8025"/>
      <w:bookmarkStart w:id="41" w:name="_Toc28429"/>
      <w:r>
        <w:rPr>
          <w:color w:val="000000"/>
        </w:rPr>
        <w:t>1.</w:t>
      </w:r>
      <w:r>
        <w:rPr>
          <w:rFonts w:hint="eastAsia"/>
          <w:color w:val="000000"/>
        </w:rPr>
        <w:t>3方案设计水平年</w:t>
      </w:r>
      <w:bookmarkEnd w:id="36"/>
      <w:bookmarkEnd w:id="37"/>
      <w:bookmarkEnd w:id="38"/>
      <w:bookmarkEnd w:id="39"/>
      <w:bookmarkEnd w:id="40"/>
      <w:bookmarkEnd w:id="41"/>
    </w:p>
    <w:p>
      <w:pPr>
        <w:pStyle w:val="23"/>
        <w:spacing w:before="0" w:beforeLines="0" w:after="0" w:afterLines="0" w:line="360" w:lineRule="auto"/>
        <w:ind w:left="0" w:leftChars="0" w:firstLine="0" w:firstLineChars="0"/>
        <w:rPr>
          <w:rFonts w:ascii="Times New Roman"/>
          <w:i w:val="0"/>
          <w:iCs w:val="0"/>
          <w:sz w:val="24"/>
          <w:szCs w:val="16"/>
          <w:highlight w:val="none"/>
        </w:rPr>
      </w:pPr>
      <w:r>
        <w:rPr>
          <w:rFonts w:hint="eastAsia"/>
          <w:i w:val="0"/>
          <w:iCs w:val="0"/>
          <w:highlight w:val="none"/>
          <w:lang w:val="en-US" w:eastAsia="zh-CN"/>
        </w:rPr>
        <w:t xml:space="preserve">   </w:t>
      </w:r>
      <w:r>
        <w:rPr>
          <w:rFonts w:hint="eastAsia" w:ascii="Times New Roman"/>
          <w:i w:val="0"/>
          <w:iCs w:val="0"/>
          <w:sz w:val="24"/>
          <w:szCs w:val="16"/>
          <w:highlight w:val="none"/>
        </w:rPr>
        <w:t>本</w:t>
      </w:r>
      <w:r>
        <w:rPr>
          <w:rFonts w:ascii="Times New Roman"/>
          <w:i w:val="0"/>
          <w:iCs w:val="0"/>
          <w:sz w:val="24"/>
          <w:szCs w:val="16"/>
          <w:highlight w:val="none"/>
        </w:rPr>
        <w:t>项目为建设类项目，根据《</w:t>
      </w:r>
      <w:r>
        <w:rPr>
          <w:rFonts w:hint="eastAsia" w:ascii="Times New Roman"/>
          <w:i w:val="0"/>
          <w:iCs w:val="0"/>
          <w:sz w:val="24"/>
          <w:szCs w:val="16"/>
          <w:highlight w:val="none"/>
        </w:rPr>
        <w:t>生产</w:t>
      </w:r>
      <w:r>
        <w:rPr>
          <w:rFonts w:ascii="Times New Roman"/>
          <w:i w:val="0"/>
          <w:iCs w:val="0"/>
          <w:sz w:val="24"/>
          <w:szCs w:val="16"/>
          <w:highlight w:val="none"/>
        </w:rPr>
        <w:t>建设项目水土保持技术</w:t>
      </w:r>
      <w:r>
        <w:rPr>
          <w:rFonts w:hint="eastAsia" w:ascii="Times New Roman"/>
          <w:i w:val="0"/>
          <w:iCs w:val="0"/>
          <w:sz w:val="24"/>
          <w:szCs w:val="16"/>
          <w:highlight w:val="none"/>
        </w:rPr>
        <w:t>标准</w:t>
      </w:r>
      <w:r>
        <w:rPr>
          <w:rFonts w:ascii="Times New Roman"/>
          <w:i w:val="0"/>
          <w:iCs w:val="0"/>
          <w:sz w:val="24"/>
          <w:szCs w:val="16"/>
          <w:highlight w:val="none"/>
        </w:rPr>
        <w:t>》（GB50433-20</w:t>
      </w:r>
      <w:r>
        <w:rPr>
          <w:rFonts w:hint="eastAsia" w:ascii="Times New Roman"/>
          <w:i w:val="0"/>
          <w:iCs w:val="0"/>
          <w:sz w:val="24"/>
          <w:szCs w:val="16"/>
          <w:highlight w:val="none"/>
        </w:rPr>
        <w:t>1</w:t>
      </w:r>
      <w:r>
        <w:rPr>
          <w:rFonts w:ascii="Times New Roman"/>
          <w:i w:val="0"/>
          <w:iCs w:val="0"/>
          <w:sz w:val="24"/>
          <w:szCs w:val="16"/>
          <w:highlight w:val="none"/>
        </w:rPr>
        <w:t>8）中“设计水平年应为主体工程完工后的当年或后一年”的规定</w:t>
      </w:r>
      <w:r>
        <w:rPr>
          <w:rFonts w:hint="eastAsia" w:ascii="Times New Roman"/>
          <w:i w:val="0"/>
          <w:iCs w:val="0"/>
          <w:sz w:val="24"/>
          <w:szCs w:val="16"/>
          <w:highlight w:val="none"/>
        </w:rPr>
        <w:t>。</w:t>
      </w:r>
      <w:r>
        <w:rPr>
          <w:rFonts w:ascii="Times New Roman"/>
          <w:i w:val="0"/>
          <w:iCs w:val="0"/>
          <w:sz w:val="24"/>
          <w:szCs w:val="16"/>
          <w:highlight w:val="none"/>
        </w:rPr>
        <w:t>本项目于</w:t>
      </w:r>
      <w:r>
        <w:rPr>
          <w:rFonts w:hint="eastAsia" w:ascii="Times New Roman"/>
          <w:i w:val="0"/>
          <w:iCs w:val="0"/>
          <w:sz w:val="24"/>
          <w:szCs w:val="16"/>
          <w:highlight w:val="none"/>
          <w:lang w:eastAsia="zh-CN"/>
        </w:rPr>
        <w:t>2020年10月</w:t>
      </w:r>
      <w:r>
        <w:rPr>
          <w:rFonts w:ascii="Times New Roman"/>
          <w:i w:val="0"/>
          <w:iCs w:val="0"/>
          <w:sz w:val="24"/>
          <w:szCs w:val="16"/>
          <w:highlight w:val="none"/>
        </w:rPr>
        <w:t>动工修建，</w:t>
      </w:r>
      <w:r>
        <w:rPr>
          <w:rFonts w:hint="eastAsia" w:ascii="Times New Roman"/>
          <w:i w:val="0"/>
          <w:iCs w:val="0"/>
          <w:sz w:val="24"/>
          <w:szCs w:val="16"/>
          <w:highlight w:val="none"/>
          <w:lang w:eastAsia="zh-CN"/>
        </w:rPr>
        <w:t>预计</w:t>
      </w:r>
      <w:r>
        <w:rPr>
          <w:rFonts w:ascii="Times New Roman"/>
          <w:i w:val="0"/>
          <w:iCs w:val="0"/>
          <w:sz w:val="24"/>
          <w:szCs w:val="16"/>
          <w:highlight w:val="none"/>
        </w:rPr>
        <w:t>于</w:t>
      </w:r>
      <w:r>
        <w:rPr>
          <w:rFonts w:hint="eastAsia" w:ascii="Times New Roman"/>
          <w:i w:val="0"/>
          <w:iCs w:val="0"/>
          <w:sz w:val="24"/>
          <w:szCs w:val="16"/>
          <w:highlight w:val="none"/>
          <w:lang w:eastAsia="zh-CN"/>
        </w:rPr>
        <w:t>2022年10月</w:t>
      </w:r>
      <w:r>
        <w:rPr>
          <w:rFonts w:ascii="Times New Roman"/>
          <w:i w:val="0"/>
          <w:iCs w:val="0"/>
          <w:sz w:val="24"/>
          <w:szCs w:val="16"/>
          <w:highlight w:val="none"/>
        </w:rPr>
        <w:t>建设完成。20</w:t>
      </w:r>
      <w:r>
        <w:rPr>
          <w:rFonts w:hint="eastAsia" w:ascii="Times New Roman"/>
          <w:i w:val="0"/>
          <w:iCs w:val="0"/>
          <w:sz w:val="24"/>
          <w:szCs w:val="16"/>
          <w:highlight w:val="none"/>
        </w:rPr>
        <w:t>2</w:t>
      </w:r>
      <w:r>
        <w:rPr>
          <w:rFonts w:hint="eastAsia" w:ascii="Times New Roman"/>
          <w:i w:val="0"/>
          <w:iCs w:val="0"/>
          <w:sz w:val="24"/>
          <w:szCs w:val="16"/>
          <w:highlight w:val="none"/>
          <w:lang w:val="en-US" w:eastAsia="zh-CN"/>
        </w:rPr>
        <w:t>1</w:t>
      </w:r>
      <w:r>
        <w:rPr>
          <w:rFonts w:hint="eastAsia" w:ascii="Times New Roman"/>
          <w:i w:val="0"/>
          <w:iCs w:val="0"/>
          <w:sz w:val="24"/>
          <w:szCs w:val="16"/>
          <w:highlight w:val="none"/>
        </w:rPr>
        <w:t>年</w:t>
      </w:r>
      <w:r>
        <w:rPr>
          <w:rFonts w:hint="eastAsia" w:ascii="Times New Roman"/>
          <w:i w:val="0"/>
          <w:iCs w:val="0"/>
          <w:sz w:val="24"/>
          <w:szCs w:val="16"/>
          <w:highlight w:val="none"/>
          <w:lang w:val="en-US" w:eastAsia="zh-CN"/>
        </w:rPr>
        <w:t>7月本公司</w:t>
      </w:r>
      <w:r>
        <w:rPr>
          <w:rFonts w:ascii="Times New Roman"/>
          <w:i w:val="0"/>
          <w:iCs w:val="0"/>
          <w:sz w:val="24"/>
          <w:szCs w:val="16"/>
          <w:highlight w:val="none"/>
        </w:rPr>
        <w:t>受业主委托，编报本工程水土保持方案报告</w:t>
      </w:r>
      <w:r>
        <w:rPr>
          <w:rFonts w:hint="eastAsia" w:ascii="Times New Roman"/>
          <w:i w:val="0"/>
          <w:iCs w:val="0"/>
          <w:sz w:val="24"/>
          <w:szCs w:val="16"/>
          <w:highlight w:val="none"/>
        </w:rPr>
        <w:t>表</w:t>
      </w:r>
      <w:r>
        <w:rPr>
          <w:rFonts w:ascii="Times New Roman"/>
          <w:i w:val="0"/>
          <w:iCs w:val="0"/>
          <w:sz w:val="24"/>
          <w:szCs w:val="16"/>
          <w:highlight w:val="none"/>
        </w:rPr>
        <w:t>。</w:t>
      </w:r>
    </w:p>
    <w:p>
      <w:pPr>
        <w:pStyle w:val="23"/>
        <w:spacing w:before="0" w:beforeLines="0" w:after="0" w:afterLines="0" w:line="360" w:lineRule="auto"/>
        <w:ind w:left="0" w:leftChars="0" w:firstLine="480" w:firstLineChars="200"/>
        <w:rPr>
          <w:rFonts w:ascii="Times New Roman"/>
          <w:i w:val="0"/>
          <w:iCs w:val="0"/>
          <w:sz w:val="24"/>
          <w:szCs w:val="16"/>
          <w:highlight w:val="none"/>
        </w:rPr>
      </w:pPr>
      <w:r>
        <w:rPr>
          <w:rFonts w:ascii="Times New Roman"/>
          <w:i w:val="0"/>
          <w:iCs w:val="0"/>
          <w:sz w:val="24"/>
          <w:szCs w:val="16"/>
          <w:highlight w:val="none"/>
        </w:rPr>
        <w:t>因此，确定本方案的设计水平年为20</w:t>
      </w:r>
      <w:r>
        <w:rPr>
          <w:rFonts w:hint="eastAsia" w:ascii="Times New Roman"/>
          <w:i w:val="0"/>
          <w:iCs w:val="0"/>
          <w:sz w:val="24"/>
          <w:szCs w:val="16"/>
          <w:highlight w:val="none"/>
        </w:rPr>
        <w:t>2</w:t>
      </w:r>
      <w:r>
        <w:rPr>
          <w:rFonts w:hint="eastAsia" w:ascii="Times New Roman"/>
          <w:i w:val="0"/>
          <w:iCs w:val="0"/>
          <w:sz w:val="24"/>
          <w:szCs w:val="16"/>
          <w:highlight w:val="none"/>
          <w:lang w:val="en-US" w:eastAsia="zh-CN"/>
        </w:rPr>
        <w:t>3</w:t>
      </w:r>
      <w:r>
        <w:rPr>
          <w:rFonts w:ascii="Times New Roman"/>
          <w:i w:val="0"/>
          <w:iCs w:val="0"/>
          <w:sz w:val="24"/>
          <w:szCs w:val="16"/>
          <w:highlight w:val="none"/>
        </w:rPr>
        <w:t>年。</w:t>
      </w:r>
    </w:p>
    <w:p>
      <w:pPr>
        <w:pStyle w:val="4"/>
        <w:rPr>
          <w:rFonts w:hint="eastAsia"/>
          <w:color w:val="000000"/>
        </w:rPr>
      </w:pPr>
      <w:bookmarkStart w:id="42" w:name="_Toc10619"/>
      <w:bookmarkStart w:id="43" w:name="_Toc25495"/>
      <w:bookmarkStart w:id="44" w:name="_Toc9719"/>
      <w:bookmarkStart w:id="45" w:name="_Toc5164"/>
      <w:bookmarkStart w:id="46" w:name="_Toc48656907"/>
      <w:bookmarkStart w:id="47" w:name="_Toc22348"/>
      <w:bookmarkStart w:id="48" w:name="_Toc19841"/>
      <w:r>
        <w:rPr>
          <w:color w:val="000000"/>
        </w:rPr>
        <w:t>1.</w:t>
      </w:r>
      <w:r>
        <w:rPr>
          <w:rFonts w:hint="eastAsia"/>
          <w:color w:val="000000"/>
        </w:rPr>
        <w:t>4水土流失防治责任范围</w:t>
      </w:r>
      <w:bookmarkEnd w:id="42"/>
      <w:bookmarkEnd w:id="43"/>
      <w:bookmarkEnd w:id="44"/>
      <w:bookmarkEnd w:id="45"/>
      <w:bookmarkEnd w:id="46"/>
      <w:bookmarkEnd w:id="47"/>
      <w:bookmarkEnd w:id="48"/>
    </w:p>
    <w:p>
      <w:pPr>
        <w:ind w:firstLine="460" w:firstLineChars="192"/>
        <w:rPr>
          <w:rFonts w:hint="eastAsia"/>
          <w:color w:val="000000"/>
        </w:rPr>
      </w:pPr>
      <w:r>
        <w:rPr>
          <w:rFonts w:hint="eastAsia"/>
          <w:color w:val="000000"/>
          <w:lang w:bidi="ar"/>
        </w:rPr>
        <w:t xml:space="preserve">依照“谁开发利用资源谁负责保护、谁造成水土流失谁负责治理和补偿”的原则与《生产建设项目水土保持技术标准》(GB </w:t>
      </w:r>
      <w:r>
        <w:rPr>
          <w:color w:val="000000"/>
          <w:lang w:bidi="ar"/>
        </w:rPr>
        <w:t>50433-20</w:t>
      </w:r>
      <w:r>
        <w:rPr>
          <w:rFonts w:hint="eastAsia"/>
          <w:color w:val="000000"/>
          <w:lang w:bidi="ar"/>
        </w:rPr>
        <w:t>1</w:t>
      </w:r>
      <w:r>
        <w:rPr>
          <w:color w:val="000000"/>
          <w:lang w:bidi="ar"/>
        </w:rPr>
        <w:t>8)</w:t>
      </w:r>
      <w:r>
        <w:rPr>
          <w:rFonts w:hint="eastAsia"/>
          <w:color w:val="000000"/>
          <w:lang w:bidi="ar"/>
        </w:rPr>
        <w:t>的规定，本工程水土流失防治责任范围面积为</w:t>
      </w:r>
      <w:r>
        <w:rPr>
          <w:rFonts w:hint="eastAsia"/>
          <w:color w:val="000000"/>
        </w:rPr>
        <w:t>项目建设区面积</w:t>
      </w:r>
      <w:r>
        <w:rPr>
          <w:rFonts w:hint="eastAsia"/>
          <w:color w:val="000000"/>
          <w:lang w:val="en-US" w:eastAsia="zh-CN"/>
        </w:rPr>
        <w:t>1.02</w:t>
      </w:r>
      <w:r>
        <w:rPr>
          <w:rFonts w:hint="eastAsia"/>
          <w:color w:val="000000"/>
          <w:lang w:eastAsia="zh-CN"/>
        </w:rPr>
        <w:t>hm²</w:t>
      </w:r>
      <w:r>
        <w:rPr>
          <w:rFonts w:hint="eastAsia"/>
          <w:color w:val="000000"/>
        </w:rPr>
        <w:t>，</w:t>
      </w:r>
      <w:r>
        <w:rPr>
          <w:rFonts w:hint="eastAsia"/>
          <w:color w:val="000000"/>
          <w:lang w:val="en-US" w:eastAsia="zh-CN"/>
        </w:rPr>
        <w:t>均为永久占地</w:t>
      </w:r>
      <w:r>
        <w:rPr>
          <w:rFonts w:hint="eastAsia"/>
          <w:color w:val="000000"/>
        </w:rPr>
        <w:t>。</w:t>
      </w:r>
    </w:p>
    <w:p>
      <w:pPr>
        <w:pStyle w:val="4"/>
        <w:rPr>
          <w:rFonts w:hint="eastAsia"/>
          <w:color w:val="000000"/>
        </w:rPr>
      </w:pPr>
      <w:bookmarkStart w:id="49" w:name="_Toc397"/>
      <w:bookmarkStart w:id="50" w:name="_Toc48656908"/>
      <w:bookmarkStart w:id="51" w:name="_Toc9273"/>
      <w:bookmarkStart w:id="52" w:name="_Toc13502"/>
      <w:bookmarkStart w:id="53" w:name="_Toc16127"/>
      <w:bookmarkStart w:id="54" w:name="_Toc18950"/>
      <w:r>
        <w:rPr>
          <w:color w:val="000000"/>
        </w:rPr>
        <w:t>1.</w:t>
      </w:r>
      <w:r>
        <w:rPr>
          <w:rFonts w:hint="eastAsia"/>
          <w:color w:val="000000"/>
        </w:rPr>
        <w:t>5水土流失防治目标</w:t>
      </w:r>
      <w:bookmarkEnd w:id="49"/>
      <w:bookmarkEnd w:id="50"/>
      <w:bookmarkEnd w:id="51"/>
      <w:bookmarkEnd w:id="52"/>
      <w:bookmarkEnd w:id="53"/>
      <w:bookmarkEnd w:id="54"/>
    </w:p>
    <w:p>
      <w:pPr>
        <w:adjustRightInd w:val="0"/>
        <w:spacing w:line="360" w:lineRule="auto"/>
        <w:ind w:firstLine="48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根据水利部办公厅关于印发《全国水土保持规划国家级水土流失重点预防区和重点治理区复核划分成果》的通知（办水保[2013]188号）和四川省水利厅关于印发《四川省省级水土流失重点预防区和重点治理区划分成果》的通知（川水函[2017]482号）及《南充市水土保持规划（2015-2030年）》，工程所在的仪陇县属于嘉陵江及沱江中下游国家级水土流失重点治理区；根据《生产建设项目水土流失防治标准》（GB50434-2018）第4.0.1第1条规定：位于各级人民政府和相关机构确定的水土保持重点预防区和治理区，且不可避免，应执行一级标准。故本方案执行西南紫色土区建设类项目一级标准。</w:t>
      </w:r>
    </w:p>
    <w:p>
      <w:pPr>
        <w:ind w:firstLine="480"/>
        <w:rPr>
          <w:color w:val="000000"/>
        </w:rPr>
      </w:pPr>
      <w:r>
        <w:rPr>
          <w:color w:val="000000"/>
        </w:rPr>
        <w:t>1</w:t>
      </w:r>
      <w:r>
        <w:rPr>
          <w:rFonts w:hint="eastAsia"/>
          <w:color w:val="000000"/>
        </w:rPr>
        <w:t>、防治目标的修正</w:t>
      </w:r>
    </w:p>
    <w:p>
      <w:pPr>
        <w:ind w:firstLine="480"/>
        <w:rPr>
          <w:rFonts w:hint="eastAsia"/>
          <w:color w:val="000000"/>
        </w:rPr>
      </w:pPr>
      <w:r>
        <w:rPr>
          <w:rFonts w:hint="eastAsia"/>
          <w:color w:val="000000"/>
        </w:rPr>
        <w:t>根据该项目所在地的气候、地形、水土流失状况、工程类型等特点，对防治目标值进行修正。</w:t>
      </w:r>
    </w:p>
    <w:p>
      <w:pPr>
        <w:ind w:firstLine="480"/>
        <w:rPr>
          <w:color w:val="000000"/>
        </w:rPr>
      </w:pPr>
      <w:r>
        <w:rPr>
          <w:rFonts w:hint="eastAsia"/>
          <w:color w:val="000000"/>
        </w:rPr>
        <w:t>（1）土壤侵蚀强度修正值</w:t>
      </w:r>
    </w:p>
    <w:p>
      <w:pPr>
        <w:ind w:firstLine="480"/>
        <w:rPr>
          <w:rFonts w:hint="eastAsia"/>
          <w:color w:val="000000"/>
        </w:rPr>
      </w:pPr>
      <w:r>
        <w:rPr>
          <w:rFonts w:hint="eastAsia"/>
          <w:color w:val="000000"/>
        </w:rPr>
        <w:t>项目区土壤侵蚀以</w:t>
      </w:r>
      <w:r>
        <w:rPr>
          <w:rFonts w:hint="eastAsia"/>
          <w:color w:val="000000"/>
          <w:lang w:eastAsia="zh-CN"/>
        </w:rPr>
        <w:t>轻度</w:t>
      </w:r>
      <w:r>
        <w:rPr>
          <w:rFonts w:hint="eastAsia"/>
          <w:color w:val="000000"/>
        </w:rPr>
        <w:t>为主，结合各施工区工程特点和地形地貌，土壤流失控制比相应提高至1.0或以上，故土壤流失控制比应大于或等于1.0。本方案取1.0。</w:t>
      </w:r>
    </w:p>
    <w:p>
      <w:pPr>
        <w:pStyle w:val="24"/>
        <w:rPr>
          <w:rFonts w:hint="default" w:eastAsia="仿宋_GB2312"/>
          <w:color w:val="000000"/>
          <w:lang w:val="en-US" w:eastAsia="zh-CN"/>
        </w:rPr>
      </w:pPr>
      <w:r>
        <w:rPr>
          <w:rFonts w:hint="eastAsia"/>
          <w:color w:val="000000"/>
          <w:lang w:val="en-US" w:eastAsia="zh-CN"/>
        </w:rPr>
        <w:t>本项目位于嘉陵江及沱江中下游国家级水土流失重点治理区，</w:t>
      </w:r>
      <w:r>
        <w:rPr>
          <w:rFonts w:hint="eastAsia"/>
          <w:color w:val="000000"/>
        </w:rPr>
        <w:t>林草覆盖率可提高1%~</w:t>
      </w:r>
      <w:r>
        <w:rPr>
          <w:color w:val="000000"/>
        </w:rPr>
        <w:t>2%</w:t>
      </w:r>
      <w:r>
        <w:rPr>
          <w:rFonts w:hint="eastAsia"/>
          <w:color w:val="000000"/>
        </w:rPr>
        <w:t>，本项目防治目标值提高2%。项目区</w:t>
      </w:r>
      <w:r>
        <w:rPr>
          <w:rFonts w:hint="eastAsia"/>
          <w:color w:val="000000"/>
          <w:lang w:eastAsia="zh-CN"/>
        </w:rPr>
        <w:t>用地类型为住宅用地，</w:t>
      </w:r>
      <w:r>
        <w:rPr>
          <w:rFonts w:hint="eastAsia"/>
          <w:color w:val="000000"/>
        </w:rPr>
        <w:t>原地貌表层土主要为</w:t>
      </w:r>
      <w:r>
        <w:rPr>
          <w:rFonts w:hint="default" w:ascii="Times New Roman" w:hAnsi="Times New Roman" w:cs="Times New Roman"/>
          <w:color w:val="000000"/>
        </w:rPr>
        <w:t>夯实土、石方</w:t>
      </w:r>
      <w:r>
        <w:rPr>
          <w:rFonts w:hint="eastAsia" w:ascii="Times New Roman" w:hAnsi="Times New Roman" w:cs="Times New Roman"/>
          <w:color w:val="000000"/>
        </w:rPr>
        <w:t>，</w:t>
      </w:r>
      <w:r>
        <w:rPr>
          <w:rFonts w:hint="eastAsia"/>
          <w:color w:val="000000"/>
        </w:rPr>
        <w:t>无可剥离表土，故未进行表土剥离，表土保护率不计</w:t>
      </w:r>
      <w:r>
        <w:rPr>
          <w:rFonts w:hint="eastAsia"/>
          <w:color w:val="000000"/>
          <w:lang w:eastAsia="zh-CN"/>
        </w:rPr>
        <w:t>；</w:t>
      </w:r>
      <w:r>
        <w:rPr>
          <w:rFonts w:hint="eastAsia"/>
          <w:color w:val="000000"/>
          <w:lang w:val="en-US" w:eastAsia="zh-CN"/>
        </w:rPr>
        <w:t>本项目位于城市区域，渣土防护率应提高</w:t>
      </w:r>
      <w:r>
        <w:rPr>
          <w:rFonts w:hint="eastAsia"/>
          <w:color w:val="000000"/>
        </w:rPr>
        <w:t>1%~</w:t>
      </w:r>
      <w:r>
        <w:rPr>
          <w:rFonts w:hint="eastAsia"/>
          <w:color w:val="000000"/>
          <w:lang w:val="en-US" w:eastAsia="zh-CN"/>
        </w:rPr>
        <w:t>2%，本项目取2%。</w:t>
      </w:r>
    </w:p>
    <w:p>
      <w:pPr>
        <w:pStyle w:val="25"/>
        <w:keepNext w:val="0"/>
        <w:keepLines w:val="0"/>
        <w:pageBreakBefore w:val="0"/>
        <w:widowControl w:val="0"/>
        <w:kinsoku/>
        <w:wordWrap/>
        <w:overflowPunct/>
        <w:topLinePunct w:val="0"/>
        <w:autoSpaceDE/>
        <w:autoSpaceDN/>
        <w:bidi w:val="0"/>
        <w:adjustRightInd w:val="0"/>
        <w:snapToGrid w:val="0"/>
        <w:textAlignment w:val="auto"/>
      </w:pPr>
      <w:r>
        <w:rPr>
          <w:rFonts w:hint="eastAsia"/>
        </w:rPr>
        <w:t>表1-1西南紫色土区水土流失一级标准防治指标值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09"/>
        <w:gridCol w:w="2052"/>
        <w:gridCol w:w="990"/>
        <w:gridCol w:w="1135"/>
        <w:gridCol w:w="852"/>
        <w:gridCol w:w="1133"/>
        <w:gridCol w:w="849"/>
        <w:gridCol w:w="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vMerge w:val="restart"/>
            <w:tcBorders>
              <w:top w:val="single" w:color="auto" w:sz="12"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序号</w:t>
            </w:r>
          </w:p>
        </w:tc>
        <w:tc>
          <w:tcPr>
            <w:tcW w:w="2052" w:type="dxa"/>
            <w:vMerge w:val="restart"/>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防治指标</w:t>
            </w:r>
          </w:p>
        </w:tc>
        <w:tc>
          <w:tcPr>
            <w:tcW w:w="2125" w:type="dxa"/>
            <w:gridSpan w:val="2"/>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规范基准值</w:t>
            </w:r>
          </w:p>
        </w:tc>
        <w:tc>
          <w:tcPr>
            <w:tcW w:w="1985" w:type="dxa"/>
            <w:gridSpan w:val="2"/>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修正值</w:t>
            </w:r>
          </w:p>
        </w:tc>
        <w:tc>
          <w:tcPr>
            <w:tcW w:w="1751" w:type="dxa"/>
            <w:gridSpan w:val="2"/>
            <w:tcBorders>
              <w:top w:val="single" w:color="auto" w:sz="12"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color w:val="000000"/>
                <w:sz w:val="21"/>
              </w:rPr>
            </w:pPr>
            <w:r>
              <w:rPr>
                <w:rFonts w:hint="eastAsia"/>
                <w:color w:val="000000"/>
                <w:sz w:val="21"/>
              </w:rPr>
              <w:t>采用目标值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vMerge w:val="continue"/>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施工期</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设计水平年</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施工期</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设计水平年</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施工期</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color w:val="000000"/>
                <w:sz w:val="21"/>
              </w:rPr>
            </w:pPr>
            <w:r>
              <w:rPr>
                <w:rFonts w:hint="eastAsia"/>
                <w:color w:val="000000"/>
                <w:sz w:val="21"/>
              </w:rPr>
              <w:t>设计水平年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1</w:t>
            </w:r>
          </w:p>
        </w:tc>
        <w:tc>
          <w:tcPr>
            <w:tcW w:w="20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水土流失治理度(%)</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97</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color w:val="000000"/>
                <w:sz w:val="21"/>
              </w:rPr>
            </w:pPr>
            <w:r>
              <w:rPr>
                <w:color w:val="000000"/>
                <w:sz w:val="21"/>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2</w:t>
            </w:r>
          </w:p>
        </w:tc>
        <w:tc>
          <w:tcPr>
            <w:tcW w:w="20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土壤流失控制比</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0.85</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+0.15</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color w:val="000000"/>
                <w:sz w:val="21"/>
              </w:rPr>
            </w:pPr>
            <w:r>
              <w:rPr>
                <w:color w:val="000000"/>
                <w:sz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3</w:t>
            </w:r>
          </w:p>
        </w:tc>
        <w:tc>
          <w:tcPr>
            <w:tcW w:w="20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highlight w:val="none"/>
              </w:rPr>
            </w:pPr>
            <w:r>
              <w:rPr>
                <w:rFonts w:hint="eastAsia"/>
                <w:color w:val="000000"/>
                <w:sz w:val="21"/>
                <w:highlight w:val="none"/>
              </w:rPr>
              <w:t>渣土防护率(%)</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420" w:firstLineChars="200"/>
              <w:jc w:val="left"/>
              <w:rPr>
                <w:rFonts w:hint="default" w:eastAsia="仿宋"/>
                <w:color w:val="000000"/>
                <w:sz w:val="21"/>
                <w:highlight w:val="none"/>
                <w:lang w:val="en-US" w:eastAsia="zh-CN"/>
              </w:rPr>
            </w:pPr>
            <w:r>
              <w:rPr>
                <w:rFonts w:hint="eastAsia"/>
                <w:color w:val="000000"/>
                <w:sz w:val="21"/>
                <w:highlight w:val="none"/>
                <w:lang w:val="en-US" w:eastAsia="zh-CN"/>
              </w:rPr>
              <w:t>90</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仿宋_GB2312"/>
                <w:color w:val="000000"/>
                <w:sz w:val="21"/>
                <w:highlight w:val="none"/>
                <w:lang w:val="en-US" w:eastAsia="zh-CN"/>
              </w:rPr>
            </w:pPr>
            <w:r>
              <w:rPr>
                <w:rFonts w:hint="eastAsia"/>
                <w:color w:val="000000"/>
                <w:sz w:val="21"/>
                <w:highlight w:val="none"/>
                <w:lang w:val="en-US" w:eastAsia="zh-CN"/>
              </w:rPr>
              <w:t>92</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highlight w:val="none"/>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仿宋_GB2312"/>
                <w:color w:val="000000"/>
                <w:sz w:val="21"/>
                <w:highlight w:val="none"/>
                <w:lang w:val="en-US" w:eastAsia="zh-CN"/>
              </w:rPr>
            </w:pPr>
            <w:r>
              <w:rPr>
                <w:color w:val="000000"/>
                <w:sz w:val="21"/>
                <w:highlight w:val="none"/>
              </w:rPr>
              <w:t>+</w:t>
            </w:r>
            <w:r>
              <w:rPr>
                <w:rFonts w:hint="eastAsia"/>
                <w:color w:val="000000"/>
                <w:sz w:val="21"/>
                <w:highlight w:val="none"/>
                <w:lang w:val="en-US" w:eastAsia="zh-CN"/>
              </w:rPr>
              <w:t>2</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仿宋"/>
                <w:color w:val="000000"/>
                <w:sz w:val="21"/>
                <w:highlight w:val="none"/>
                <w:lang w:val="en-US" w:eastAsia="zh-CN"/>
              </w:rPr>
            </w:pPr>
            <w:r>
              <w:rPr>
                <w:rFonts w:hint="eastAsia"/>
                <w:color w:val="000000"/>
                <w:sz w:val="21"/>
                <w:highlight w:val="none"/>
                <w:lang w:val="en-US" w:eastAsia="zh-CN"/>
              </w:rPr>
              <w:t>92</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default" w:eastAsia="仿宋_GB2312"/>
                <w:color w:val="000000"/>
                <w:sz w:val="21"/>
                <w:highlight w:val="none"/>
                <w:lang w:val="en-US" w:eastAsia="zh-CN"/>
              </w:rPr>
            </w:pPr>
            <w:r>
              <w:rPr>
                <w:rFonts w:hint="eastAsia"/>
                <w:color w:val="000000"/>
                <w:sz w:val="21"/>
                <w:highlight w:val="none"/>
                <w:lang w:val="en-US" w:eastAsia="zh-CN"/>
              </w:rPr>
              <w:t>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4</w:t>
            </w:r>
          </w:p>
        </w:tc>
        <w:tc>
          <w:tcPr>
            <w:tcW w:w="20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表土保护率(%)</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420" w:firstLineChars="200"/>
              <w:jc w:val="left"/>
              <w:rPr>
                <w:rFonts w:hint="default" w:eastAsia="仿宋"/>
                <w:color w:val="000000"/>
                <w:sz w:val="21"/>
                <w:lang w:val="en-US" w:eastAsia="zh-CN"/>
              </w:rPr>
            </w:pPr>
            <w:r>
              <w:rPr>
                <w:rFonts w:hint="eastAsia"/>
                <w:color w:val="000000"/>
                <w:sz w:val="21"/>
                <w:lang w:val="en-US" w:eastAsia="zh-CN"/>
              </w:rPr>
              <w:t>92</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仿宋"/>
                <w:color w:val="000000"/>
                <w:sz w:val="21"/>
                <w:lang w:val="en-US" w:eastAsia="zh-CN"/>
              </w:rPr>
            </w:pPr>
            <w:r>
              <w:rPr>
                <w:rFonts w:hint="eastAsia"/>
                <w:color w:val="000000"/>
                <w:sz w:val="21"/>
                <w:lang w:val="en-US" w:eastAsia="zh-CN"/>
              </w:rPr>
              <w:t>92</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仿宋"/>
                <w:color w:val="000000"/>
                <w:sz w:val="21"/>
                <w:lang w:val="en-US" w:eastAsia="zh-CN"/>
              </w:rPr>
            </w:pP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highlight w:val="none"/>
                <w:lang w:val="en-US" w:eastAsia="zh-CN"/>
              </w:rPr>
              <w:t>/</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default" w:eastAsia="仿宋"/>
                <w:color w:val="000000"/>
                <w:sz w:val="21"/>
                <w:lang w:val="en-US" w:eastAsia="zh-CN"/>
              </w:rPr>
            </w:pPr>
            <w:r>
              <w:rPr>
                <w:rFonts w:hint="eastAsia"/>
                <w:color w:val="000000"/>
                <w:sz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5</w:t>
            </w:r>
          </w:p>
        </w:tc>
        <w:tc>
          <w:tcPr>
            <w:tcW w:w="20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林草植被恢复率(%)</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color w:val="000000"/>
                <w:sz w:val="21"/>
              </w:rPr>
              <w:t>97</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902" w:type="dxa"/>
            <w:tcBorders>
              <w:top w:val="single" w:color="auto" w:sz="4"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color w:val="000000"/>
                <w:sz w:val="21"/>
              </w:rPr>
            </w:pPr>
            <w:r>
              <w:rPr>
                <w:color w:val="000000"/>
                <w:sz w:val="21"/>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09" w:type="dxa"/>
            <w:tcBorders>
              <w:top w:val="single" w:color="auto" w:sz="4" w:space="0"/>
              <w:left w:val="single" w:color="auto" w:sz="12" w:space="0"/>
              <w:bottom w:val="single" w:color="auto" w:sz="12" w:space="0"/>
              <w:right w:val="single" w:color="auto" w:sz="4" w:space="0"/>
            </w:tcBorders>
            <w:noWrap w:val="0"/>
            <w:vAlign w:val="center"/>
          </w:tcPr>
          <w:p>
            <w:pPr>
              <w:spacing w:line="240" w:lineRule="auto"/>
              <w:ind w:firstLine="0" w:firstLineChars="0"/>
              <w:jc w:val="center"/>
              <w:rPr>
                <w:color w:val="000000"/>
                <w:sz w:val="21"/>
              </w:rPr>
            </w:pPr>
            <w:r>
              <w:rPr>
                <w:color w:val="000000"/>
                <w:sz w:val="21"/>
              </w:rPr>
              <w:t>6</w:t>
            </w:r>
          </w:p>
        </w:tc>
        <w:tc>
          <w:tcPr>
            <w:tcW w:w="2052"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林草覆盖率(%)</w:t>
            </w:r>
          </w:p>
        </w:tc>
        <w:tc>
          <w:tcPr>
            <w:tcW w:w="990"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1135"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color w:val="000000"/>
                <w:sz w:val="21"/>
              </w:rPr>
            </w:pPr>
            <w:r>
              <w:rPr>
                <w:color w:val="000000"/>
                <w:sz w:val="21"/>
              </w:rPr>
              <w:t>23</w:t>
            </w:r>
          </w:p>
        </w:tc>
        <w:tc>
          <w:tcPr>
            <w:tcW w:w="852"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color w:val="000000"/>
                <w:sz w:val="21"/>
              </w:rPr>
            </w:pPr>
          </w:p>
        </w:tc>
        <w:tc>
          <w:tcPr>
            <w:tcW w:w="1133"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rFonts w:hint="default" w:eastAsia="仿宋"/>
                <w:color w:val="000000"/>
                <w:sz w:val="21"/>
                <w:lang w:val="en-US" w:eastAsia="zh-CN"/>
              </w:rPr>
            </w:pPr>
            <w:r>
              <w:rPr>
                <w:color w:val="000000"/>
                <w:sz w:val="21"/>
                <w:highlight w:val="none"/>
              </w:rPr>
              <w:t>+</w:t>
            </w:r>
            <w:r>
              <w:rPr>
                <w:rFonts w:hint="eastAsia"/>
                <w:color w:val="000000"/>
                <w:sz w:val="21"/>
                <w:highlight w:val="none"/>
                <w:lang w:val="en-US" w:eastAsia="zh-CN"/>
              </w:rPr>
              <w:t>2</w:t>
            </w:r>
          </w:p>
        </w:tc>
        <w:tc>
          <w:tcPr>
            <w:tcW w:w="849" w:type="dxa"/>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color w:val="000000"/>
                <w:sz w:val="21"/>
              </w:rPr>
            </w:pPr>
            <w:r>
              <w:rPr>
                <w:rFonts w:hint="eastAsia"/>
                <w:color w:val="000000"/>
                <w:sz w:val="21"/>
              </w:rPr>
              <w:t>—</w:t>
            </w:r>
          </w:p>
        </w:tc>
        <w:tc>
          <w:tcPr>
            <w:tcW w:w="902" w:type="dxa"/>
            <w:tcBorders>
              <w:top w:val="single" w:color="auto" w:sz="4" w:space="0"/>
              <w:left w:val="single" w:color="auto" w:sz="4" w:space="0"/>
              <w:bottom w:val="single" w:color="auto" w:sz="12" w:space="0"/>
              <w:right w:val="single" w:color="auto" w:sz="12" w:space="0"/>
            </w:tcBorders>
            <w:noWrap w:val="0"/>
            <w:vAlign w:val="center"/>
          </w:tcPr>
          <w:p>
            <w:pPr>
              <w:spacing w:line="240" w:lineRule="auto"/>
              <w:ind w:firstLine="0" w:firstLineChars="0"/>
              <w:jc w:val="center"/>
              <w:rPr>
                <w:rFonts w:hint="default" w:eastAsia="仿宋"/>
                <w:color w:val="000000"/>
                <w:sz w:val="21"/>
                <w:lang w:val="en-US" w:eastAsia="zh-CN"/>
              </w:rPr>
            </w:pPr>
            <w:r>
              <w:rPr>
                <w:rFonts w:hint="eastAsia"/>
                <w:color w:val="000000"/>
                <w:sz w:val="21"/>
                <w:lang w:val="en-US" w:eastAsia="zh-CN"/>
              </w:rPr>
              <w:t>25</w:t>
            </w:r>
          </w:p>
        </w:tc>
      </w:tr>
    </w:tbl>
    <w:p>
      <w:pPr>
        <w:pStyle w:val="4"/>
        <w:bidi w:val="0"/>
      </w:pPr>
      <w:bookmarkStart w:id="55" w:name="_Toc24649"/>
      <w:bookmarkStart w:id="56" w:name="_Toc20527"/>
      <w:bookmarkStart w:id="57" w:name="_Toc13401"/>
      <w:bookmarkStart w:id="58" w:name="_Toc5071"/>
      <w:bookmarkStart w:id="59" w:name="_Toc19763"/>
      <w:bookmarkStart w:id="60" w:name="_Toc48656909"/>
      <w:r>
        <w:rPr>
          <w:rFonts w:hint="eastAsia"/>
        </w:rPr>
        <w:t>1.6主体工程水土保持分析与评价</w:t>
      </w:r>
      <w:bookmarkEnd w:id="55"/>
      <w:bookmarkEnd w:id="56"/>
      <w:bookmarkEnd w:id="57"/>
      <w:bookmarkEnd w:id="58"/>
      <w:bookmarkEnd w:id="59"/>
      <w:bookmarkEnd w:id="60"/>
    </w:p>
    <w:p>
      <w:pPr>
        <w:pStyle w:val="6"/>
        <w:keepNext/>
        <w:rPr>
          <w:rFonts w:hint="eastAsia"/>
          <w:color w:val="000000"/>
        </w:rPr>
      </w:pPr>
      <w:bookmarkStart w:id="61" w:name="_Toc394"/>
      <w:r>
        <w:rPr>
          <w:rFonts w:hint="eastAsia"/>
          <w:color w:val="000000"/>
        </w:rPr>
        <w:t>1.6.1主体工程选址（线）水土保持评价</w:t>
      </w:r>
      <w:bookmarkEnd w:id="61"/>
    </w:p>
    <w:p>
      <w:pPr>
        <w:ind w:firstLine="480"/>
        <w:rPr>
          <w:color w:val="000000"/>
          <w:kern w:val="0"/>
        </w:rPr>
      </w:pPr>
      <w:r>
        <w:rPr>
          <w:rFonts w:hint="eastAsia"/>
          <w:color w:val="000000"/>
          <w:kern w:val="0"/>
        </w:rPr>
        <w:t>根据《中华人民共和国水土保持法》、《生产建设项目水土保持技术标准》（</w:t>
      </w:r>
      <w:r>
        <w:rPr>
          <w:color w:val="000000"/>
          <w:kern w:val="0"/>
        </w:rPr>
        <w:t>GB50433-2018</w:t>
      </w:r>
      <w:r>
        <w:rPr>
          <w:rFonts w:hint="eastAsia"/>
          <w:color w:val="000000"/>
          <w:kern w:val="0"/>
        </w:rPr>
        <w:t>）等，项目属于允许类建设项目，符合</w:t>
      </w:r>
      <w:r>
        <w:rPr>
          <w:rFonts w:hint="eastAsia"/>
          <w:color w:val="000000"/>
          <w:kern w:val="0"/>
          <w:lang w:eastAsia="zh-CN"/>
        </w:rPr>
        <w:t>仪陇</w:t>
      </w:r>
      <w:r>
        <w:rPr>
          <w:rFonts w:hint="eastAsia"/>
          <w:color w:val="000000"/>
          <w:kern w:val="0"/>
        </w:rPr>
        <w:t>县城乡规划要求，项目区不属于水土流失严重和生态环境脆弱区以及易起严重水土流失和生态恶化的地区；项目用地未涉及国家水土保持监测网络中的水土保持监测站点和重点试验区，未占用国家确定的水土保持长期定位观测站。项目选址无明显的水土保持限制因素。</w:t>
      </w:r>
    </w:p>
    <w:p>
      <w:pPr>
        <w:pStyle w:val="6"/>
        <w:rPr>
          <w:rFonts w:hint="eastAsia"/>
          <w:color w:val="000000"/>
        </w:rPr>
      </w:pPr>
      <w:bookmarkStart w:id="62" w:name="_Toc4465"/>
      <w:r>
        <w:rPr>
          <w:rFonts w:hint="eastAsia"/>
          <w:color w:val="000000"/>
        </w:rPr>
        <w:t>1.6.2建设方案评价</w:t>
      </w:r>
      <w:bookmarkEnd w:id="62"/>
    </w:p>
    <w:p>
      <w:pPr>
        <w:ind w:firstLine="480"/>
      </w:pPr>
      <w:r>
        <w:rPr>
          <w:rFonts w:hint="eastAsia"/>
          <w:color w:val="000000"/>
          <w:kern w:val="0"/>
        </w:rPr>
        <w:t>本项目位于</w:t>
      </w:r>
      <w:r>
        <w:rPr>
          <w:rFonts w:hint="eastAsia" w:ascii="Times New Roman"/>
          <w:sz w:val="24"/>
          <w:szCs w:val="16"/>
        </w:rPr>
        <w:t>嘉陵江及沱江中下游国家级水土流失重点治理区</w:t>
      </w:r>
      <w:r>
        <w:rPr>
          <w:rFonts w:hint="eastAsia"/>
          <w:color w:val="000000"/>
          <w:kern w:val="0"/>
        </w:rPr>
        <w:t>，主体工程设计尽可能的提高了排水措施设计标准</w:t>
      </w:r>
      <w:r>
        <w:rPr>
          <w:rFonts w:hint="eastAsia"/>
          <w:color w:val="000000"/>
          <w:kern w:val="0"/>
          <w:lang w:eastAsia="zh-CN"/>
        </w:rPr>
        <w:t>。</w:t>
      </w:r>
      <w:r>
        <w:rPr>
          <w:rFonts w:hint="eastAsia"/>
          <w:color w:val="000000"/>
          <w:kern w:val="0"/>
          <w:lang w:val="en-US" w:eastAsia="zh-CN"/>
        </w:rPr>
        <w:t>项目占地1.02</w:t>
      </w:r>
      <w:r>
        <w:rPr>
          <w:rFonts w:hint="eastAsia"/>
          <w:color w:val="000000"/>
          <w:lang w:eastAsia="zh-CN"/>
        </w:rPr>
        <w:t>hm²</w:t>
      </w:r>
      <w:r>
        <w:rPr>
          <w:rFonts w:hint="eastAsia"/>
          <w:color w:val="000000"/>
          <w:vertAlign w:val="baseline"/>
          <w:lang w:eastAsia="zh-CN"/>
        </w:rPr>
        <w:t>，</w:t>
      </w:r>
      <w:r>
        <w:rPr>
          <w:rFonts w:hint="eastAsia"/>
          <w:color w:val="000000"/>
          <w:vertAlign w:val="baseline"/>
          <w:lang w:val="en-US" w:eastAsia="zh-CN"/>
        </w:rPr>
        <w:t>均为永久占地，在建设的过程中</w:t>
      </w:r>
      <w:r>
        <w:t>严格控制扰动地表和植被损坏范围、减少工程占地、加强工程管理、优化施工工艺，最大限度的减少工程建设带来的水土流失。</w:t>
      </w:r>
    </w:p>
    <w:p>
      <w:pPr>
        <w:ind w:firstLine="480"/>
      </w:pPr>
      <w:r>
        <w:t>从水土保持角度看，工程总平面布置以充分满足各功能要求为前提，配合施工工艺要求对各种建筑物、构筑物及相关设施进行合理布局。工程主体由</w:t>
      </w:r>
      <w:r>
        <w:rPr>
          <w:rFonts w:hint="eastAsia"/>
          <w:lang w:val="en-US" w:eastAsia="zh-CN"/>
        </w:rPr>
        <w:t>建筑构物区</w:t>
      </w:r>
      <w:r>
        <w:rPr>
          <w:rFonts w:hint="eastAsia"/>
        </w:rPr>
        <w:t>、</w:t>
      </w:r>
      <w:r>
        <w:rPr>
          <w:rFonts w:hint="eastAsia"/>
          <w:lang w:eastAsia="zh-CN"/>
        </w:rPr>
        <w:t>附属设施区、</w:t>
      </w:r>
      <w:r>
        <w:rPr>
          <w:rFonts w:hint="eastAsia"/>
        </w:rPr>
        <w:t>景观绿化</w:t>
      </w:r>
      <w:r>
        <w:rPr>
          <w:rFonts w:hint="eastAsia"/>
          <w:lang w:eastAsia="zh-CN"/>
        </w:rPr>
        <w:t>区</w:t>
      </w:r>
      <w:r>
        <w:rPr>
          <w:rFonts w:hint="eastAsia"/>
        </w:rPr>
        <w:t>等</w:t>
      </w:r>
      <w:r>
        <w:t>组成，严格控制施工</w:t>
      </w:r>
      <w:r>
        <w:rPr>
          <w:rFonts w:hint="eastAsia"/>
          <w:lang w:val="en-US" w:eastAsia="zh-CN"/>
        </w:rPr>
        <w:t>区域占地</w:t>
      </w:r>
      <w:r>
        <w:t>，同时考虑工程的平面布置和竖向布置相互协调结合。</w:t>
      </w:r>
    </w:p>
    <w:p>
      <w:pPr>
        <w:ind w:firstLine="480"/>
      </w:pPr>
      <w:r>
        <w:t>工程在建设过程不可避免</w:t>
      </w:r>
      <w:r>
        <w:rPr>
          <w:rFonts w:hint="eastAsia"/>
          <w:lang w:val="en-US" w:eastAsia="zh-CN"/>
        </w:rPr>
        <w:t>地</w:t>
      </w:r>
      <w:r>
        <w:t>产生土石方开挖、回填，工程通过施工工艺的优化设计，减少水土流失。</w:t>
      </w:r>
      <w:r>
        <w:rPr>
          <w:rFonts w:hint="eastAsia"/>
        </w:rPr>
        <w:t>本工程对施工开挖产生的土石方进行</w:t>
      </w:r>
      <w:r>
        <w:rPr>
          <w:rFonts w:hint="eastAsia"/>
          <w:lang w:val="en-US" w:eastAsia="zh-CN"/>
        </w:rPr>
        <w:t>项目内的合理</w:t>
      </w:r>
      <w:r>
        <w:rPr>
          <w:rFonts w:hint="eastAsia"/>
        </w:rPr>
        <w:t>回填，</w:t>
      </w:r>
      <w:r>
        <w:rPr>
          <w:rFonts w:hint="eastAsia"/>
          <w:lang w:val="en-US" w:eastAsia="zh-CN"/>
        </w:rPr>
        <w:t>且进行随挖随填，尽可能减少临时堆土和运输，</w:t>
      </w:r>
      <w:r>
        <w:rPr>
          <w:rFonts w:hint="default" w:ascii="Times New Roman" w:hAnsi="Times New Roman" w:cs="Times New Roman"/>
          <w:color w:val="auto"/>
          <w:kern w:val="0"/>
        </w:rPr>
        <w:t>实在无法回填的</w:t>
      </w:r>
      <w:r>
        <w:rPr>
          <w:rFonts w:hint="eastAsia"/>
          <w:lang w:val="en-US" w:eastAsia="zh-CN"/>
        </w:rPr>
        <w:t>均运输到指定的弃土场，</w:t>
      </w:r>
      <w:r>
        <w:rPr>
          <w:rFonts w:hint="default" w:ascii="Times New Roman" w:hAnsi="Times New Roman" w:cs="Times New Roman"/>
          <w:color w:val="auto"/>
          <w:kern w:val="0"/>
        </w:rPr>
        <w:t>并采取了相应的措施，</w:t>
      </w:r>
      <w:r>
        <w:rPr>
          <w:rFonts w:hint="eastAsia"/>
          <w:lang w:val="en-US" w:eastAsia="zh-CN"/>
        </w:rPr>
        <w:t>以减少水土流失的发生，</w:t>
      </w:r>
      <w:r>
        <w:t>能</w:t>
      </w:r>
      <w:r>
        <w:rPr>
          <w:rFonts w:hint="eastAsia"/>
        </w:rPr>
        <w:t>有效</w:t>
      </w:r>
      <w:r>
        <w:t>防治水土流失，满足水土保持要求。</w:t>
      </w:r>
      <w:r>
        <w:rPr>
          <w:rFonts w:hint="eastAsia"/>
        </w:rPr>
        <w:t>项目建设期未单独布设</w:t>
      </w:r>
      <w:r>
        <w:t>施工场地</w:t>
      </w:r>
      <w:r>
        <w:rPr>
          <w:rFonts w:hint="eastAsia"/>
        </w:rPr>
        <w:t>及临时堆土区，未</w:t>
      </w:r>
      <w:r>
        <w:t>新增临时占地，</w:t>
      </w:r>
      <w:r>
        <w:rPr>
          <w:rFonts w:hint="eastAsia"/>
        </w:rPr>
        <w:t>有效</w:t>
      </w:r>
      <w:r>
        <w:t>减少对周边环境的影响。</w:t>
      </w:r>
    </w:p>
    <w:p>
      <w:pPr>
        <w:ind w:firstLine="480"/>
        <w:rPr>
          <w:rFonts w:ascii="宋体" w:hAnsi="宋体"/>
          <w:szCs w:val="24"/>
        </w:rPr>
      </w:pPr>
      <w:r>
        <w:rPr>
          <w:rFonts w:hint="eastAsia"/>
        </w:rPr>
        <w:t>综上所述，</w:t>
      </w:r>
      <w:r>
        <w:t>本工程建设方案与布局符合水土流失防治要求。</w:t>
      </w:r>
    </w:p>
    <w:p>
      <w:pPr>
        <w:pStyle w:val="6"/>
        <w:keepNext/>
        <w:rPr>
          <w:color w:val="000000"/>
        </w:rPr>
      </w:pPr>
      <w:bookmarkStart w:id="63" w:name="_Toc27332"/>
      <w:r>
        <w:rPr>
          <w:rFonts w:hint="eastAsia"/>
          <w:color w:val="000000"/>
        </w:rPr>
        <w:t>1.6</w:t>
      </w:r>
      <w:r>
        <w:rPr>
          <w:rFonts w:eastAsia="Times New Roman"/>
          <w:color w:val="000000"/>
        </w:rPr>
        <w:t>.</w:t>
      </w:r>
      <w:r>
        <w:rPr>
          <w:rFonts w:hint="eastAsia"/>
          <w:color w:val="000000"/>
        </w:rPr>
        <w:t>3工程占地评价</w:t>
      </w:r>
      <w:bookmarkEnd w:id="63"/>
    </w:p>
    <w:p>
      <w:pPr>
        <w:ind w:firstLine="480"/>
        <w:rPr>
          <w:color w:val="000000"/>
        </w:rPr>
      </w:pPr>
      <w:r>
        <w:rPr>
          <w:rFonts w:hint="eastAsia"/>
          <w:color w:val="000000"/>
        </w:rPr>
        <w:t>（1）依据现场调查及查阅工程资料，本项目建设用地总占地面积</w:t>
      </w:r>
      <w:r>
        <w:rPr>
          <w:rFonts w:hint="eastAsia"/>
          <w:color w:val="000000"/>
          <w:lang w:val="en-US" w:eastAsia="zh-CN"/>
        </w:rPr>
        <w:t>1.02</w:t>
      </w:r>
      <w:r>
        <w:rPr>
          <w:rFonts w:hint="eastAsia"/>
          <w:color w:val="000000"/>
          <w:lang w:eastAsia="zh-CN"/>
        </w:rPr>
        <w:t>hm²</w:t>
      </w:r>
      <w:r>
        <w:rPr>
          <w:rFonts w:hint="eastAsia"/>
          <w:color w:val="000000"/>
        </w:rPr>
        <w:t>，</w:t>
      </w:r>
      <w:r>
        <w:rPr>
          <w:rFonts w:hint="eastAsia"/>
          <w:color w:val="000000"/>
          <w:lang w:val="en-US" w:eastAsia="zh-CN"/>
        </w:rPr>
        <w:t>永久占地1.02</w:t>
      </w:r>
      <w:r>
        <w:rPr>
          <w:rFonts w:hint="eastAsia"/>
          <w:color w:val="000000"/>
          <w:lang w:eastAsia="zh-CN"/>
        </w:rPr>
        <w:t>hm²</w:t>
      </w:r>
      <w:r>
        <w:rPr>
          <w:rFonts w:hint="eastAsia"/>
          <w:color w:val="000000"/>
          <w:vertAlign w:val="baseline"/>
          <w:lang w:eastAsia="zh-CN"/>
        </w:rPr>
        <w:t>，</w:t>
      </w:r>
      <w:r>
        <w:rPr>
          <w:rFonts w:hint="eastAsia"/>
          <w:color w:val="000000"/>
        </w:rPr>
        <w:t>占地类型为</w:t>
      </w:r>
      <w:r>
        <w:rPr>
          <w:rFonts w:hint="eastAsia"/>
          <w:color w:val="000000"/>
          <w:lang w:val="en-US" w:eastAsia="zh-CN"/>
        </w:rPr>
        <w:t>住宅用地</w:t>
      </w:r>
      <w:r>
        <w:rPr>
          <w:rFonts w:hint="eastAsia"/>
          <w:color w:val="000000"/>
        </w:rPr>
        <w:t>。</w:t>
      </w:r>
    </w:p>
    <w:p>
      <w:pPr>
        <w:ind w:firstLine="480"/>
        <w:rPr>
          <w:color w:val="000000"/>
        </w:rPr>
      </w:pPr>
      <w:r>
        <w:rPr>
          <w:rFonts w:hint="eastAsia"/>
          <w:color w:val="000000"/>
        </w:rPr>
        <w:t>（</w:t>
      </w:r>
      <w:r>
        <w:rPr>
          <w:rFonts w:hint="eastAsia"/>
          <w:color w:val="000000"/>
          <w:lang w:val="en-US" w:eastAsia="zh-CN"/>
        </w:rPr>
        <w:t>2</w:t>
      </w:r>
      <w:r>
        <w:rPr>
          <w:rFonts w:hint="eastAsia"/>
          <w:color w:val="000000"/>
        </w:rPr>
        <w:t>）工程占地区不属于基本农田保护区，对周围的生态环境影响较小。</w:t>
      </w:r>
    </w:p>
    <w:p>
      <w:pPr>
        <w:ind w:firstLine="480"/>
        <w:rPr>
          <w:color w:val="000000"/>
        </w:rPr>
      </w:pPr>
      <w:r>
        <w:rPr>
          <w:rFonts w:hint="eastAsia"/>
          <w:color w:val="000000"/>
        </w:rPr>
        <w:t>（</w:t>
      </w:r>
      <w:r>
        <w:rPr>
          <w:rFonts w:hint="eastAsia"/>
          <w:color w:val="000000"/>
          <w:lang w:val="en-US" w:eastAsia="zh-CN"/>
        </w:rPr>
        <w:t>3</w:t>
      </w:r>
      <w:r>
        <w:rPr>
          <w:rFonts w:hint="eastAsia"/>
          <w:color w:val="000000"/>
        </w:rPr>
        <w:t>）工程建设占地对地表的破坏主要以挖损、压占为主，破坏程度为轻度。土地损坏后地表除被永久</w:t>
      </w:r>
      <w:r>
        <w:rPr>
          <w:rFonts w:hint="eastAsia"/>
          <w:color w:val="000000"/>
          <w:lang w:val="en-US" w:eastAsia="zh-CN"/>
        </w:rPr>
        <w:t>砌筑和</w:t>
      </w:r>
      <w:r>
        <w:rPr>
          <w:rFonts w:hint="eastAsia"/>
          <w:color w:val="000000"/>
        </w:rPr>
        <w:t>硬化外，均为绿化用地，符合水土保持的相关规定。</w:t>
      </w:r>
      <w:r>
        <w:rPr>
          <w:rFonts w:hint="eastAsia" w:ascii="仿宋_GB2312" w:hAnsi="仿宋_GB2312" w:eastAsia="仿宋_GB2312" w:cs="仿宋_GB2312"/>
          <w:spacing w:val="3"/>
          <w:kern w:val="0"/>
        </w:rPr>
        <w:t>从水土保持角度分析，本工程建设占地对水土流失影响有限，占地类型符合水土保持的相关规定，占地规划可行，通过合理水土保持措施，其工程建设造成的水土流失不利影响可得到减免，符合水土保持要求。</w:t>
      </w:r>
    </w:p>
    <w:p>
      <w:pPr>
        <w:pStyle w:val="6"/>
        <w:rPr>
          <w:rFonts w:hint="eastAsia"/>
          <w:color w:val="000000"/>
        </w:rPr>
      </w:pPr>
      <w:bookmarkStart w:id="64" w:name="_Toc9448"/>
      <w:r>
        <w:rPr>
          <w:rFonts w:hint="eastAsia"/>
          <w:color w:val="000000"/>
        </w:rPr>
        <w:t>1.6.4土石方平衡评价</w:t>
      </w:r>
      <w:bookmarkEnd w:id="64"/>
    </w:p>
    <w:p>
      <w:pPr>
        <w:pStyle w:val="2"/>
        <w:ind w:firstLine="492" w:firstLineChars="200"/>
        <w:rPr>
          <w:rFonts w:hint="default" w:ascii="仿宋_GB2312" w:hAnsi="仿宋_GB2312" w:eastAsia="仿宋_GB2312" w:cs="仿宋_GB2312"/>
          <w:spacing w:val="3"/>
          <w:kern w:val="0"/>
          <w:sz w:val="24"/>
          <w:szCs w:val="22"/>
          <w:highlight w:val="none"/>
          <w:lang w:val="en-US" w:eastAsia="zh-CN" w:bidi="ar-SA"/>
        </w:rPr>
      </w:pPr>
      <w:r>
        <w:rPr>
          <w:rFonts w:hint="eastAsia" w:ascii="仿宋_GB2312" w:hAnsi="仿宋_GB2312" w:eastAsia="仿宋_GB2312" w:cs="仿宋_GB2312"/>
          <w:spacing w:val="3"/>
          <w:kern w:val="0"/>
          <w:sz w:val="24"/>
          <w:szCs w:val="22"/>
          <w:highlight w:val="none"/>
          <w:lang w:val="en-US" w:eastAsia="zh-CN" w:bidi="ar-SA"/>
        </w:rPr>
        <w:t>经土石方平衡分析，项目土石方总开挖量1.1万m³，土石方回填总量0.83万m³（含外购种植土0.14万m³），</w:t>
      </w:r>
      <w:r>
        <w:rPr>
          <w:rFonts w:hint="eastAsia" w:ascii="Times New Roman" w:hAnsi="Times New Roman" w:cs="Times New Roman"/>
          <w:color w:val="000000"/>
          <w:kern w:val="2"/>
          <w:sz w:val="24"/>
          <w:szCs w:val="22"/>
          <w:lang w:val="en-US" w:eastAsia="zh-CN" w:bidi="ar-SA"/>
        </w:rPr>
        <w:t>产生</w:t>
      </w:r>
      <w:r>
        <w:rPr>
          <w:rFonts w:hint="eastAsia" w:ascii="Times New Roman" w:hAnsi="Times New Roman" w:eastAsia="仿宋" w:cs="Times New Roman"/>
          <w:color w:val="000000"/>
          <w:kern w:val="2"/>
          <w:sz w:val="24"/>
          <w:szCs w:val="22"/>
          <w:lang w:val="en-US" w:eastAsia="zh-CN" w:bidi="ar-SA"/>
        </w:rPr>
        <w:t>借方0.14万m³（含种植土0.14万m³），来源为外购</w:t>
      </w:r>
      <w:r>
        <w:rPr>
          <w:rFonts w:hint="eastAsia" w:ascii="Times New Roman" w:hAnsi="Times New Roman" w:cs="Times New Roman"/>
          <w:color w:val="000000"/>
          <w:kern w:val="2"/>
          <w:sz w:val="24"/>
          <w:szCs w:val="22"/>
          <w:lang w:val="en-US" w:eastAsia="zh-CN" w:bidi="ar-SA"/>
        </w:rPr>
        <w:t>，</w:t>
      </w:r>
      <w:r>
        <w:rPr>
          <w:rFonts w:hint="eastAsia" w:ascii="仿宋_GB2312" w:hAnsi="仿宋_GB2312" w:eastAsia="仿宋_GB2312" w:cs="仿宋_GB2312"/>
          <w:spacing w:val="3"/>
          <w:kern w:val="0"/>
          <w:sz w:val="24"/>
          <w:szCs w:val="22"/>
          <w:highlight w:val="none"/>
          <w:lang w:val="en-US" w:eastAsia="zh-CN" w:bidi="ar-SA"/>
        </w:rPr>
        <w:t>产生弃方共计0.41万m³，</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pStyle w:val="6"/>
        <w:rPr>
          <w:rFonts w:hint="eastAsia"/>
          <w:color w:val="000000"/>
        </w:rPr>
      </w:pPr>
      <w:bookmarkStart w:id="65" w:name="_Toc16535"/>
      <w:r>
        <w:rPr>
          <w:rFonts w:hint="eastAsia"/>
          <w:color w:val="000000"/>
        </w:rPr>
        <w:t>1.6.5取土（石、砂）场设置评价</w:t>
      </w:r>
      <w:bookmarkEnd w:id="65"/>
    </w:p>
    <w:p>
      <w:pPr>
        <w:ind w:firstLine="480"/>
        <w:rPr>
          <w:rFonts w:hint="eastAsia"/>
          <w:color w:val="000000"/>
        </w:rPr>
      </w:pPr>
      <w:r>
        <w:rPr>
          <w:rFonts w:hint="eastAsia"/>
          <w:color w:val="000000"/>
        </w:rPr>
        <w:t>经土石方平衡分析，本项目无需取土，故本项目未设置取土场，有利于水土保持，符合水土保持要求。</w:t>
      </w:r>
    </w:p>
    <w:p>
      <w:pPr>
        <w:pStyle w:val="6"/>
        <w:keepNext/>
        <w:rPr>
          <w:rFonts w:hint="eastAsia"/>
          <w:color w:val="000000"/>
          <w:highlight w:val="none"/>
        </w:rPr>
      </w:pPr>
      <w:bookmarkStart w:id="66" w:name="_Toc31210"/>
      <w:r>
        <w:rPr>
          <w:rFonts w:hint="eastAsia"/>
          <w:color w:val="000000"/>
          <w:highlight w:val="none"/>
        </w:rPr>
        <w:t>1.6.6余方处置评价</w:t>
      </w:r>
      <w:bookmarkEnd w:id="66"/>
    </w:p>
    <w:p>
      <w:pPr>
        <w:widowControl/>
        <w:ind w:firstLine="480"/>
        <w:rPr>
          <w:rFonts w:hint="default" w:ascii="Times New Roman" w:hAnsi="Times New Roman" w:cs="Times New Roman"/>
          <w:color w:val="auto"/>
          <w:kern w:val="0"/>
        </w:rPr>
      </w:pPr>
      <w:r>
        <w:rPr>
          <w:rFonts w:hint="default" w:ascii="Times New Roman" w:hAnsi="Times New Roman" w:cs="Times New Roman"/>
          <w:color w:val="auto"/>
          <w:kern w:val="0"/>
        </w:rPr>
        <w:t>从水土保持角度分析，项目开挖的土石方尽量内部转运综合利用，实在无法回填的</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r>
        <w:rPr>
          <w:rFonts w:hint="default" w:ascii="Times New Roman" w:hAnsi="Times New Roman" w:cs="Times New Roman"/>
          <w:color w:val="auto"/>
          <w:kern w:val="0"/>
        </w:rPr>
        <w:t>并采取了相应的措施，能有效地减少了新增水土流失量，</w:t>
      </w:r>
      <w:r>
        <w:rPr>
          <w:rFonts w:hint="eastAsia" w:cs="Times New Roman"/>
          <w:color w:val="auto"/>
          <w:kern w:val="0"/>
          <w:lang w:eastAsia="zh-CN"/>
        </w:rPr>
        <w:t>因此余方处置合理</w:t>
      </w:r>
      <w:r>
        <w:rPr>
          <w:rFonts w:hint="default" w:ascii="Times New Roman" w:hAnsi="Times New Roman" w:cs="Times New Roman"/>
          <w:color w:val="auto"/>
          <w:kern w:val="0"/>
        </w:rPr>
        <w:t>。</w:t>
      </w:r>
    </w:p>
    <w:p>
      <w:pPr>
        <w:pStyle w:val="6"/>
        <w:keepNext/>
        <w:rPr>
          <w:color w:val="000000"/>
        </w:rPr>
      </w:pPr>
      <w:bookmarkStart w:id="67" w:name="_Toc10435"/>
      <w:r>
        <w:rPr>
          <w:rFonts w:hint="eastAsia"/>
          <w:color w:val="000000"/>
        </w:rPr>
        <w:t>1.6</w:t>
      </w:r>
      <w:r>
        <w:rPr>
          <w:color w:val="000000"/>
        </w:rPr>
        <w:t>.</w:t>
      </w:r>
      <w:r>
        <w:rPr>
          <w:rFonts w:hint="eastAsia"/>
          <w:color w:val="000000"/>
        </w:rPr>
        <w:t>7施工方法与工艺评价</w:t>
      </w:r>
      <w:bookmarkEnd w:id="67"/>
    </w:p>
    <w:p>
      <w:pPr>
        <w:ind w:firstLine="480"/>
      </w:pPr>
      <w:r>
        <w:rPr>
          <w:rFonts w:hint="eastAsia"/>
          <w:color w:val="000000"/>
        </w:rPr>
        <w:t>本项目土石方开挖、回填、混凝土浇筑等作业均采用机械化施工，人工辅助的施工方法，采用现今大量使用的成熟施工工艺，土石方开挖与回填紧密结合，尽可能减少工程的临时堆土，以及开挖回填面的裸露时间，从水土保持角度分析，本项目施工方法与工艺可行，符合水土保持要求。</w:t>
      </w:r>
    </w:p>
    <w:p>
      <w:pPr>
        <w:pStyle w:val="4"/>
        <w:keepNext w:val="0"/>
        <w:rPr>
          <w:rFonts w:hint="eastAsia"/>
          <w:color w:val="000000"/>
        </w:rPr>
      </w:pPr>
      <w:bookmarkStart w:id="68" w:name="_Toc2379"/>
      <w:bookmarkStart w:id="69" w:name="_Toc32186"/>
      <w:bookmarkStart w:id="70" w:name="_Toc19441"/>
      <w:bookmarkStart w:id="71" w:name="_Toc16429"/>
      <w:r>
        <w:rPr>
          <w:rFonts w:hint="eastAsia"/>
          <w:color w:val="000000"/>
        </w:rPr>
        <w:t>1.7水土流失</w:t>
      </w:r>
      <w:r>
        <w:rPr>
          <w:rFonts w:hint="eastAsia"/>
          <w:color w:val="000000"/>
          <w:lang w:val="en-US" w:eastAsia="zh-CN"/>
        </w:rPr>
        <w:t>预测</w:t>
      </w:r>
      <w:r>
        <w:rPr>
          <w:rFonts w:hint="eastAsia"/>
          <w:color w:val="000000"/>
        </w:rPr>
        <w:t>结果</w:t>
      </w:r>
      <w:bookmarkEnd w:id="68"/>
      <w:bookmarkEnd w:id="69"/>
      <w:bookmarkEnd w:id="70"/>
      <w:bookmarkEnd w:id="71"/>
    </w:p>
    <w:p>
      <w:pPr>
        <w:ind w:firstLine="480" w:firstLineChars="200"/>
        <w:rPr>
          <w:rFonts w:hint="eastAsia" w:ascii="Times New Roman" w:hAnsi="Times New Roman"/>
          <w:color w:val="auto"/>
          <w:highlight w:val="none"/>
        </w:rPr>
      </w:pPr>
      <w:r>
        <w:rPr>
          <w:rFonts w:hint="eastAsia" w:ascii="Times New Roman" w:hAnsi="Times New Roman"/>
          <w:color w:val="auto"/>
          <w:highlight w:val="none"/>
        </w:rPr>
        <w:t>通过工程建设过程中水土流失类型、分布及</w:t>
      </w:r>
      <w:r>
        <w:rPr>
          <w:rFonts w:hint="eastAsia"/>
          <w:color w:val="auto"/>
          <w:highlight w:val="none"/>
          <w:lang w:eastAsia="zh-CN"/>
        </w:rPr>
        <w:t>土壤流失</w:t>
      </w:r>
      <w:r>
        <w:rPr>
          <w:rFonts w:hint="eastAsia" w:ascii="Times New Roman" w:hAnsi="Times New Roman"/>
          <w:color w:val="auto"/>
          <w:highlight w:val="none"/>
        </w:rPr>
        <w:t>量进行综合分析和预测，可知工程建设过程中，由于建设项目</w:t>
      </w:r>
      <w:r>
        <w:rPr>
          <w:rFonts w:hint="eastAsia" w:ascii="Times New Roman" w:hAnsi="Times New Roman"/>
          <w:color w:val="auto"/>
          <w:highlight w:val="none"/>
          <w:lang w:val="en-US" w:eastAsia="zh-CN"/>
        </w:rPr>
        <w:t>土方</w:t>
      </w:r>
      <w:r>
        <w:rPr>
          <w:rFonts w:hint="eastAsia" w:ascii="Times New Roman" w:hAnsi="Times New Roman"/>
          <w:color w:val="auto"/>
          <w:highlight w:val="none"/>
        </w:rPr>
        <w:t>开挖、回填、绿化等单元的人为施工</w:t>
      </w:r>
      <w:r>
        <w:rPr>
          <w:rFonts w:hint="eastAsia"/>
          <w:color w:val="auto"/>
          <w:highlight w:val="none"/>
          <w:lang w:eastAsia="zh-CN"/>
        </w:rPr>
        <w:t>扰动</w:t>
      </w:r>
      <w:r>
        <w:rPr>
          <w:rFonts w:hint="eastAsia" w:ascii="Times New Roman" w:hAnsi="Times New Roman"/>
          <w:color w:val="auto"/>
          <w:highlight w:val="none"/>
        </w:rPr>
        <w:t>，在未防护的情况下，会造成严重的水土流失，主要</w:t>
      </w:r>
      <w:r>
        <w:rPr>
          <w:rFonts w:hint="eastAsia"/>
          <w:color w:val="auto"/>
          <w:highlight w:val="none"/>
          <w:lang w:val="en-US" w:eastAsia="zh-CN"/>
        </w:rPr>
        <w:t>调查与</w:t>
      </w:r>
      <w:r>
        <w:rPr>
          <w:rFonts w:hint="eastAsia" w:ascii="Times New Roman" w:hAnsi="Times New Roman"/>
          <w:color w:val="auto"/>
          <w:highlight w:val="none"/>
        </w:rPr>
        <w:t>预测结论如下：</w:t>
      </w:r>
    </w:p>
    <w:p>
      <w:pPr>
        <w:ind w:firstLine="480"/>
        <w:rPr>
          <w:rFonts w:ascii="Times New Roman" w:hAnsi="Times New Roman"/>
          <w:color w:val="auto"/>
          <w:highlight w:val="none"/>
        </w:rPr>
      </w:pPr>
      <w:r>
        <w:rPr>
          <w:rFonts w:hint="eastAsia" w:ascii="Times New Roman" w:hAnsi="Times New Roman"/>
          <w:color w:val="auto"/>
          <w:highlight w:val="none"/>
        </w:rPr>
        <w:t>（1）</w:t>
      </w:r>
      <w:r>
        <w:rPr>
          <w:rFonts w:ascii="Times New Roman" w:hAnsi="Times New Roman"/>
          <w:color w:val="auto"/>
          <w:szCs w:val="32"/>
          <w:highlight w:val="none"/>
        </w:rPr>
        <w:t>工程</w:t>
      </w:r>
      <w:r>
        <w:rPr>
          <w:rFonts w:hint="eastAsia" w:ascii="Times New Roman" w:hAnsi="Times New Roman"/>
          <w:color w:val="auto"/>
          <w:szCs w:val="32"/>
          <w:highlight w:val="none"/>
        </w:rPr>
        <w:t>扰动地表</w:t>
      </w:r>
      <w:r>
        <w:rPr>
          <w:rFonts w:ascii="Times New Roman" w:hAnsi="Times New Roman"/>
          <w:color w:val="auto"/>
          <w:szCs w:val="32"/>
          <w:highlight w:val="none"/>
        </w:rPr>
        <w:t>面积为</w:t>
      </w:r>
      <w:r>
        <w:rPr>
          <w:rFonts w:hint="eastAsia"/>
          <w:color w:val="auto"/>
          <w:szCs w:val="32"/>
          <w:highlight w:val="none"/>
          <w:lang w:val="en-US" w:eastAsia="zh-CN"/>
        </w:rPr>
        <w:t>1.02</w:t>
      </w:r>
      <w:r>
        <w:rPr>
          <w:rFonts w:hint="eastAsia"/>
          <w:color w:val="auto"/>
          <w:szCs w:val="32"/>
          <w:highlight w:val="none"/>
          <w:lang w:eastAsia="zh-CN"/>
        </w:rPr>
        <w:t>hm²</w:t>
      </w:r>
      <w:r>
        <w:rPr>
          <w:rFonts w:hint="eastAsia" w:ascii="Times New Roman" w:hAnsi="Times New Roman"/>
          <w:color w:val="auto"/>
          <w:szCs w:val="32"/>
          <w:highlight w:val="none"/>
        </w:rPr>
        <w:t>，</w:t>
      </w:r>
      <w:r>
        <w:rPr>
          <w:rFonts w:hint="eastAsia" w:ascii="Times New Roman" w:hAnsi="Times New Roman"/>
          <w:color w:val="auto"/>
          <w:szCs w:val="32"/>
          <w:highlight w:val="none"/>
          <w:lang w:eastAsia="zh-CN"/>
        </w:rPr>
        <w:t>由于项目区原地貌表层土主要为夯实土、石方，无植被覆盖，因此无损毁植被</w:t>
      </w:r>
      <w:r>
        <w:rPr>
          <w:rFonts w:ascii="Times New Roman" w:hAnsi="Times New Roman"/>
          <w:color w:val="auto"/>
          <w:szCs w:val="32"/>
          <w:highlight w:val="none"/>
        </w:rPr>
        <w:t>。</w:t>
      </w:r>
    </w:p>
    <w:p>
      <w:pPr>
        <w:pStyle w:val="2"/>
        <w:ind w:firstLine="480" w:firstLineChars="200"/>
        <w:rPr>
          <w:rFonts w:hint="default" w:ascii="仿宋_GB2312" w:hAnsi="仿宋_GB2312" w:eastAsia="仿宋_GB2312" w:cs="仿宋_GB2312"/>
          <w:spacing w:val="3"/>
          <w:kern w:val="0"/>
          <w:sz w:val="24"/>
          <w:szCs w:val="22"/>
          <w:highlight w:val="none"/>
          <w:lang w:val="en-US" w:eastAsia="zh-CN" w:bidi="ar-SA"/>
        </w:rPr>
      </w:pPr>
      <w:r>
        <w:rPr>
          <w:rFonts w:hint="eastAsia" w:ascii="Times New Roman" w:hAnsi="Times New Roman" w:eastAsia="仿宋" w:cs="Times New Roman"/>
          <w:color w:val="auto"/>
          <w:kern w:val="2"/>
          <w:sz w:val="24"/>
          <w:szCs w:val="22"/>
          <w:highlight w:val="none"/>
          <w:lang w:val="en-US" w:eastAsia="zh-CN" w:bidi="ar-SA"/>
        </w:rPr>
        <w:t>（2）本项目土石方总开挖量为</w:t>
      </w:r>
      <w:r>
        <w:rPr>
          <w:rFonts w:hint="eastAsia" w:ascii="仿宋_GB2312" w:hAnsi="仿宋_GB2312" w:eastAsia="仿宋_GB2312" w:cs="仿宋_GB2312"/>
          <w:spacing w:val="3"/>
          <w:kern w:val="0"/>
          <w:sz w:val="24"/>
          <w:szCs w:val="22"/>
          <w:highlight w:val="none"/>
          <w:lang w:val="en-US" w:eastAsia="zh-CN" w:bidi="ar-SA"/>
        </w:rPr>
        <w:t>1.1万m³，土石方回填总量0.83万m³（含外购种植土0.14万m³），</w:t>
      </w:r>
      <w:r>
        <w:rPr>
          <w:rFonts w:hint="eastAsia" w:ascii="Times New Roman" w:hAnsi="Times New Roman" w:cs="Times New Roman"/>
          <w:color w:val="000000"/>
          <w:kern w:val="2"/>
          <w:sz w:val="24"/>
          <w:szCs w:val="22"/>
          <w:lang w:val="en-US" w:eastAsia="zh-CN" w:bidi="ar-SA"/>
        </w:rPr>
        <w:t>产生</w:t>
      </w:r>
      <w:r>
        <w:rPr>
          <w:rFonts w:hint="eastAsia" w:ascii="Times New Roman" w:hAnsi="Times New Roman" w:eastAsia="仿宋" w:cs="Times New Roman"/>
          <w:color w:val="000000"/>
          <w:kern w:val="2"/>
          <w:sz w:val="24"/>
          <w:szCs w:val="22"/>
          <w:lang w:val="en-US" w:eastAsia="zh-CN" w:bidi="ar-SA"/>
        </w:rPr>
        <w:t>借方0.14万m³（含种植土0.14万m³），来源为外购</w:t>
      </w:r>
      <w:r>
        <w:rPr>
          <w:rFonts w:hint="eastAsia" w:ascii="Times New Roman" w:hAnsi="Times New Roman" w:cs="Times New Roman"/>
          <w:color w:val="000000"/>
          <w:kern w:val="2"/>
          <w:sz w:val="24"/>
          <w:szCs w:val="22"/>
          <w:lang w:val="en-US" w:eastAsia="zh-CN" w:bidi="ar-SA"/>
        </w:rPr>
        <w:t>，</w:t>
      </w:r>
      <w:r>
        <w:rPr>
          <w:rFonts w:hint="eastAsia" w:ascii="仿宋_GB2312" w:hAnsi="仿宋_GB2312" w:eastAsia="仿宋_GB2312" w:cs="仿宋_GB2312"/>
          <w:spacing w:val="3"/>
          <w:kern w:val="0"/>
          <w:sz w:val="24"/>
          <w:szCs w:val="22"/>
          <w:highlight w:val="none"/>
          <w:lang w:val="en-US" w:eastAsia="zh-CN" w:bidi="ar-SA"/>
        </w:rPr>
        <w:t>产生弃方共计0.41万m³，</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ind w:firstLine="480"/>
        <w:rPr>
          <w:rFonts w:hint="eastAsia"/>
          <w:color w:val="auto"/>
          <w:highlight w:val="none"/>
        </w:rPr>
      </w:pPr>
      <w:r>
        <w:rPr>
          <w:rFonts w:hint="eastAsia" w:ascii="Times New Roman" w:hAnsi="Times New Roman" w:eastAsia="仿宋" w:cs="Times New Roman"/>
          <w:color w:val="auto"/>
          <w:kern w:val="2"/>
          <w:sz w:val="24"/>
          <w:szCs w:val="32"/>
          <w:highlight w:val="none"/>
          <w:lang w:val="en-US" w:eastAsia="zh-CN" w:bidi="ar-SA"/>
        </w:rPr>
        <w:t>（3）根据水土流失预测分析，如果在项目建设中不采取任何水土保持措施，本项目工程建设将会产生水土流失量</w:t>
      </w:r>
      <w:r>
        <w:rPr>
          <w:rFonts w:hint="eastAsia" w:cs="Times New Roman"/>
          <w:color w:val="auto"/>
          <w:kern w:val="2"/>
          <w:sz w:val="24"/>
          <w:szCs w:val="32"/>
          <w:highlight w:val="none"/>
          <w:lang w:val="en-US" w:eastAsia="zh-CN" w:bidi="ar-SA"/>
        </w:rPr>
        <w:t>22.3</w:t>
      </w:r>
      <w:r>
        <w:rPr>
          <w:rFonts w:hint="eastAsia" w:ascii="Times New Roman" w:hAnsi="Times New Roman" w:eastAsia="仿宋" w:cs="Times New Roman"/>
          <w:color w:val="auto"/>
          <w:kern w:val="2"/>
          <w:sz w:val="24"/>
          <w:szCs w:val="32"/>
          <w:highlight w:val="none"/>
          <w:lang w:val="en-US" w:eastAsia="zh-CN" w:bidi="ar-SA"/>
        </w:rPr>
        <w:t>t，新增水土流失总量为</w:t>
      </w:r>
      <w:r>
        <w:rPr>
          <w:rFonts w:hint="eastAsia" w:cs="Times New Roman"/>
          <w:color w:val="auto"/>
          <w:kern w:val="2"/>
          <w:sz w:val="24"/>
          <w:szCs w:val="32"/>
          <w:highlight w:val="none"/>
          <w:lang w:val="en-US" w:eastAsia="zh-CN" w:bidi="ar-SA"/>
        </w:rPr>
        <w:t>16.59</w:t>
      </w:r>
      <w:r>
        <w:rPr>
          <w:rFonts w:hint="eastAsia" w:ascii="Times New Roman" w:hAnsi="Times New Roman" w:eastAsia="仿宋" w:cs="Times New Roman"/>
          <w:color w:val="auto"/>
          <w:kern w:val="2"/>
          <w:sz w:val="24"/>
          <w:szCs w:val="32"/>
          <w:highlight w:val="none"/>
          <w:lang w:val="en-US" w:eastAsia="zh-CN" w:bidi="ar-SA"/>
        </w:rPr>
        <w:t>t。</w:t>
      </w:r>
      <w:r>
        <w:rPr>
          <w:rFonts w:hint="eastAsia"/>
          <w:color w:val="auto"/>
          <w:highlight w:val="none"/>
        </w:rPr>
        <w:t>新增水土流失量中，</w:t>
      </w:r>
      <w:r>
        <w:rPr>
          <w:rFonts w:hint="eastAsia" w:ascii="Times New Roman" w:hAnsi="Times New Roman" w:cs="Times New Roman"/>
          <w:color w:val="auto"/>
          <w:highlight w:val="none"/>
          <w:lang w:val="en-US" w:eastAsia="zh-CN"/>
        </w:rPr>
        <w:t>自然恢复期新增水土流失量</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t，</w:t>
      </w:r>
      <w:r>
        <w:rPr>
          <w:rFonts w:hint="eastAsia" w:cs="Times New Roman"/>
          <w:color w:val="auto"/>
          <w:highlight w:val="none"/>
          <w:lang w:val="en-US" w:eastAsia="zh-CN"/>
        </w:rPr>
        <w:t>建筑构物区新增水土流失量7.72t，占新增水土流失总量的47%。</w:t>
      </w:r>
      <w:r>
        <w:rPr>
          <w:rFonts w:hint="eastAsia" w:ascii="Times New Roman" w:hAnsi="Times New Roman" w:cs="Times New Roman"/>
          <w:color w:val="auto"/>
          <w:highlight w:val="none"/>
          <w:lang w:val="en-US" w:eastAsia="zh-CN"/>
        </w:rPr>
        <w:t>因此</w:t>
      </w:r>
      <w:r>
        <w:rPr>
          <w:rFonts w:hint="eastAsia"/>
          <w:color w:val="auto"/>
          <w:highlight w:val="none"/>
          <w:lang w:val="en-US" w:eastAsia="zh-CN"/>
        </w:rPr>
        <w:t>施工期</w:t>
      </w:r>
      <w:r>
        <w:rPr>
          <w:rFonts w:hint="eastAsia"/>
          <w:color w:val="auto"/>
          <w:highlight w:val="none"/>
        </w:rPr>
        <w:t>是产生水土流失最为严重的时期，</w:t>
      </w:r>
      <w:r>
        <w:rPr>
          <w:rFonts w:hint="eastAsia"/>
          <w:color w:val="auto"/>
          <w:highlight w:val="none"/>
          <w:lang w:val="en-US" w:eastAsia="zh-CN"/>
        </w:rPr>
        <w:t>建筑构物区</w:t>
      </w:r>
      <w:r>
        <w:rPr>
          <w:rFonts w:hint="eastAsia"/>
          <w:color w:val="auto"/>
          <w:highlight w:val="none"/>
        </w:rPr>
        <w:t>是水土流失的集中区域。因此，</w:t>
      </w:r>
      <w:r>
        <w:rPr>
          <w:rFonts w:hint="eastAsia"/>
          <w:color w:val="auto"/>
          <w:highlight w:val="none"/>
          <w:lang w:val="en-US" w:eastAsia="zh-CN"/>
        </w:rPr>
        <w:t>施工期</w:t>
      </w:r>
      <w:r>
        <w:rPr>
          <w:rFonts w:hint="eastAsia"/>
          <w:color w:val="auto"/>
          <w:highlight w:val="none"/>
        </w:rPr>
        <w:t>应作为工程区水土流失防治和水土保持监测的重点时段，</w:t>
      </w:r>
      <w:r>
        <w:rPr>
          <w:rFonts w:hint="eastAsia"/>
          <w:color w:val="auto"/>
          <w:highlight w:val="none"/>
          <w:lang w:val="en-US" w:eastAsia="zh-CN"/>
        </w:rPr>
        <w:t>建筑构物区</w:t>
      </w:r>
      <w:r>
        <w:rPr>
          <w:rFonts w:hint="eastAsia"/>
          <w:color w:val="auto"/>
          <w:highlight w:val="none"/>
        </w:rPr>
        <w:t>应作为水土保持监测的重点区域。</w:t>
      </w:r>
    </w:p>
    <w:p>
      <w:pPr>
        <w:ind w:firstLine="480" w:firstLineChars="200"/>
        <w:rPr>
          <w:rFonts w:hint="eastAsia" w:eastAsia="仿宋_GB2312"/>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ascii="Times New Roman" w:hAnsi="Times New Roman"/>
          <w:color w:val="auto"/>
          <w:highlight w:val="none"/>
        </w:rPr>
        <w:t>工程建设对当地水土流失的影响主要表现为施工过程中对地面的扰动，在一定程度上改变、破坏了原有地貌及植被，在不同程度上对原有水土保持设施造成了一定的破坏，造成土层松散和土壤抗蚀能力减弱，使土壤失去了原有的理化性状，从而加剧了项目建设区的水土流失，流失的土壤进入</w:t>
      </w:r>
      <w:r>
        <w:rPr>
          <w:rFonts w:hint="eastAsia"/>
          <w:color w:val="auto"/>
          <w:highlight w:val="none"/>
          <w:lang w:eastAsia="zh-CN"/>
        </w:rPr>
        <w:t>市政管网</w:t>
      </w:r>
      <w:r>
        <w:rPr>
          <w:rFonts w:hint="eastAsia" w:ascii="Times New Roman" w:hAnsi="Times New Roman"/>
          <w:color w:val="auto"/>
          <w:highlight w:val="none"/>
        </w:rPr>
        <w:t>后，</w:t>
      </w:r>
      <w:r>
        <w:rPr>
          <w:rFonts w:hint="eastAsia"/>
          <w:color w:val="auto"/>
          <w:highlight w:val="none"/>
          <w:lang w:eastAsia="zh-CN"/>
        </w:rPr>
        <w:t>可能</w:t>
      </w:r>
      <w:r>
        <w:rPr>
          <w:rFonts w:hint="eastAsia" w:ascii="Times New Roman" w:hAnsi="Times New Roman"/>
          <w:color w:val="auto"/>
          <w:highlight w:val="none"/>
        </w:rPr>
        <w:t>会造成</w:t>
      </w:r>
      <w:r>
        <w:rPr>
          <w:rFonts w:hint="eastAsia"/>
          <w:color w:val="auto"/>
          <w:highlight w:val="none"/>
          <w:lang w:eastAsia="zh-CN"/>
        </w:rPr>
        <w:t>市政管网</w:t>
      </w:r>
      <w:r>
        <w:rPr>
          <w:rFonts w:hint="eastAsia" w:ascii="Times New Roman" w:hAnsi="Times New Roman"/>
          <w:color w:val="auto"/>
          <w:highlight w:val="none"/>
        </w:rPr>
        <w:t>淤积，影响</w:t>
      </w:r>
      <w:r>
        <w:rPr>
          <w:rFonts w:hint="eastAsia"/>
          <w:color w:val="auto"/>
          <w:highlight w:val="none"/>
          <w:lang w:eastAsia="zh-CN"/>
        </w:rPr>
        <w:t>周边</w:t>
      </w:r>
      <w:r>
        <w:rPr>
          <w:rFonts w:hint="eastAsia" w:ascii="Times New Roman" w:hAnsi="Times New Roman"/>
          <w:color w:val="auto"/>
          <w:highlight w:val="none"/>
        </w:rPr>
        <w:t>河道行洪</w:t>
      </w:r>
      <w:r>
        <w:rPr>
          <w:rFonts w:hint="eastAsia"/>
          <w:color w:val="auto"/>
          <w:highlight w:val="none"/>
        </w:rPr>
        <w:t>。</w:t>
      </w:r>
    </w:p>
    <w:p>
      <w:pPr>
        <w:pStyle w:val="4"/>
        <w:keepNext w:val="0"/>
        <w:rPr>
          <w:rFonts w:hint="eastAsia"/>
          <w:color w:val="000000"/>
        </w:rPr>
      </w:pPr>
      <w:bookmarkStart w:id="72" w:name="_Toc21163"/>
      <w:bookmarkStart w:id="73" w:name="_Toc48656911"/>
      <w:bookmarkStart w:id="74" w:name="_Toc29104"/>
      <w:bookmarkStart w:id="75" w:name="_Toc14941"/>
      <w:bookmarkStart w:id="76" w:name="_Toc20596"/>
      <w:bookmarkStart w:id="77" w:name="_Toc4607"/>
      <w:r>
        <w:rPr>
          <w:rFonts w:hint="eastAsia"/>
          <w:color w:val="000000"/>
        </w:rPr>
        <w:t>1.8水土保持措施布设成果</w:t>
      </w:r>
      <w:bookmarkEnd w:id="72"/>
      <w:bookmarkEnd w:id="73"/>
      <w:bookmarkEnd w:id="74"/>
      <w:bookmarkEnd w:id="75"/>
      <w:bookmarkEnd w:id="76"/>
      <w:bookmarkEnd w:id="77"/>
    </w:p>
    <w:p>
      <w:pPr>
        <w:pStyle w:val="24"/>
        <w:rPr>
          <w:rFonts w:hint="eastAsia"/>
          <w:color w:val="000000"/>
        </w:rPr>
      </w:pPr>
      <w:r>
        <w:rPr>
          <w:rFonts w:hint="eastAsia"/>
          <w:color w:val="000000"/>
        </w:rPr>
        <w:t>根据项目建设水土流失特点、工程占地类型及用途、地貌、建设时序等，本工程水土流失防治分区划分为</w:t>
      </w:r>
      <w:r>
        <w:rPr>
          <w:rFonts w:hint="eastAsia"/>
          <w:color w:val="000000"/>
          <w:lang w:val="en-US" w:eastAsia="zh-CN"/>
        </w:rPr>
        <w:t>建筑构物</w:t>
      </w:r>
      <w:r>
        <w:rPr>
          <w:rFonts w:hint="eastAsia"/>
          <w:color w:val="000000"/>
        </w:rPr>
        <w:t>区</w:t>
      </w:r>
      <w:r>
        <w:rPr>
          <w:rFonts w:hint="eastAsia"/>
          <w:color w:val="000000"/>
          <w:lang w:eastAsia="zh-CN"/>
        </w:rPr>
        <w:t>、附属设施</w:t>
      </w:r>
      <w:r>
        <w:rPr>
          <w:rFonts w:hint="eastAsia"/>
          <w:color w:val="000000"/>
          <w:lang w:val="en-US" w:eastAsia="zh-CN"/>
        </w:rPr>
        <w:t>区和景观绿化区</w:t>
      </w:r>
      <w:r>
        <w:rPr>
          <w:rFonts w:hint="eastAsia"/>
          <w:color w:val="000000"/>
        </w:rPr>
        <w:t>。针对防治区的实际情况，</w:t>
      </w:r>
      <w:r>
        <w:rPr>
          <w:rFonts w:hint="eastAsia"/>
          <w:color w:val="000000"/>
          <w:lang w:val="en-US" w:eastAsia="zh-CN"/>
        </w:rPr>
        <w:t>方案</w:t>
      </w:r>
      <w:r>
        <w:rPr>
          <w:rFonts w:hint="eastAsia"/>
          <w:color w:val="000000"/>
        </w:rPr>
        <w:t>在施工期间</w:t>
      </w:r>
      <w:r>
        <w:rPr>
          <w:rFonts w:hint="eastAsia"/>
          <w:color w:val="000000"/>
          <w:lang w:val="en-US" w:eastAsia="zh-CN"/>
        </w:rPr>
        <w:t>布设</w:t>
      </w:r>
      <w:r>
        <w:rPr>
          <w:rFonts w:hint="eastAsia"/>
          <w:color w:val="000000"/>
        </w:rPr>
        <w:t>了相应的工程措施、植物措施及临时措施，以防治水土流失。各防治分区水土保持措施布设和工程量如下：</w:t>
      </w:r>
    </w:p>
    <w:p>
      <w:pPr>
        <w:pStyle w:val="26"/>
        <w:ind w:firstLine="482"/>
        <w:rPr>
          <w:b/>
          <w:bCs/>
          <w:color w:val="auto"/>
        </w:rPr>
      </w:pPr>
      <w:r>
        <w:rPr>
          <w:b/>
          <w:bCs/>
          <w:color w:val="auto"/>
        </w:rPr>
        <w:t>一、</w:t>
      </w:r>
      <w:r>
        <w:rPr>
          <w:rFonts w:hint="eastAsia"/>
          <w:b/>
          <w:bCs/>
          <w:color w:val="auto"/>
        </w:rPr>
        <w:t>建构筑物区</w:t>
      </w:r>
    </w:p>
    <w:p>
      <w:pPr>
        <w:pStyle w:val="26"/>
        <w:ind w:firstLine="482"/>
        <w:rPr>
          <w:b/>
          <w:bCs/>
          <w:color w:val="auto"/>
        </w:rPr>
      </w:pPr>
      <w:r>
        <w:rPr>
          <w:b/>
          <w:bCs/>
          <w:color w:val="auto"/>
        </w:rPr>
        <w:t>主体设计措施：</w:t>
      </w:r>
    </w:p>
    <w:p>
      <w:pPr>
        <w:keepNext w:val="0"/>
        <w:keepLines w:val="0"/>
        <w:widowControl/>
        <w:suppressLineNumbers w:val="0"/>
        <w:ind w:firstLine="480" w:firstLineChars="200"/>
        <w:jc w:val="left"/>
      </w:pPr>
      <w:r>
        <w:rPr>
          <w:rFonts w:hint="eastAsia" w:eastAsia="宋体" w:cs="Times New Roman"/>
          <w:color w:val="000000"/>
          <w:kern w:val="0"/>
          <w:sz w:val="24"/>
          <w:szCs w:val="24"/>
          <w:lang w:val="en-US" w:eastAsia="zh-CN" w:bidi="ar"/>
        </w:rPr>
        <w:t>1</w:t>
      </w:r>
      <w:r>
        <w:rPr>
          <w:rFonts w:ascii="仿宋" w:hAnsi="仿宋" w:eastAsia="仿宋" w:cs="仿宋"/>
          <w:color w:val="000000"/>
          <w:kern w:val="0"/>
          <w:sz w:val="24"/>
          <w:szCs w:val="24"/>
          <w:lang w:val="en-US" w:eastAsia="zh-CN" w:bidi="ar"/>
        </w:rPr>
        <w:t>、临时措施</w:t>
      </w:r>
    </w:p>
    <w:p>
      <w:pPr>
        <w:keepNext w:val="0"/>
        <w:keepLines w:val="0"/>
        <w:widowControl/>
        <w:suppressLineNumbers w:val="0"/>
        <w:ind w:firstLine="480" w:firstLineChars="200"/>
        <w:jc w:val="left"/>
      </w:pPr>
      <w:r>
        <w:rPr>
          <w:rFonts w:hint="eastAsia"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临时</w:t>
      </w:r>
      <w:r>
        <w:rPr>
          <w:rFonts w:hint="eastAsia" w:ascii="仿宋" w:hAnsi="仿宋" w:eastAsia="仿宋" w:cs="仿宋"/>
          <w:color w:val="000000"/>
          <w:kern w:val="0"/>
          <w:sz w:val="24"/>
          <w:szCs w:val="24"/>
          <w:lang w:val="en-US" w:eastAsia="zh-CN" w:bidi="ar"/>
        </w:rPr>
        <w:t>排水沟（主体已列）</w:t>
      </w:r>
    </w:p>
    <w:p>
      <w:pPr>
        <w:pStyle w:val="2"/>
        <w:ind w:firstLine="480" w:firstLineChars="200"/>
        <w:rPr>
          <w:rFonts w:hint="eastAsia" w:ascii="Times New Roman" w:hAnsi="Times New Roman" w:cs="Times New Roman"/>
          <w:color w:val="auto"/>
          <w:kern w:val="2"/>
          <w:sz w:val="24"/>
          <w:szCs w:val="32"/>
          <w:highlight w:val="none"/>
          <w:lang w:val="en-US" w:eastAsia="zh-CN" w:bidi="ar-SA"/>
        </w:rPr>
      </w:pPr>
      <w:r>
        <w:rPr>
          <w:rFonts w:hint="eastAsia" w:ascii="Times New Roman" w:hAnsi="Times New Roman" w:cs="Times New Roman"/>
          <w:color w:val="auto"/>
          <w:kern w:val="2"/>
          <w:sz w:val="24"/>
          <w:szCs w:val="32"/>
          <w:highlight w:val="none"/>
          <w:lang w:val="en-US" w:eastAsia="zh-CN" w:bidi="ar-SA"/>
        </w:rPr>
        <w:t>一、建筑构物区</w:t>
      </w:r>
    </w:p>
    <w:p>
      <w:pPr>
        <w:ind w:firstLine="480"/>
        <w:rPr>
          <w:rFonts w:hint="eastAsia" w:ascii="仿宋" w:hAnsi="仿宋"/>
          <w:lang w:eastAsia="zh-CN"/>
        </w:rPr>
      </w:pPr>
      <w:r>
        <w:rPr>
          <w:rFonts w:hint="eastAsia" w:ascii="仿宋" w:hAnsi="仿宋" w:eastAsia="仿宋" w:cs="微软雅黑"/>
        </w:rPr>
        <w:t>⑴</w:t>
      </w:r>
      <w:r>
        <w:rPr>
          <w:rFonts w:hint="eastAsia" w:ascii="仿宋" w:hAnsi="仿宋"/>
          <w:lang w:eastAsia="zh-CN"/>
        </w:rPr>
        <w:t>临时措施</w:t>
      </w:r>
    </w:p>
    <w:p>
      <w:pPr>
        <w:pStyle w:val="2"/>
        <w:ind w:firstLine="48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eastAsia="仿宋" w:cs="Times New Roman"/>
          <w:color w:val="000000"/>
          <w:kern w:val="2"/>
          <w:sz w:val="24"/>
          <w:szCs w:val="24"/>
          <w:lang w:val="en-US" w:eastAsia="zh-CN" w:bidi="ar-SA"/>
        </w:rPr>
        <w:t>根据主体设计资料及现场调查，主体在施工期间设立临时排水沟</w:t>
      </w:r>
      <w:r>
        <w:rPr>
          <w:rFonts w:hint="eastAsia" w:ascii="Times New Roman" w:hAnsi="Times New Roman" w:cs="Times New Roman"/>
          <w:color w:val="000000"/>
          <w:kern w:val="2"/>
          <w:sz w:val="24"/>
          <w:szCs w:val="24"/>
          <w:lang w:val="en-US" w:eastAsia="zh-CN" w:bidi="ar-SA"/>
        </w:rPr>
        <w:t>170m</w:t>
      </w:r>
      <w:r>
        <w:rPr>
          <w:rFonts w:hint="eastAsia" w:ascii="Times New Roman" w:hAnsi="Times New Roman" w:eastAsia="仿宋" w:cs="Times New Roman"/>
          <w:color w:val="000000"/>
          <w:kern w:val="2"/>
          <w:sz w:val="24"/>
          <w:szCs w:val="24"/>
          <w:lang w:val="en-US" w:eastAsia="zh-CN" w:bidi="ar-SA"/>
        </w:rPr>
        <w:t>、临时沉砂池</w:t>
      </w:r>
      <w:r>
        <w:rPr>
          <w:rFonts w:hint="eastAsia" w:ascii="Times New Roman" w:hAnsi="Times New Roman" w:cs="Times New Roman"/>
          <w:color w:val="000000"/>
          <w:kern w:val="2"/>
          <w:sz w:val="24"/>
          <w:szCs w:val="24"/>
          <w:lang w:val="en-US" w:eastAsia="zh-CN" w:bidi="ar-SA"/>
        </w:rPr>
        <w:t>1口</w:t>
      </w:r>
      <w:r>
        <w:rPr>
          <w:rFonts w:hint="eastAsia" w:ascii="Times New Roman" w:hAnsi="Times New Roman" w:eastAsia="仿宋" w:cs="Times New Roman"/>
          <w:color w:val="000000"/>
          <w:kern w:val="2"/>
          <w:sz w:val="24"/>
          <w:szCs w:val="24"/>
          <w:lang w:val="en-US" w:eastAsia="zh-CN" w:bidi="ar-SA"/>
        </w:rPr>
        <w:t>。</w:t>
      </w:r>
    </w:p>
    <w:p>
      <w:pPr>
        <w:pStyle w:val="2"/>
        <w:ind w:firstLine="480"/>
        <w:rPr>
          <w:rFonts w:hint="eastAsia" w:ascii="Times New Roman" w:hAnsi="Times New Roman" w:eastAsia="仿宋_GB2312" w:cs="Times New Roman"/>
          <w:b/>
          <w:bCs/>
          <w:color w:val="auto"/>
          <w:sz w:val="24"/>
          <w:szCs w:val="28"/>
          <w:lang w:val="en-US" w:eastAsia="zh-CN" w:bidi="ar-SA"/>
        </w:rPr>
      </w:pPr>
      <w:r>
        <w:rPr>
          <w:rFonts w:hint="eastAsia" w:ascii="Times New Roman" w:hAnsi="Times New Roman" w:eastAsia="仿宋_GB2312" w:cs="Times New Roman"/>
          <w:b/>
          <w:bCs/>
          <w:color w:val="auto"/>
          <w:sz w:val="24"/>
          <w:szCs w:val="28"/>
          <w:lang w:val="en-US" w:eastAsia="zh-CN" w:bidi="ar-SA"/>
        </w:rPr>
        <w:t>本方案新增措施：</w:t>
      </w:r>
    </w:p>
    <w:p>
      <w:pPr>
        <w:pStyle w:val="2"/>
        <w:ind w:firstLine="48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eastAsia="仿宋" w:cs="Times New Roman"/>
          <w:color w:val="000000"/>
          <w:kern w:val="2"/>
          <w:sz w:val="24"/>
          <w:szCs w:val="24"/>
          <w:lang w:val="en-US" w:eastAsia="zh-CN" w:bidi="ar-SA"/>
        </w:rPr>
        <w:t>在该区进行防雨布</w:t>
      </w:r>
      <w:r>
        <w:rPr>
          <w:rFonts w:hint="eastAsia" w:ascii="Times New Roman" w:hAnsi="Times New Roman" w:cs="Times New Roman"/>
          <w:color w:val="000000"/>
          <w:kern w:val="2"/>
          <w:sz w:val="24"/>
          <w:szCs w:val="24"/>
          <w:lang w:val="en-US" w:eastAsia="zh-CN" w:bidi="ar-SA"/>
        </w:rPr>
        <w:t>临时</w:t>
      </w:r>
      <w:r>
        <w:rPr>
          <w:rFonts w:hint="eastAsia" w:ascii="Times New Roman" w:hAnsi="Times New Roman" w:eastAsia="仿宋" w:cs="Times New Roman"/>
          <w:color w:val="000000"/>
          <w:kern w:val="2"/>
          <w:sz w:val="24"/>
          <w:szCs w:val="24"/>
          <w:lang w:val="en-US" w:eastAsia="zh-CN" w:bidi="ar-SA"/>
        </w:rPr>
        <w:t>遮盖</w:t>
      </w:r>
      <w:r>
        <w:rPr>
          <w:rFonts w:hint="eastAsia" w:ascii="Times New Roman" w:hAnsi="Times New Roman" w:cs="Times New Roman"/>
          <w:color w:val="000000"/>
          <w:kern w:val="2"/>
          <w:sz w:val="24"/>
          <w:szCs w:val="24"/>
          <w:lang w:val="en-US" w:eastAsia="zh-CN" w:bidi="ar-SA"/>
        </w:rPr>
        <w:t>1200m²</w:t>
      </w:r>
      <w:r>
        <w:rPr>
          <w:rFonts w:hint="eastAsia" w:ascii="Times New Roman" w:hAnsi="Times New Roman" w:eastAsia="仿宋" w:cs="Times New Roman"/>
          <w:color w:val="000000"/>
          <w:kern w:val="2"/>
          <w:sz w:val="24"/>
          <w:szCs w:val="24"/>
          <w:lang w:val="en-US" w:eastAsia="zh-CN" w:bidi="ar-SA"/>
        </w:rPr>
        <w:t>（考虑重复利用）。</w:t>
      </w:r>
    </w:p>
    <w:p>
      <w:pPr>
        <w:numPr>
          <w:ilvl w:val="0"/>
          <w:numId w:val="1"/>
        </w:numPr>
        <w:bidi w:val="0"/>
        <w:ind w:firstLine="561" w:firstLineChars="0"/>
        <w:jc w:val="left"/>
        <w:rPr>
          <w:rFonts w:hint="eastAsia"/>
          <w:lang w:val="en-US" w:eastAsia="zh-CN"/>
        </w:rPr>
      </w:pPr>
      <w:r>
        <w:rPr>
          <w:rFonts w:hint="eastAsia"/>
          <w:lang w:val="en-US" w:eastAsia="zh-CN"/>
        </w:rPr>
        <w:t>附属设施区</w:t>
      </w:r>
    </w:p>
    <w:p>
      <w:pPr>
        <w:pStyle w:val="2"/>
        <w:numPr>
          <w:ilvl w:val="0"/>
          <w:numId w:val="2"/>
        </w:numPr>
        <w:ind w:firstLine="480" w:firstLineChars="200"/>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工程措施</w:t>
      </w:r>
    </w:p>
    <w:p>
      <w:pPr>
        <w:pStyle w:val="2"/>
        <w:numPr>
          <w:ilvl w:val="0"/>
          <w:numId w:val="0"/>
        </w:numPr>
        <w:ind w:firstLine="480" w:firstLineChars="200"/>
        <w:rPr>
          <w:rFonts w:hint="default"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根据主体设计资料及现场调查，主体在施工期间设立雨水管（聚乙烯PE缠绕结构壁管）DN200共计450m、DN400共计410m、DN600共计7m。雨水检查井共计28座，单箅平箅式雨水口共计56座。</w:t>
      </w:r>
    </w:p>
    <w:p>
      <w:pPr>
        <w:pStyle w:val="2"/>
        <w:numPr>
          <w:ilvl w:val="0"/>
          <w:numId w:val="0"/>
        </w:numPr>
        <w:ind w:firstLine="480" w:firstLineChars="200"/>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（2）临时措施</w:t>
      </w:r>
    </w:p>
    <w:p>
      <w:pPr>
        <w:pStyle w:val="2"/>
        <w:numPr>
          <w:ilvl w:val="0"/>
          <w:numId w:val="0"/>
        </w:numPr>
        <w:ind w:firstLine="480" w:firstLineChars="200"/>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根据主体设计资料及现场调查，主体在场地入口设置洗车槽1座。</w:t>
      </w:r>
    </w:p>
    <w:p>
      <w:pPr>
        <w:pStyle w:val="2"/>
        <w:ind w:firstLine="480"/>
        <w:rPr>
          <w:rFonts w:hint="eastAsia" w:ascii="Times New Roman" w:hAnsi="Times New Roman" w:eastAsia="仿宋_GB2312" w:cs="Times New Roman"/>
          <w:b/>
          <w:bCs/>
          <w:color w:val="auto"/>
          <w:sz w:val="24"/>
          <w:szCs w:val="28"/>
          <w:lang w:val="en-US" w:eastAsia="zh-CN" w:bidi="ar-SA"/>
        </w:rPr>
      </w:pPr>
      <w:r>
        <w:rPr>
          <w:rFonts w:hint="eastAsia" w:ascii="Times New Roman" w:hAnsi="Times New Roman" w:eastAsia="仿宋_GB2312" w:cs="Times New Roman"/>
          <w:b/>
          <w:bCs/>
          <w:color w:val="auto"/>
          <w:sz w:val="24"/>
          <w:szCs w:val="28"/>
          <w:lang w:val="en-US" w:eastAsia="zh-CN" w:bidi="ar-SA"/>
        </w:rPr>
        <w:t>本方案新增措施：</w:t>
      </w:r>
    </w:p>
    <w:p>
      <w:pPr>
        <w:pStyle w:val="2"/>
        <w:ind w:firstLine="480"/>
        <w:rPr>
          <w:rFonts w:hint="eastAsia" w:ascii="Times New Roman" w:hAnsi="Times New Roman" w:cs="Times New Roman"/>
          <w:color w:val="000000"/>
          <w:kern w:val="2"/>
          <w:sz w:val="24"/>
          <w:szCs w:val="24"/>
          <w:lang w:val="en-US" w:eastAsia="zh-CN" w:bidi="ar-SA"/>
        </w:rPr>
      </w:pPr>
      <w:r>
        <w:rPr>
          <w:rFonts w:hint="eastAsia" w:ascii="Times New Roman" w:hAnsi="Times New Roman" w:eastAsia="仿宋" w:cs="Times New Roman"/>
          <w:color w:val="000000"/>
          <w:kern w:val="2"/>
          <w:sz w:val="24"/>
          <w:szCs w:val="24"/>
          <w:lang w:val="en-US" w:eastAsia="zh-CN" w:bidi="ar-SA"/>
        </w:rPr>
        <w:t>在该区进行防雨布</w:t>
      </w:r>
      <w:r>
        <w:rPr>
          <w:rFonts w:hint="eastAsia" w:ascii="Times New Roman" w:hAnsi="Times New Roman" w:cs="Times New Roman"/>
          <w:color w:val="000000"/>
          <w:kern w:val="2"/>
          <w:sz w:val="24"/>
          <w:szCs w:val="24"/>
          <w:lang w:val="en-US" w:eastAsia="zh-CN" w:bidi="ar-SA"/>
        </w:rPr>
        <w:t>临时</w:t>
      </w:r>
      <w:r>
        <w:rPr>
          <w:rFonts w:hint="eastAsia" w:ascii="Times New Roman" w:hAnsi="Times New Roman" w:eastAsia="仿宋" w:cs="Times New Roman"/>
          <w:color w:val="000000"/>
          <w:kern w:val="2"/>
          <w:sz w:val="24"/>
          <w:szCs w:val="24"/>
          <w:lang w:val="en-US" w:eastAsia="zh-CN" w:bidi="ar-SA"/>
        </w:rPr>
        <w:t>遮盖</w:t>
      </w:r>
      <w:r>
        <w:rPr>
          <w:rFonts w:hint="eastAsia" w:ascii="Times New Roman" w:hAnsi="Times New Roman" w:cs="Times New Roman"/>
          <w:color w:val="000000"/>
          <w:kern w:val="2"/>
          <w:sz w:val="24"/>
          <w:szCs w:val="24"/>
          <w:lang w:val="en-US" w:eastAsia="zh-CN" w:bidi="ar-SA"/>
        </w:rPr>
        <w:t>2500m²</w:t>
      </w:r>
      <w:r>
        <w:rPr>
          <w:rFonts w:hint="eastAsia" w:ascii="Times New Roman" w:hAnsi="Times New Roman" w:eastAsia="仿宋" w:cs="Times New Roman"/>
          <w:color w:val="000000"/>
          <w:kern w:val="2"/>
          <w:sz w:val="24"/>
          <w:szCs w:val="24"/>
          <w:lang w:val="en-US" w:eastAsia="zh-CN" w:bidi="ar-SA"/>
        </w:rPr>
        <w:t>（考虑重复利用）</w:t>
      </w:r>
      <w:r>
        <w:rPr>
          <w:rFonts w:hint="eastAsia" w:ascii="Times New Roman" w:hAnsi="Times New Roman" w:cs="Times New Roman"/>
          <w:color w:val="000000"/>
          <w:kern w:val="2"/>
          <w:sz w:val="24"/>
          <w:szCs w:val="24"/>
          <w:lang w:val="en-US" w:eastAsia="zh-CN" w:bidi="ar-SA"/>
        </w:rPr>
        <w:t>。</w:t>
      </w:r>
    </w:p>
    <w:p>
      <w:pPr>
        <w:tabs>
          <w:tab w:val="left" w:pos="895"/>
        </w:tabs>
        <w:bidi w:val="0"/>
        <w:ind w:firstLine="480" w:firstLineChars="200"/>
        <w:jc w:val="left"/>
        <w:rPr>
          <w:rFonts w:hint="eastAsia" w:ascii="Times New Roman" w:hAnsi="Times New Roman" w:eastAsia="仿宋" w:cs="Times New Roman"/>
          <w:color w:val="000000"/>
          <w:kern w:val="2"/>
          <w:sz w:val="24"/>
          <w:szCs w:val="24"/>
          <w:lang w:val="en-US" w:eastAsia="zh-CN" w:bidi="ar-SA"/>
        </w:rPr>
      </w:pPr>
      <w:r>
        <w:rPr>
          <w:rFonts w:hint="eastAsia"/>
          <w:lang w:val="en-US" w:eastAsia="zh-CN"/>
        </w:rPr>
        <w:t>三</w:t>
      </w:r>
      <w:r>
        <w:rPr>
          <w:rFonts w:hint="eastAsia" w:ascii="Times New Roman" w:hAnsi="Times New Roman" w:eastAsia="仿宋" w:cs="Times New Roman"/>
          <w:color w:val="000000"/>
          <w:kern w:val="2"/>
          <w:sz w:val="24"/>
          <w:szCs w:val="24"/>
          <w:lang w:val="en-US" w:eastAsia="zh-CN" w:bidi="ar-SA"/>
        </w:rPr>
        <w:t>、景观绿化区</w:t>
      </w:r>
    </w:p>
    <w:p>
      <w:pPr>
        <w:numPr>
          <w:ilvl w:val="0"/>
          <w:numId w:val="0"/>
        </w:numPr>
        <w:tabs>
          <w:tab w:val="left" w:pos="745"/>
        </w:tabs>
        <w:bidi w:val="0"/>
        <w:ind w:firstLine="480" w:firstLineChars="200"/>
        <w:jc w:val="left"/>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（1）</w:t>
      </w:r>
      <w:r>
        <w:rPr>
          <w:rFonts w:hint="eastAsia" w:ascii="Times New Roman" w:hAnsi="Times New Roman" w:eastAsia="仿宋" w:cs="Times New Roman"/>
          <w:color w:val="000000"/>
          <w:kern w:val="2"/>
          <w:sz w:val="24"/>
          <w:szCs w:val="24"/>
          <w:lang w:val="en-US" w:eastAsia="zh-CN" w:bidi="ar-SA"/>
        </w:rPr>
        <w:t>工程措施</w:t>
      </w:r>
    </w:p>
    <w:p>
      <w:pPr>
        <w:pStyle w:val="2"/>
        <w:numPr>
          <w:ilvl w:val="0"/>
          <w:numId w:val="0"/>
        </w:numPr>
        <w:ind w:left="0" w:leftChars="0" w:firstLine="480" w:firstLineChars="20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eastAsia="仿宋" w:cs="Times New Roman"/>
          <w:color w:val="000000"/>
          <w:kern w:val="2"/>
          <w:sz w:val="24"/>
          <w:szCs w:val="24"/>
          <w:lang w:val="en-US" w:eastAsia="zh-CN" w:bidi="ar-SA"/>
        </w:rPr>
        <w:t>据主体设计资料及现场调查，主体在施工期对该区进行种植土回覆1393m³，回覆面积0.28hm²，回覆厚度0.5m。</w:t>
      </w:r>
    </w:p>
    <w:p>
      <w:pPr>
        <w:pStyle w:val="2"/>
        <w:numPr>
          <w:ilvl w:val="0"/>
          <w:numId w:val="0"/>
        </w:numPr>
        <w:ind w:firstLine="480" w:firstLineChars="20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（2）</w:t>
      </w:r>
      <w:r>
        <w:rPr>
          <w:rFonts w:hint="eastAsia" w:ascii="Times New Roman" w:hAnsi="Times New Roman" w:eastAsia="仿宋" w:cs="Times New Roman"/>
          <w:color w:val="000000"/>
          <w:kern w:val="2"/>
          <w:sz w:val="24"/>
          <w:szCs w:val="24"/>
          <w:lang w:val="en-US" w:eastAsia="zh-CN" w:bidi="ar-SA"/>
        </w:rPr>
        <w:t>植物措施</w:t>
      </w:r>
    </w:p>
    <w:p>
      <w:pPr>
        <w:pStyle w:val="2"/>
        <w:numPr>
          <w:ilvl w:val="0"/>
          <w:numId w:val="0"/>
        </w:numPr>
        <w:ind w:left="0" w:leftChars="0" w:firstLine="480" w:firstLineChars="20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eastAsia="仿宋" w:cs="Times New Roman"/>
          <w:color w:val="000000"/>
          <w:kern w:val="2"/>
          <w:sz w:val="24"/>
          <w:szCs w:val="24"/>
          <w:lang w:val="en-US" w:eastAsia="zh-CN" w:bidi="ar-SA"/>
        </w:rPr>
        <w:t>主体设计考虑在该区进行景观绿化0.28hm²，主要种植麦冬、台湾二号草坪</w:t>
      </w:r>
      <w:r>
        <w:rPr>
          <w:rFonts w:hint="eastAsia" w:ascii="Times New Roman" w:hAnsi="Times New Roman" w:cs="Times New Roman"/>
          <w:color w:val="000000"/>
          <w:kern w:val="2"/>
          <w:sz w:val="24"/>
          <w:szCs w:val="24"/>
          <w:lang w:val="en-US" w:eastAsia="zh-CN" w:bidi="ar-SA"/>
        </w:rPr>
        <w:t>、香樟</w:t>
      </w:r>
      <w:r>
        <w:rPr>
          <w:rFonts w:hint="eastAsia" w:ascii="Times New Roman" w:hAnsi="Times New Roman" w:eastAsia="仿宋" w:cs="Times New Roman"/>
          <w:color w:val="000000"/>
          <w:kern w:val="2"/>
          <w:sz w:val="24"/>
          <w:szCs w:val="24"/>
          <w:lang w:val="en-US" w:eastAsia="zh-CN" w:bidi="ar-SA"/>
        </w:rPr>
        <w:t>等植物。</w:t>
      </w:r>
    </w:p>
    <w:p>
      <w:pPr>
        <w:ind w:left="480" w:leftChars="200" w:firstLine="0" w:firstLineChars="0"/>
        <w:rPr>
          <w:rFonts w:hint="eastAsia" w:ascii="Times New Roman" w:hAnsi="Times New Roman" w:eastAsia="仿宋" w:cs="Times New Roman"/>
          <w:color w:val="000000"/>
          <w:kern w:val="2"/>
          <w:sz w:val="24"/>
          <w:szCs w:val="24"/>
          <w:lang w:val="en-US" w:eastAsia="zh-CN" w:bidi="ar-SA"/>
        </w:rPr>
      </w:pPr>
      <w:r>
        <w:rPr>
          <w:rFonts w:hint="eastAsia" w:ascii="Times New Roman" w:hAnsi="Times New Roman" w:eastAsia="仿宋_GB2312" w:cs="Times New Roman"/>
          <w:b/>
          <w:bCs/>
          <w:color w:val="auto"/>
          <w:sz w:val="24"/>
          <w:szCs w:val="28"/>
          <w:lang w:val="en-US" w:eastAsia="zh-CN" w:bidi="ar-SA"/>
        </w:rPr>
        <w:t>本方案新增措施：</w:t>
      </w:r>
      <w:r>
        <w:rPr>
          <w:rFonts w:hint="eastAsia" w:ascii="Times New Roman" w:hAnsi="Times New Roman" w:eastAsia="仿宋_GB2312" w:cs="Times New Roman"/>
          <w:b/>
          <w:bCs/>
          <w:color w:val="auto"/>
          <w:sz w:val="24"/>
          <w:szCs w:val="28"/>
          <w:lang w:val="en-US" w:eastAsia="zh-CN" w:bidi="ar-SA"/>
        </w:rPr>
        <w:br w:type="textWrapping"/>
      </w:r>
      <w:r>
        <w:rPr>
          <w:rFonts w:hint="eastAsia" w:ascii="Times New Roman" w:hAnsi="Times New Roman" w:eastAsia="仿宋" w:cs="Times New Roman"/>
          <w:color w:val="000000"/>
          <w:kern w:val="2"/>
          <w:sz w:val="24"/>
          <w:szCs w:val="24"/>
          <w:lang w:val="en-US" w:eastAsia="zh-CN" w:bidi="ar-SA"/>
        </w:rPr>
        <w:t>本方案将采取在该区进行防雨布遮盖</w:t>
      </w:r>
      <w:r>
        <w:rPr>
          <w:rFonts w:hint="eastAsia" w:ascii="Times New Roman" w:hAnsi="Times New Roman" w:cs="Times New Roman"/>
          <w:color w:val="000000"/>
          <w:kern w:val="2"/>
          <w:sz w:val="24"/>
          <w:szCs w:val="24"/>
          <w:lang w:val="en-US" w:eastAsia="zh-CN" w:bidi="ar-SA"/>
        </w:rPr>
        <w:t>800</w:t>
      </w:r>
      <w:r>
        <w:rPr>
          <w:rFonts w:hint="eastAsia" w:ascii="Times New Roman" w:hAnsi="Times New Roman" w:eastAsia="仿宋" w:cs="Times New Roman"/>
          <w:color w:val="000000"/>
          <w:kern w:val="2"/>
          <w:sz w:val="24"/>
          <w:szCs w:val="24"/>
          <w:lang w:val="en-US" w:eastAsia="zh-CN" w:bidi="ar-SA"/>
        </w:rPr>
        <w:t>m²（考虑重复利用）。</w:t>
      </w:r>
    </w:p>
    <w:p>
      <w:pPr>
        <w:pStyle w:val="25"/>
        <w:keepNext/>
        <w:rPr>
          <w:rStyle w:val="49"/>
          <w:rFonts w:hint="eastAsia"/>
          <w:b/>
          <w:color w:val="auto"/>
          <w:sz w:val="21"/>
        </w:rPr>
      </w:pPr>
      <w:r>
        <w:rPr>
          <w:rStyle w:val="49"/>
          <w:b/>
          <w:color w:val="auto"/>
          <w:sz w:val="21"/>
        </w:rPr>
        <w:t>表</w:t>
      </w:r>
      <w:r>
        <w:rPr>
          <w:rStyle w:val="49"/>
          <w:rFonts w:hint="eastAsia"/>
          <w:b/>
          <w:color w:val="auto"/>
          <w:sz w:val="21"/>
        </w:rPr>
        <w:t>1-2     分区措施统计表</w:t>
      </w:r>
    </w:p>
    <w:tbl>
      <w:tblPr>
        <w:tblStyle w:val="1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72"/>
        <w:gridCol w:w="2077"/>
        <w:gridCol w:w="2110"/>
        <w:gridCol w:w="20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tcBorders>
              <w:top w:val="single" w:color="000000" w:sz="12" w:space="0"/>
              <w:left w:val="single" w:color="000000" w:sz="12"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color w:val="000000"/>
              </w:rPr>
            </w:pPr>
            <w:r>
              <w:rPr>
                <w:rFonts w:hint="eastAsia"/>
                <w:color w:val="000000"/>
              </w:rPr>
              <w:t>分区</w:t>
            </w:r>
          </w:p>
        </w:tc>
        <w:tc>
          <w:tcPr>
            <w:tcW w:w="2077" w:type="dxa"/>
            <w:tcBorders>
              <w:top w:val="single" w:color="000000" w:sz="12"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color w:val="000000"/>
              </w:rPr>
            </w:pPr>
            <w:r>
              <w:rPr>
                <w:rFonts w:hint="eastAsia"/>
                <w:color w:val="000000"/>
              </w:rPr>
              <w:t>措施类型</w:t>
            </w:r>
          </w:p>
        </w:tc>
        <w:tc>
          <w:tcPr>
            <w:tcW w:w="2110" w:type="dxa"/>
            <w:tcBorders>
              <w:top w:val="single" w:color="000000" w:sz="12"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color w:val="000000"/>
              </w:rPr>
            </w:pPr>
            <w:r>
              <w:rPr>
                <w:rFonts w:hint="eastAsia"/>
                <w:color w:val="000000"/>
              </w:rPr>
              <w:t>措施名称</w:t>
            </w:r>
          </w:p>
        </w:tc>
        <w:tc>
          <w:tcPr>
            <w:tcW w:w="2077" w:type="dxa"/>
            <w:tcBorders>
              <w:top w:val="single" w:color="000000" w:sz="12"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color w:val="000000"/>
              </w:rPr>
            </w:pPr>
            <w:r>
              <w:rPr>
                <w:rStyle w:val="37"/>
                <w:rFonts w:hint="eastAsia"/>
                <w:sz w:val="21"/>
                <w:szCs w:val="21"/>
              </w:rPr>
              <w:t>投资属性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72" w:type="dxa"/>
            <w:vMerge w:val="restart"/>
            <w:tcBorders>
              <w:left w:val="single" w:color="000000" w:sz="12"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r>
              <w:rPr>
                <w:rFonts w:hint="eastAsia" w:ascii="Times New Roman" w:hAnsi="Times New Roman"/>
                <w:i w:val="0"/>
                <w:iCs w:val="0"/>
                <w:color w:val="000000"/>
                <w:lang w:val="en-US" w:eastAsia="zh-CN"/>
              </w:rPr>
              <w:t>建筑构物</w:t>
            </w:r>
            <w:r>
              <w:rPr>
                <w:rFonts w:hint="eastAsia" w:ascii="Times New Roman" w:hAnsi="Times New Roman"/>
                <w:i w:val="0"/>
                <w:iCs w:val="0"/>
                <w:color w:val="000000"/>
                <w:lang w:eastAsia="zh-CN"/>
              </w:rPr>
              <w:t>区</w:t>
            </w:r>
          </w:p>
        </w:tc>
        <w:tc>
          <w:tcPr>
            <w:tcW w:w="2077" w:type="dxa"/>
            <w:vMerge w:val="restart"/>
            <w:tcBorders>
              <w:left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r>
              <w:rPr>
                <w:rFonts w:hint="eastAsia" w:ascii="Times New Roman" w:hAnsi="Times New Roman"/>
                <w:i w:val="0"/>
                <w:iCs w:val="0"/>
                <w:color w:val="000000"/>
                <w:lang w:eastAsia="zh-CN"/>
              </w:rPr>
              <w:t>临时措施</w:t>
            </w: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default" w:ascii="Times New Roman" w:hAnsi="Times New Roman"/>
                <w:i w:val="0"/>
                <w:iCs w:val="0"/>
                <w:color w:val="000000"/>
                <w:lang w:val="en-US" w:eastAsia="zh-CN"/>
              </w:rPr>
            </w:pPr>
            <w:r>
              <w:rPr>
                <w:rFonts w:hint="eastAsia" w:ascii="Times New Roman" w:hAnsi="Times New Roman"/>
                <w:i w:val="0"/>
                <w:iCs w:val="0"/>
                <w:color w:val="000000"/>
                <w:lang w:val="en-US" w:eastAsia="zh-CN"/>
              </w:rPr>
              <w:t>临时排水沟</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val="en-US" w:eastAsia="zh-CN"/>
              </w:rPr>
            </w:pPr>
            <w:r>
              <w:rPr>
                <w:rFonts w:hint="eastAsia" w:ascii="Times New Roman" w:hAnsi="Times New Roman"/>
                <w:i w:val="0"/>
                <w:iCs w:val="0"/>
                <w:color w:val="000000"/>
                <w:lang w:val="en-US" w:eastAsia="zh-CN"/>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left w:val="single" w:color="000000" w:sz="12"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p>
        </w:tc>
        <w:tc>
          <w:tcPr>
            <w:tcW w:w="2077" w:type="dxa"/>
            <w:vMerge w:val="continue"/>
            <w:tcBorders>
              <w:left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r>
              <w:rPr>
                <w:rFonts w:hint="eastAsia" w:ascii="Times New Roman" w:hAnsi="Times New Roman"/>
                <w:i w:val="0"/>
                <w:iCs w:val="0"/>
                <w:color w:val="000000"/>
                <w:lang w:val="en-US" w:eastAsia="zh-CN"/>
              </w:rPr>
              <w:t>临时沉砂池</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r>
              <w:rPr>
                <w:rFonts w:hint="eastAsia" w:ascii="Times New Roman" w:hAnsi="Times New Roman"/>
                <w:i w:val="0"/>
                <w:iCs w:val="0"/>
                <w:color w:val="000000"/>
                <w:lang w:val="en-US" w:eastAsia="zh-CN"/>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left w:val="single" w:color="000000" w:sz="12"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p>
        </w:tc>
        <w:tc>
          <w:tcPr>
            <w:tcW w:w="2077" w:type="dxa"/>
            <w:vMerge w:val="continue"/>
            <w:tcBorders>
              <w:left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eastAsia="zh-CN"/>
              </w:rPr>
            </w:pP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val="en-US" w:eastAsia="zh-CN"/>
              </w:rPr>
            </w:pPr>
            <w:r>
              <w:rPr>
                <w:rFonts w:hint="eastAsia" w:ascii="Times New Roman" w:hAnsi="Times New Roman"/>
                <w:i w:val="0"/>
                <w:iCs w:val="0"/>
                <w:color w:val="000000"/>
                <w:lang w:val="en-US" w:eastAsia="zh-CN"/>
              </w:rPr>
              <w:t>临时遮盖</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i w:val="0"/>
                <w:iCs w:val="0"/>
                <w:color w:val="000000"/>
                <w:lang w:val="en-US" w:eastAsia="zh-CN"/>
              </w:rPr>
            </w:pPr>
            <w:r>
              <w:rPr>
                <w:rFonts w:hint="eastAsia" w:ascii="Times New Roman" w:hAnsi="Times New Roman"/>
                <w:i w:val="0"/>
                <w:iCs w:val="0"/>
                <w:color w:val="000000"/>
                <w:lang w:val="en-US" w:eastAsia="zh-CN"/>
              </w:rPr>
              <w:t>方案新增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restart"/>
            <w:tcBorders>
              <w:left w:val="single" w:color="000000" w:sz="12" w:space="0"/>
              <w:right w:val="single" w:color="000000" w:sz="4" w:space="0"/>
            </w:tcBorders>
            <w:noWrap w:val="0"/>
            <w:tcMar>
              <w:top w:w="15" w:type="dxa"/>
              <w:left w:w="15" w:type="dxa"/>
              <w:right w:w="15" w:type="dxa"/>
            </w:tcMar>
            <w:vAlign w:val="center"/>
          </w:tcPr>
          <w:p>
            <w:pPr>
              <w:pStyle w:val="29"/>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附属设施区</w:t>
            </w:r>
          </w:p>
        </w:tc>
        <w:tc>
          <w:tcPr>
            <w:tcW w:w="2077" w:type="dxa"/>
            <w:tcBorders>
              <w:left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工程措施</w:t>
            </w: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排水工程</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left w:val="single" w:color="000000" w:sz="12" w:space="0"/>
              <w:bottom w:val="single" w:color="000000" w:sz="4" w:space="0"/>
              <w:right w:val="single" w:color="000000" w:sz="4" w:space="0"/>
            </w:tcBorders>
            <w:noWrap w:val="0"/>
            <w:tcMar>
              <w:top w:w="15" w:type="dxa"/>
              <w:left w:w="15" w:type="dxa"/>
              <w:right w:w="15" w:type="dxa"/>
            </w:tcMar>
            <w:vAlign w:val="center"/>
          </w:tcPr>
          <w:p>
            <w:pPr>
              <w:pStyle w:val="29"/>
              <w:ind w:firstLine="0" w:firstLineChars="0"/>
              <w:rPr>
                <w:rFonts w:hint="eastAsia" w:ascii="Times New Roman" w:hAnsi="Times New Roman" w:eastAsia="仿宋" w:cs="宋体"/>
                <w:i w:val="0"/>
                <w:iCs w:val="0"/>
                <w:color w:val="000000"/>
                <w:kern w:val="2"/>
                <w:sz w:val="21"/>
                <w:szCs w:val="21"/>
                <w:lang w:val="en-US" w:eastAsia="zh-CN" w:bidi="ar-SA"/>
              </w:rPr>
            </w:pPr>
          </w:p>
        </w:tc>
        <w:tc>
          <w:tcPr>
            <w:tcW w:w="2077" w:type="dxa"/>
            <w:vMerge w:val="restart"/>
            <w:tcBorders>
              <w:left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临时措施</w:t>
            </w: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洗车槽</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top w:val="single" w:color="000000" w:sz="4" w:space="0"/>
              <w:left w:val="single" w:color="000000" w:sz="12" w:space="0"/>
              <w:bottom w:val="single" w:color="000000" w:sz="4" w:space="0"/>
              <w:right w:val="single" w:color="000000" w:sz="4" w:space="0"/>
            </w:tcBorders>
            <w:noWrap w:val="0"/>
            <w:tcMar>
              <w:top w:w="15" w:type="dxa"/>
              <w:left w:w="15" w:type="dxa"/>
              <w:right w:w="15" w:type="dxa"/>
            </w:tcMar>
            <w:vAlign w:val="center"/>
          </w:tcPr>
          <w:p>
            <w:pPr>
              <w:pStyle w:val="29"/>
              <w:ind w:firstLine="0" w:firstLineChars="0"/>
              <w:rPr>
                <w:rFonts w:hint="eastAsia" w:ascii="Times New Roman" w:hAnsi="Times New Roman" w:eastAsia="仿宋" w:cs="宋体"/>
                <w:i w:val="0"/>
                <w:iCs w:val="0"/>
                <w:color w:val="000000"/>
                <w:kern w:val="2"/>
                <w:sz w:val="21"/>
                <w:szCs w:val="21"/>
                <w:lang w:val="en-US" w:eastAsia="zh-CN" w:bidi="ar-SA"/>
              </w:rPr>
            </w:pPr>
          </w:p>
        </w:tc>
        <w:tc>
          <w:tcPr>
            <w:tcW w:w="2077"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cs="宋体"/>
                <w:i w:val="0"/>
                <w:iCs w:val="0"/>
                <w:color w:val="000000"/>
                <w:kern w:val="2"/>
                <w:sz w:val="21"/>
                <w:szCs w:val="21"/>
                <w:lang w:val="en-US" w:eastAsia="zh-CN" w:bidi="ar-SA"/>
              </w:rPr>
              <w:t>临时</w:t>
            </w:r>
            <w:r>
              <w:rPr>
                <w:rFonts w:hint="eastAsia" w:ascii="Times New Roman" w:hAnsi="Times New Roman" w:eastAsia="仿宋" w:cs="宋体"/>
                <w:i w:val="0"/>
                <w:iCs w:val="0"/>
                <w:color w:val="000000"/>
                <w:kern w:val="2"/>
                <w:sz w:val="21"/>
                <w:szCs w:val="21"/>
                <w:lang w:val="en-US" w:eastAsia="zh-CN" w:bidi="ar-SA"/>
              </w:rPr>
              <w:t>遮盖</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方案新增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restart"/>
            <w:tcBorders>
              <w:top w:val="single" w:color="000000" w:sz="4" w:space="0"/>
              <w:left w:val="single" w:color="000000" w:sz="12" w:space="0"/>
              <w:right w:val="single" w:color="000000" w:sz="4" w:space="0"/>
            </w:tcBorders>
            <w:noWrap w:val="0"/>
            <w:tcMar>
              <w:top w:w="15" w:type="dxa"/>
              <w:left w:w="15" w:type="dxa"/>
              <w:right w:w="15" w:type="dxa"/>
            </w:tcMar>
            <w:vAlign w:val="center"/>
          </w:tcPr>
          <w:p>
            <w:pPr>
              <w:pStyle w:val="29"/>
              <w:ind w:firstLine="0" w:firstLineChars="0"/>
              <w:rPr>
                <w:rFonts w:hint="default"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景观绿化区</w:t>
            </w:r>
          </w:p>
        </w:tc>
        <w:tc>
          <w:tcPr>
            <w:tcW w:w="2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cs="宋体"/>
                <w:i w:val="0"/>
                <w:iCs w:val="0"/>
                <w:color w:val="000000"/>
                <w:kern w:val="2"/>
                <w:sz w:val="21"/>
                <w:szCs w:val="21"/>
                <w:lang w:val="en-US" w:eastAsia="zh-CN" w:bidi="ar-SA"/>
              </w:rPr>
              <w:t>工程措施</w:t>
            </w: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default"/>
                <w:lang w:val="en-US" w:eastAsia="zh-CN"/>
              </w:rPr>
            </w:pPr>
            <w:r>
              <w:rPr>
                <w:rFonts w:hint="eastAsia"/>
                <w:lang w:val="en-US" w:eastAsia="zh-CN"/>
              </w:rPr>
              <w:t>种植土回覆</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ind w:firstLine="0" w:firstLineChars="0"/>
              <w:jc w:val="center"/>
              <w:rPr>
                <w:rFonts w:hint="default"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left w:val="single" w:color="000000" w:sz="12" w:space="0"/>
              <w:right w:val="single" w:color="000000" w:sz="4" w:space="0"/>
            </w:tcBorders>
            <w:noWrap w:val="0"/>
            <w:tcMar>
              <w:top w:w="15" w:type="dxa"/>
              <w:left w:w="15" w:type="dxa"/>
              <w:right w:w="15" w:type="dxa"/>
            </w:tcMar>
            <w:vAlign w:val="center"/>
          </w:tcPr>
          <w:p>
            <w:pPr>
              <w:pStyle w:val="29"/>
              <w:ind w:firstLine="0" w:firstLineChars="0"/>
              <w:rPr>
                <w:rFonts w:hint="eastAsia" w:ascii="Times New Roman" w:hAnsi="Times New Roman" w:eastAsia="仿宋" w:cs="宋体"/>
                <w:i w:val="0"/>
                <w:iCs w:val="0"/>
                <w:color w:val="000000"/>
                <w:kern w:val="2"/>
                <w:sz w:val="21"/>
                <w:szCs w:val="21"/>
                <w:lang w:val="en-US" w:eastAsia="zh-CN" w:bidi="ar-SA"/>
              </w:rPr>
            </w:pPr>
          </w:p>
        </w:tc>
        <w:tc>
          <w:tcPr>
            <w:tcW w:w="2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cs="宋体"/>
                <w:i w:val="0"/>
                <w:iCs w:val="0"/>
                <w:color w:val="000000"/>
                <w:kern w:val="2"/>
                <w:sz w:val="21"/>
                <w:szCs w:val="21"/>
                <w:lang w:val="en-US" w:eastAsia="zh-CN" w:bidi="ar-SA"/>
              </w:rPr>
              <w:t>植物措施</w:t>
            </w:r>
          </w:p>
        </w:tc>
        <w:tc>
          <w:tcPr>
            <w:tcW w:w="2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cs="宋体"/>
                <w:i w:val="0"/>
                <w:iCs w:val="0"/>
                <w:color w:val="000000"/>
                <w:kern w:val="2"/>
                <w:sz w:val="21"/>
                <w:szCs w:val="21"/>
                <w:lang w:val="en-US" w:eastAsia="zh-CN" w:bidi="ar-SA"/>
              </w:rPr>
            </w:pPr>
            <w:r>
              <w:rPr>
                <w:rFonts w:hint="eastAsia" w:ascii="Times New Roman" w:hAnsi="Times New Roman" w:cs="宋体"/>
                <w:i w:val="0"/>
                <w:iCs w:val="0"/>
                <w:color w:val="000000"/>
                <w:kern w:val="2"/>
                <w:sz w:val="21"/>
                <w:szCs w:val="21"/>
                <w:lang w:val="en-US" w:eastAsia="zh-CN" w:bidi="ar-SA"/>
              </w:rPr>
              <w:t>种植香樟36棵，白玉兰15株，麦冬380m²</w:t>
            </w:r>
          </w:p>
        </w:tc>
        <w:tc>
          <w:tcPr>
            <w:tcW w:w="2077" w:type="dxa"/>
            <w:tcBorders>
              <w:top w:val="single" w:color="000000" w:sz="4" w:space="0"/>
              <w:left w:val="single" w:color="000000" w:sz="4" w:space="0"/>
              <w:bottom w:val="single" w:color="000000" w:sz="4"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cs="宋体"/>
                <w:i w:val="0"/>
                <w:iCs w:val="0"/>
                <w:color w:val="000000"/>
                <w:kern w:val="2"/>
                <w:sz w:val="21"/>
                <w:szCs w:val="21"/>
                <w:lang w:val="en-US" w:eastAsia="zh-CN" w:bidi="ar-SA"/>
              </w:rPr>
            </w:pPr>
            <w:r>
              <w:rPr>
                <w:rFonts w:hint="eastAsia" w:ascii="Times New Roman" w:hAnsi="Times New Roman" w:cs="宋体"/>
                <w:i w:val="0"/>
                <w:iCs w:val="0"/>
                <w:color w:val="000000"/>
                <w:kern w:val="2"/>
                <w:sz w:val="21"/>
                <w:szCs w:val="21"/>
                <w:lang w:val="en-US" w:eastAsia="zh-CN" w:bidi="ar-SA"/>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072" w:type="dxa"/>
            <w:vMerge w:val="continue"/>
            <w:tcBorders>
              <w:left w:val="single" w:color="000000" w:sz="12" w:space="0"/>
              <w:bottom w:val="single" w:color="000000" w:sz="12" w:space="0"/>
              <w:right w:val="single" w:color="000000" w:sz="4" w:space="0"/>
            </w:tcBorders>
            <w:noWrap w:val="0"/>
            <w:tcMar>
              <w:top w:w="15" w:type="dxa"/>
              <w:left w:w="15" w:type="dxa"/>
              <w:right w:w="15" w:type="dxa"/>
            </w:tcMar>
            <w:vAlign w:val="center"/>
          </w:tcPr>
          <w:p>
            <w:pPr>
              <w:pStyle w:val="29"/>
              <w:ind w:firstLine="0" w:firstLineChars="0"/>
              <w:rPr>
                <w:rFonts w:hint="eastAsia" w:ascii="Times New Roman" w:hAnsi="Times New Roman" w:eastAsia="仿宋" w:cs="宋体"/>
                <w:i w:val="0"/>
                <w:iCs w:val="0"/>
                <w:color w:val="000000"/>
                <w:kern w:val="2"/>
                <w:sz w:val="21"/>
                <w:szCs w:val="21"/>
                <w:lang w:val="en-US" w:eastAsia="zh-CN" w:bidi="ar-SA"/>
              </w:rPr>
            </w:pPr>
          </w:p>
        </w:tc>
        <w:tc>
          <w:tcPr>
            <w:tcW w:w="2077" w:type="dxa"/>
            <w:tcBorders>
              <w:top w:val="single" w:color="000000" w:sz="4" w:space="0"/>
              <w:left w:val="single" w:color="000000" w:sz="4" w:space="0"/>
              <w:bottom w:val="single" w:color="000000" w:sz="12"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临时措施</w:t>
            </w:r>
          </w:p>
        </w:tc>
        <w:tc>
          <w:tcPr>
            <w:tcW w:w="2110" w:type="dxa"/>
            <w:tcBorders>
              <w:top w:val="single" w:color="000000" w:sz="4" w:space="0"/>
              <w:left w:val="single" w:color="000000" w:sz="4" w:space="0"/>
              <w:bottom w:val="single" w:color="000000" w:sz="12" w:space="0"/>
              <w:right w:val="single" w:color="000000" w:sz="4"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cs="宋体"/>
                <w:i w:val="0"/>
                <w:iCs w:val="0"/>
                <w:color w:val="000000"/>
                <w:kern w:val="2"/>
                <w:sz w:val="21"/>
                <w:szCs w:val="21"/>
                <w:lang w:val="en-US" w:eastAsia="zh-CN" w:bidi="ar-SA"/>
              </w:rPr>
              <w:t>临时</w:t>
            </w:r>
            <w:r>
              <w:rPr>
                <w:rFonts w:hint="eastAsia" w:ascii="Times New Roman" w:hAnsi="Times New Roman" w:eastAsia="仿宋" w:cs="宋体"/>
                <w:i w:val="0"/>
                <w:iCs w:val="0"/>
                <w:color w:val="000000"/>
                <w:kern w:val="2"/>
                <w:sz w:val="21"/>
                <w:szCs w:val="21"/>
                <w:lang w:val="en-US" w:eastAsia="zh-CN" w:bidi="ar-SA"/>
              </w:rPr>
              <w:t>遮盖</w:t>
            </w:r>
          </w:p>
        </w:tc>
        <w:tc>
          <w:tcPr>
            <w:tcW w:w="2077" w:type="dxa"/>
            <w:tcBorders>
              <w:top w:val="single" w:color="000000" w:sz="4" w:space="0"/>
              <w:left w:val="single" w:color="000000" w:sz="4" w:space="0"/>
              <w:bottom w:val="single" w:color="000000" w:sz="12" w:space="0"/>
              <w:right w:val="single" w:color="000000" w:sz="12" w:space="0"/>
            </w:tcBorders>
            <w:noWrap w:val="0"/>
            <w:tcMar>
              <w:top w:w="15" w:type="dxa"/>
              <w:left w:w="15" w:type="dxa"/>
              <w:right w:w="15" w:type="dxa"/>
            </w:tcMar>
            <w:vAlign w:val="center"/>
          </w:tcPr>
          <w:p>
            <w:pPr>
              <w:pStyle w:val="31"/>
              <w:ind w:firstLine="0" w:firstLineChars="0"/>
              <w:rPr>
                <w:rFonts w:hint="eastAsia" w:ascii="Times New Roman" w:hAnsi="Times New Roman" w:eastAsia="仿宋" w:cs="宋体"/>
                <w:i w:val="0"/>
                <w:iCs w:val="0"/>
                <w:color w:val="000000"/>
                <w:kern w:val="2"/>
                <w:sz w:val="21"/>
                <w:szCs w:val="21"/>
                <w:lang w:val="en-US" w:eastAsia="zh-CN" w:bidi="ar-SA"/>
              </w:rPr>
            </w:pPr>
            <w:r>
              <w:rPr>
                <w:rFonts w:hint="eastAsia" w:ascii="Times New Roman" w:hAnsi="Times New Roman" w:eastAsia="仿宋" w:cs="宋体"/>
                <w:i w:val="0"/>
                <w:iCs w:val="0"/>
                <w:color w:val="000000"/>
                <w:kern w:val="2"/>
                <w:sz w:val="21"/>
                <w:szCs w:val="21"/>
                <w:lang w:val="en-US" w:eastAsia="zh-CN" w:bidi="ar-SA"/>
              </w:rPr>
              <w:t>方案新增</w:t>
            </w:r>
          </w:p>
        </w:tc>
      </w:tr>
    </w:tbl>
    <w:p>
      <w:pPr>
        <w:pStyle w:val="2"/>
        <w:rPr>
          <w:rFonts w:hint="eastAsia"/>
          <w:lang w:val="en-US" w:eastAsia="zh-CN"/>
        </w:rPr>
      </w:pPr>
    </w:p>
    <w:p>
      <w:pPr>
        <w:pStyle w:val="4"/>
        <w:rPr>
          <w:rFonts w:hint="eastAsia" w:ascii="仿宋" w:hAnsi="仿宋" w:eastAsia="仿宋"/>
        </w:rPr>
      </w:pPr>
      <w:bookmarkStart w:id="78" w:name="_Toc32257"/>
      <w:bookmarkStart w:id="79" w:name="_Toc48656912"/>
      <w:bookmarkStart w:id="80" w:name="_Toc76045796"/>
      <w:bookmarkStart w:id="81" w:name="_Toc5351"/>
      <w:bookmarkStart w:id="82" w:name="_Toc12126"/>
      <w:bookmarkStart w:id="83" w:name="_Toc12954"/>
      <w:r>
        <w:rPr>
          <w:rFonts w:hint="eastAsia" w:ascii="仿宋" w:hAnsi="仿宋" w:eastAsia="仿宋"/>
        </w:rPr>
        <w:t>1.9水土保持监测</w:t>
      </w:r>
      <w:bookmarkEnd w:id="78"/>
      <w:bookmarkEnd w:id="79"/>
      <w:bookmarkEnd w:id="80"/>
      <w:bookmarkEnd w:id="81"/>
      <w:bookmarkEnd w:id="82"/>
      <w:bookmarkEnd w:id="83"/>
    </w:p>
    <w:p>
      <w:pPr>
        <w:pStyle w:val="6"/>
        <w:rPr>
          <w:rFonts w:ascii="仿宋" w:hAnsi="仿宋" w:eastAsia="仿宋"/>
        </w:rPr>
      </w:pPr>
      <w:r>
        <w:rPr>
          <w:rFonts w:hint="eastAsia" w:ascii="仿宋" w:hAnsi="仿宋" w:eastAsia="仿宋"/>
        </w:rPr>
        <w:t>1.9.1监测区域、时段和点位</w:t>
      </w:r>
    </w:p>
    <w:p>
      <w:pPr>
        <w:ind w:firstLine="480"/>
        <w:rPr>
          <w:rFonts w:hint="default" w:eastAsia="仿宋"/>
          <w:lang w:val="en-US" w:eastAsia="zh-CN"/>
        </w:rPr>
      </w:pPr>
      <w:r>
        <w:rPr>
          <w:rFonts w:hint="eastAsia"/>
          <w:color w:val="000000"/>
        </w:rPr>
        <w:t>本</w:t>
      </w:r>
      <w:r>
        <w:rPr>
          <w:rFonts w:ascii="仿宋" w:hAnsi="仿宋" w:eastAsia="仿宋"/>
        </w:rPr>
        <w:t>根据《水利部办公厅关于印发&lt;生产建设项目水土保持监测规程(试行)&gt;的通知》(办水保[2015]139</w:t>
      </w:r>
      <w:r>
        <w:rPr>
          <w:rFonts w:ascii="仿宋" w:hAnsi="仿宋" w:eastAsia="仿宋"/>
          <w:spacing w:val="26"/>
        </w:rPr>
        <w:t xml:space="preserve"> </w:t>
      </w:r>
      <w:r>
        <w:rPr>
          <w:rFonts w:ascii="仿宋" w:hAnsi="仿宋" w:eastAsia="仿宋"/>
          <w:spacing w:val="2"/>
        </w:rPr>
        <w:t>号)，水土保持监测范围包括工程建设征占、使用和其他扰动区域，</w:t>
      </w:r>
      <w:r>
        <w:rPr>
          <w:rFonts w:ascii="仿宋" w:hAnsi="仿宋" w:eastAsia="仿宋"/>
          <w:spacing w:val="-116"/>
        </w:rPr>
        <w:t xml:space="preserve"> </w:t>
      </w:r>
      <w:r>
        <w:rPr>
          <w:rFonts w:ascii="仿宋" w:hAnsi="仿宋" w:eastAsia="仿宋"/>
          <w:spacing w:val="4"/>
        </w:rPr>
        <w:t>根据主体设计、施工资料及现场调查，本方案的监测范围与水土流失防治责任范围一</w:t>
      </w:r>
      <w:r>
        <w:rPr>
          <w:rFonts w:ascii="仿宋" w:hAnsi="仿宋" w:eastAsia="仿宋"/>
          <w:spacing w:val="-113"/>
        </w:rPr>
        <w:t xml:space="preserve"> </w:t>
      </w:r>
      <w:r>
        <w:rPr>
          <w:rFonts w:ascii="仿宋" w:hAnsi="仿宋" w:eastAsia="仿宋"/>
          <w:spacing w:val="4"/>
        </w:rPr>
        <w:t>致，包括</w:t>
      </w:r>
      <w:r>
        <w:rPr>
          <w:rFonts w:hint="eastAsia" w:ascii="仿宋" w:hAnsi="仿宋"/>
          <w:spacing w:val="4"/>
          <w:lang w:eastAsia="zh-CN"/>
        </w:rPr>
        <w:t>建筑构物区、附属设施区和景观绿化区</w:t>
      </w:r>
      <w:r>
        <w:rPr>
          <w:rFonts w:ascii="仿宋" w:hAnsi="仿宋" w:eastAsia="仿宋"/>
          <w:spacing w:val="4"/>
        </w:rPr>
        <w:t>，全部</w:t>
      </w:r>
      <w:r>
        <w:rPr>
          <w:rFonts w:ascii="仿宋" w:hAnsi="仿宋" w:eastAsia="仿宋"/>
          <w:spacing w:val="-113"/>
        </w:rPr>
        <w:t xml:space="preserve"> </w:t>
      </w:r>
      <w:r>
        <w:rPr>
          <w:rFonts w:ascii="仿宋" w:hAnsi="仿宋" w:eastAsia="仿宋"/>
        </w:rPr>
        <w:t>范围为</w:t>
      </w:r>
      <w:r>
        <w:rPr>
          <w:rFonts w:hint="eastAsia" w:ascii="仿宋" w:hAnsi="仿宋"/>
          <w:lang w:val="en-US" w:eastAsia="zh-CN"/>
        </w:rPr>
        <w:t>1.02hm²。</w:t>
      </w:r>
    </w:p>
    <w:p>
      <w:pPr>
        <w:ind w:firstLine="480"/>
        <w:rPr>
          <w:rFonts w:ascii="仿宋" w:hAnsi="仿宋" w:eastAsia="仿宋"/>
        </w:rPr>
      </w:pPr>
      <w:r>
        <w:rPr>
          <w:rFonts w:ascii="仿宋" w:hAnsi="仿宋" w:eastAsia="仿宋" w:cs="Times New Roman"/>
          <w:spacing w:val="2"/>
          <w:kern w:val="2"/>
          <w:sz w:val="24"/>
          <w:szCs w:val="22"/>
          <w:lang w:val="en-US" w:eastAsia="zh-CN" w:bidi="ar-SA"/>
        </w:rPr>
        <w:t>根据《开发建设项目水土保持技术规范》（GB50433-2008）的相关规定，主体工程完工后，方案确定的水土保持措施实施完毕并初步发挥效益的时间，确定本方案设计水平年为主体工程完工后</w:t>
      </w:r>
      <w:r>
        <w:rPr>
          <w:rFonts w:ascii="仿宋" w:hAnsi="仿宋" w:eastAsia="仿宋" w:cs="Times New Roman"/>
          <w:spacing w:val="2"/>
          <w:kern w:val="2"/>
          <w:sz w:val="24"/>
          <w:szCs w:val="22"/>
          <w:highlight w:val="none"/>
          <w:lang w:val="en-US" w:eastAsia="zh-CN" w:bidi="ar-SA"/>
        </w:rPr>
        <w:t>的后一年即</w:t>
      </w:r>
      <w:r>
        <w:rPr>
          <w:rFonts w:hint="eastAsia" w:ascii="仿宋" w:hAnsi="仿宋" w:cs="Times New Roman"/>
          <w:spacing w:val="2"/>
          <w:kern w:val="2"/>
          <w:sz w:val="24"/>
          <w:szCs w:val="22"/>
          <w:highlight w:val="none"/>
          <w:lang w:val="en-US" w:eastAsia="zh-CN" w:bidi="ar-SA"/>
        </w:rPr>
        <w:t>2023</w:t>
      </w:r>
      <w:r>
        <w:rPr>
          <w:rFonts w:ascii="仿宋" w:hAnsi="仿宋" w:eastAsia="仿宋" w:cs="Times New Roman"/>
          <w:spacing w:val="2"/>
          <w:kern w:val="2"/>
          <w:sz w:val="24"/>
          <w:szCs w:val="22"/>
          <w:highlight w:val="none"/>
          <w:lang w:val="en-US" w:eastAsia="zh-CN" w:bidi="ar-SA"/>
        </w:rPr>
        <w:t>年。</w:t>
      </w:r>
      <w:r>
        <w:rPr>
          <w:rFonts w:ascii="仿宋" w:hAnsi="仿宋" w:eastAsia="仿宋" w:cs="Times New Roman"/>
          <w:spacing w:val="2"/>
          <w:kern w:val="2"/>
          <w:sz w:val="24"/>
          <w:szCs w:val="22"/>
          <w:lang w:val="en-US" w:eastAsia="zh-CN" w:bidi="ar-SA"/>
        </w:rPr>
        <w:t>根据《水土保持监测技术规程》（SL277-2002）及《关于规范生产建设项目水土保持监测工作的意见》（水利部水保[2009]187号文）的规定。</w:t>
      </w:r>
      <w:r>
        <w:rPr>
          <w:rFonts w:hint="eastAsia" w:eastAsia="仿宋_GB2312" w:cs="Times New Roman"/>
          <w:color w:val="auto"/>
          <w:highlight w:val="none"/>
          <w:lang w:eastAsia="zh-CN"/>
        </w:rPr>
        <w:t>本项目已于</w:t>
      </w:r>
      <w:r>
        <w:rPr>
          <w:rFonts w:hint="eastAsia" w:eastAsia="仿宋_GB2312" w:cs="Times New Roman"/>
          <w:color w:val="auto"/>
          <w:highlight w:val="none"/>
          <w:lang w:val="en-US" w:eastAsia="zh-CN"/>
        </w:rPr>
        <w:t>2020年10月开工，预计2022年10月完工，总工期25个月。本公司接到水土保持编制委托时间为2021年7月。因此</w:t>
      </w:r>
      <w:r>
        <w:rPr>
          <w:rFonts w:hint="eastAsia"/>
          <w:color w:val="000000"/>
        </w:rPr>
        <w:t>本项目监测时段为</w:t>
      </w:r>
      <w:r>
        <w:rPr>
          <w:rFonts w:hint="default" w:ascii="Times New Roman" w:hAnsi="Times New Roman" w:eastAsia="仿宋_GB2312" w:cs="Times New Roman"/>
          <w:color w:val="auto"/>
          <w:highlight w:val="none"/>
        </w:rPr>
        <w:t>监测时段为20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年</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rPr>
        <w:t>月~202</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eastAsia="仿宋_GB2312" w:cs="Times New Roman"/>
          <w:color w:val="auto"/>
          <w:highlight w:val="none"/>
        </w:rPr>
        <w:t>月</w:t>
      </w:r>
      <w:r>
        <w:rPr>
          <w:rFonts w:hint="eastAsia" w:eastAsia="仿宋_GB2312" w:cs="Times New Roman"/>
          <w:color w:val="auto"/>
          <w:highlight w:val="none"/>
          <w:lang w:eastAsia="zh-CN"/>
        </w:rPr>
        <w:t>，共</w:t>
      </w:r>
      <w:r>
        <w:rPr>
          <w:rFonts w:hint="eastAsia" w:eastAsia="仿宋_GB2312" w:cs="Times New Roman"/>
          <w:color w:val="auto"/>
          <w:highlight w:val="none"/>
          <w:lang w:val="en-US" w:eastAsia="zh-CN"/>
        </w:rPr>
        <w:t>39个月。其中2020年10月至2021年8月为回顾性监测。</w:t>
      </w:r>
      <w:r>
        <w:rPr>
          <w:rFonts w:hint="eastAsia"/>
          <w:color w:val="000000"/>
          <w:lang w:val="en-US" w:eastAsia="zh-CN"/>
        </w:rPr>
        <w:t>根据实际情况，方案在建筑构物区、景观绿化区共布设2个监测点位。</w:t>
      </w:r>
      <w:r>
        <w:rPr>
          <w:rFonts w:ascii="仿宋" w:hAnsi="仿宋" w:eastAsia="仿宋"/>
          <w:spacing w:val="4"/>
        </w:rPr>
        <w:t>施工期全过程动态监测水土流失状况为主，同时兼顾水土流失背景值调查和水土</w:t>
      </w:r>
      <w:r>
        <w:rPr>
          <w:rFonts w:ascii="仿宋" w:hAnsi="仿宋" w:eastAsia="仿宋"/>
        </w:rPr>
        <w:t>保持措施的落实情况和防治效果。至设计水平年结束调查观测植物措施的成活</w:t>
      </w:r>
      <w:r>
        <w:rPr>
          <w:rFonts w:ascii="仿宋" w:hAnsi="仿宋" w:eastAsia="仿宋"/>
          <w:spacing w:val="-109"/>
        </w:rPr>
        <w:t xml:space="preserve"> </w:t>
      </w:r>
      <w:r>
        <w:rPr>
          <w:rFonts w:ascii="仿宋" w:hAnsi="仿宋" w:eastAsia="仿宋"/>
        </w:rPr>
        <w:t>率，保存率等指标观测。</w:t>
      </w:r>
    </w:p>
    <w:p>
      <w:pPr>
        <w:ind w:firstLine="480"/>
        <w:rPr>
          <w:rFonts w:hint="eastAsia" w:ascii="仿宋" w:hAnsi="仿宋" w:eastAsia="仿宋"/>
          <w:lang w:eastAsia="zh-CN"/>
        </w:rPr>
      </w:pPr>
      <w:r>
        <w:rPr>
          <w:rFonts w:ascii="仿宋" w:hAnsi="仿宋" w:eastAsia="仿宋"/>
        </w:rPr>
        <w:t>项目为点型工程，水土保持监测应以地面观测和调查监测为主，便于及时发现有无水土流失现象和查验各项水土保持措施布设情况及效果。</w:t>
      </w:r>
    </w:p>
    <w:p>
      <w:pPr>
        <w:pStyle w:val="6"/>
        <w:rPr>
          <w:rFonts w:ascii="仿宋" w:hAnsi="仿宋" w:eastAsia="仿宋"/>
        </w:rPr>
      </w:pPr>
      <w:r>
        <w:rPr>
          <w:rFonts w:hint="eastAsia" w:ascii="仿宋" w:hAnsi="仿宋" w:eastAsia="仿宋"/>
        </w:rPr>
        <w:t>1.9.2监测内容</w:t>
      </w:r>
    </w:p>
    <w:p>
      <w:pPr>
        <w:ind w:firstLine="480"/>
        <w:rPr>
          <w:rFonts w:ascii="仿宋" w:hAnsi="仿宋" w:eastAsia="仿宋"/>
        </w:rPr>
      </w:pPr>
      <w:r>
        <w:rPr>
          <w:rFonts w:hint="eastAsia" w:ascii="仿宋" w:hAnsi="仿宋" w:eastAsia="仿宋"/>
        </w:rPr>
        <w:t>依据水保监[2020]63号：《关于印发生产建设项目水土保持方案技术审查要点》的通知和《生产建设项目水土保持监测与评价标准》GB/T51240-2018的规定，以水土保持六项指标为指导，结合该项目的实际情况，确定水土保持监测内容为：</w:t>
      </w:r>
    </w:p>
    <w:p>
      <w:pPr>
        <w:ind w:firstLine="480"/>
        <w:rPr>
          <w:rFonts w:ascii="仿宋" w:hAnsi="仿宋" w:eastAsia="仿宋"/>
        </w:rPr>
      </w:pPr>
      <w:r>
        <w:rPr>
          <w:rFonts w:hint="eastAsia" w:ascii="仿宋" w:hAnsi="仿宋" w:eastAsia="仿宋"/>
        </w:rPr>
        <w:t>（1）水土流失因子监测</w:t>
      </w:r>
    </w:p>
    <w:p>
      <w:pPr>
        <w:ind w:firstLine="480"/>
        <w:rPr>
          <w:rFonts w:ascii="仿宋" w:hAnsi="仿宋" w:eastAsia="仿宋"/>
        </w:rPr>
      </w:pPr>
      <w:r>
        <w:rPr>
          <w:rFonts w:hint="eastAsia" w:ascii="仿宋" w:hAnsi="仿宋" w:eastAsia="仿宋"/>
        </w:rPr>
        <w:t>主要包括：降水量、风速、地面坡度、坡长、地面组成物质；土壤抗蚀抗冲性，植被类型及林草覆盖度；项目建设区植被覆盖度。</w:t>
      </w:r>
    </w:p>
    <w:p>
      <w:pPr>
        <w:ind w:firstLine="480"/>
        <w:rPr>
          <w:rFonts w:ascii="仿宋" w:hAnsi="仿宋" w:eastAsia="仿宋"/>
        </w:rPr>
      </w:pPr>
      <w:r>
        <w:rPr>
          <w:rFonts w:hint="eastAsia" w:ascii="仿宋" w:hAnsi="仿宋" w:eastAsia="仿宋"/>
        </w:rPr>
        <w:t>（2）水土流失背景值监测</w:t>
      </w:r>
    </w:p>
    <w:p>
      <w:pPr>
        <w:ind w:firstLine="480"/>
        <w:rPr>
          <w:rFonts w:ascii="仿宋" w:hAnsi="仿宋" w:eastAsia="仿宋"/>
        </w:rPr>
      </w:pPr>
      <w:r>
        <w:rPr>
          <w:rFonts w:hint="eastAsia" w:ascii="仿宋" w:hAnsi="仿宋" w:eastAsia="仿宋"/>
        </w:rPr>
        <w:t>项目建设区现有土地利用情况、地类、植被覆盖度和类型、水土流失现状、水土保持设施的数量和面积等。</w:t>
      </w:r>
    </w:p>
    <w:p>
      <w:pPr>
        <w:ind w:firstLine="480"/>
        <w:rPr>
          <w:rFonts w:ascii="仿宋" w:hAnsi="仿宋" w:eastAsia="仿宋"/>
        </w:rPr>
      </w:pPr>
      <w:r>
        <w:rPr>
          <w:rFonts w:hint="eastAsia" w:ascii="仿宋" w:hAnsi="仿宋" w:eastAsia="仿宋"/>
        </w:rPr>
        <w:t>（3）水土保持生态环境状况监测</w:t>
      </w:r>
    </w:p>
    <w:p>
      <w:pPr>
        <w:ind w:firstLine="480"/>
        <w:rPr>
          <w:rFonts w:ascii="仿宋" w:hAnsi="仿宋" w:eastAsia="仿宋"/>
        </w:rPr>
      </w:pPr>
      <w:r>
        <w:rPr>
          <w:rFonts w:hint="eastAsia" w:ascii="仿宋" w:hAnsi="仿宋" w:eastAsia="仿宋"/>
        </w:rPr>
        <w:t>项目及周边地形、地貌和水系变化情况，项目建设的永久、临时占地面积，扰动地表面积及直接影响范围进行动态监测。</w:t>
      </w:r>
    </w:p>
    <w:p>
      <w:pPr>
        <w:ind w:firstLine="480"/>
        <w:rPr>
          <w:rFonts w:ascii="仿宋" w:hAnsi="仿宋" w:eastAsia="仿宋"/>
        </w:rPr>
      </w:pPr>
      <w:r>
        <w:rPr>
          <w:rFonts w:hint="eastAsia" w:ascii="仿宋" w:hAnsi="仿宋" w:eastAsia="仿宋"/>
        </w:rPr>
        <w:t>（4）水土流失量动态变化监测</w:t>
      </w:r>
    </w:p>
    <w:p>
      <w:pPr>
        <w:ind w:firstLine="480"/>
        <w:rPr>
          <w:rFonts w:ascii="仿宋" w:hAnsi="仿宋" w:eastAsia="仿宋"/>
        </w:rPr>
      </w:pPr>
      <w:r>
        <w:rPr>
          <w:rFonts w:hint="eastAsia" w:ascii="仿宋" w:hAnsi="仿宋" w:eastAsia="仿宋"/>
        </w:rPr>
        <w:t>监测不同时段水土流失的分布、面积、强度、水土流失量及变化情况及对周边地区造成的生态环境影响与危害情况等。</w:t>
      </w:r>
    </w:p>
    <w:p>
      <w:pPr>
        <w:ind w:firstLine="480"/>
        <w:rPr>
          <w:rFonts w:ascii="仿宋" w:hAnsi="仿宋" w:eastAsia="仿宋"/>
        </w:rPr>
      </w:pPr>
      <w:r>
        <w:rPr>
          <w:rFonts w:hint="eastAsia" w:ascii="仿宋" w:hAnsi="仿宋" w:eastAsia="仿宋"/>
        </w:rPr>
        <w:t>（5）水土保持措施完成情况监测</w:t>
      </w:r>
    </w:p>
    <w:p>
      <w:pPr>
        <w:ind w:firstLine="480"/>
        <w:rPr>
          <w:rFonts w:ascii="仿宋" w:hAnsi="仿宋" w:eastAsia="仿宋"/>
        </w:rPr>
      </w:pPr>
      <w:r>
        <w:rPr>
          <w:rFonts w:hint="eastAsia" w:ascii="仿宋" w:hAnsi="仿宋" w:eastAsia="仿宋"/>
        </w:rPr>
        <w:t>主要是监测各项水土流失防治措施实施的进度、数量、规模等情况。</w:t>
      </w:r>
    </w:p>
    <w:p>
      <w:pPr>
        <w:ind w:firstLine="480"/>
        <w:rPr>
          <w:rFonts w:ascii="仿宋" w:hAnsi="仿宋" w:eastAsia="仿宋"/>
        </w:rPr>
      </w:pPr>
      <w:r>
        <w:rPr>
          <w:rFonts w:hint="eastAsia" w:ascii="仿宋" w:hAnsi="仿宋" w:eastAsia="仿宋"/>
        </w:rPr>
        <w:t>（6）水土流失防治效果动态监测</w:t>
      </w:r>
    </w:p>
    <w:p>
      <w:pPr>
        <w:ind w:firstLine="480"/>
        <w:rPr>
          <w:rFonts w:hint="eastAsia" w:ascii="仿宋" w:hAnsi="仿宋" w:eastAsia="仿宋"/>
        </w:rPr>
      </w:pPr>
      <w:r>
        <w:rPr>
          <w:rFonts w:hint="eastAsia" w:ascii="仿宋" w:hAnsi="仿宋" w:eastAsia="仿宋"/>
        </w:rPr>
        <w:t>主要包括防治措施的数量和防治效果；植物成活率、保存率、生长情况及覆盖度。为了给项目验收提供直接的数据支持和依据，监测结果应把项目的扰动土地整治率、水土流失总治理程度、土壤流失控制比、拦渣率、林草植被恢复率和林草植被覆盖率等衡量水土流失防治效果的指标反映清楚。</w:t>
      </w:r>
    </w:p>
    <w:p>
      <w:pPr>
        <w:pStyle w:val="6"/>
        <w:rPr>
          <w:rFonts w:ascii="仿宋" w:hAnsi="仿宋" w:eastAsia="仿宋"/>
        </w:rPr>
      </w:pPr>
      <w:r>
        <w:rPr>
          <w:rFonts w:hint="eastAsia" w:ascii="仿宋" w:hAnsi="仿宋" w:eastAsia="仿宋"/>
        </w:rPr>
        <w:t>1.9.3监测方法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1、调查监测法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资料收集分析法：对与项目区背景值有关的指标，通过查阅主体工程设计资料，收集气象、水文、土壤、土地利用等资料进行分析，结合实地调查分析对各指标赋值；对水土流失危害监测涉及的指标主要通过对项目区重点地段进行典型调查和对周边居民进行访谈调查，获取监测数据。</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（2）实地量测法：对防治责任范围、扰动地表面积、损坏水土保持功能面积采用全站仪通过现场地形测量并结合施工资料和监理资料确定。</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2、地面观测（集沙池法）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集沙池法适用于径流冲刷颗粒较大，汇水面积不大，有集中出口的地方，按照设计频次及时观测沉砂池中的泥沙厚度，通常是在沉砂池的四个角及中心点分别量测泥沙厚度，并测的泥沙容重，采用下式计算土壤流失量。</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公式：         </w:t>
      </w:r>
      <w:r>
        <w:rPr>
          <w:rFonts w:hint="default" w:ascii="Times New Roman" w:hAnsi="Times New Roman" w:cs="Times New Roman"/>
          <w:color w:val="auto"/>
          <w:szCs w:val="24"/>
        </w:rPr>
        <w:drawing>
          <wp:inline distT="0" distB="0" distL="114300" distR="114300">
            <wp:extent cx="2129790" cy="374015"/>
            <wp:effectExtent l="0" t="0" r="381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129790" cy="374015"/>
                    </a:xfrm>
                    <a:prstGeom prst="rect">
                      <a:avLst/>
                    </a:prstGeom>
                    <a:noFill/>
                    <a:ln>
                      <a:noFill/>
                    </a:ln>
                  </pic:spPr>
                </pic:pic>
              </a:graphicData>
            </a:graphic>
          </wp:inline>
        </w:drawing>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式中：ST：汇水区域土壤流失量，g；hi：沉砂池四个角及中心点的泥沙厚度，cm；S：沉砂池地面面积，</w:t>
      </w:r>
      <w:r>
        <w:rPr>
          <w:rFonts w:hint="eastAsia" w:cs="Times New Roman"/>
          <w:color w:val="auto"/>
          <w:szCs w:val="24"/>
          <w:lang w:eastAsia="zh-CN"/>
        </w:rPr>
        <w:t>m²</w:t>
      </w:r>
      <w:r>
        <w:rPr>
          <w:rFonts w:hint="default" w:ascii="Times New Roman" w:hAnsi="Times New Roman" w:cs="Times New Roman"/>
          <w:color w:val="auto"/>
          <w:szCs w:val="24"/>
        </w:rPr>
        <w:t>；rs：泥沙容重，g/c</w:t>
      </w:r>
      <w:r>
        <w:rPr>
          <w:rFonts w:hint="eastAsia" w:cs="Times New Roman"/>
          <w:color w:val="auto"/>
          <w:szCs w:val="24"/>
          <w:lang w:eastAsia="zh-CN"/>
        </w:rPr>
        <w:t>m³</w:t>
      </w:r>
      <w:r>
        <w:rPr>
          <w:rFonts w:hint="default" w:ascii="Times New Roman" w:hAnsi="Times New Roman" w:cs="Times New Roman"/>
          <w:color w:val="auto"/>
          <w:szCs w:val="24"/>
        </w:rPr>
        <w:t>。</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针对本项目的实际情况，可利用项目区内布设的临时沉砂池作为监测点位进行水土流失的监测。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3、场地巡查法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对水土流失危害、水土保持设施实施情况、重大水土流失等采用不定期巡查和观察法监测，采用实地量测法和样方调查法，并结合施工和监理资料，最终确定扰动面积、土石方量及水保措施实施数量。在巡查过程中，不仅要量测水土流失量、分析水土流失的原因，而且要监测水土保持措施，分析防治成效，应该将巡查时的情况详细记录，以备分析、总结水土保持成效和编制水土保持监测报告。</w:t>
      </w:r>
    </w:p>
    <w:p>
      <w:pPr>
        <w:pStyle w:val="6"/>
        <w:rPr>
          <w:rFonts w:hint="eastAsia" w:ascii="仿宋" w:hAnsi="仿宋" w:eastAsia="仿宋"/>
        </w:rPr>
      </w:pPr>
      <w:r>
        <w:rPr>
          <w:rFonts w:hint="eastAsia" w:ascii="仿宋" w:hAnsi="仿宋" w:eastAsia="仿宋"/>
        </w:rPr>
        <w:t>1.9.4监测频次</w:t>
      </w:r>
    </w:p>
    <w:p>
      <w:pPr>
        <w:ind w:firstLine="480"/>
        <w:rPr>
          <w:rFonts w:ascii="仿宋" w:hAnsi="仿宋" w:eastAsia="仿宋"/>
        </w:rPr>
      </w:pPr>
      <w:r>
        <w:rPr>
          <w:rFonts w:hint="eastAsia" w:ascii="仿宋" w:hAnsi="仿宋" w:eastAsia="仿宋"/>
        </w:rPr>
        <w:t>根据项目区实际情况，水土流失以水力侵蚀为主，降水和施工活动是主要影响因素，因此本项目水土保持自然恢复期监测重点是雨季对各区域的水土流失调查监测。</w:t>
      </w:r>
    </w:p>
    <w:p>
      <w:pPr>
        <w:ind w:firstLine="480"/>
        <w:rPr>
          <w:rFonts w:ascii="仿宋" w:hAnsi="仿宋" w:eastAsia="仿宋"/>
        </w:rPr>
      </w:pPr>
      <w:r>
        <w:rPr>
          <w:rFonts w:hint="eastAsia" w:ascii="仿宋" w:hAnsi="仿宋" w:eastAsia="仿宋"/>
        </w:rPr>
        <w:t>施工期：每年汛期（5</w:t>
      </w:r>
      <w:r>
        <w:rPr>
          <w:rFonts w:ascii="仿宋" w:hAnsi="仿宋" w:eastAsia="仿宋"/>
        </w:rPr>
        <w:t>-9</w:t>
      </w:r>
      <w:r>
        <w:rPr>
          <w:rFonts w:hint="eastAsia" w:ascii="仿宋" w:hAnsi="仿宋" w:eastAsia="仿宋"/>
        </w:rPr>
        <w:t>月）每月1次，降雨量≥50mm加测1次；非汛期2-3次。</w:t>
      </w:r>
    </w:p>
    <w:p>
      <w:pPr>
        <w:ind w:firstLine="480"/>
        <w:rPr>
          <w:rFonts w:ascii="仿宋" w:hAnsi="仿宋" w:eastAsia="仿宋"/>
        </w:rPr>
      </w:pPr>
      <w:r>
        <w:rPr>
          <w:rFonts w:hint="eastAsia" w:ascii="仿宋" w:hAnsi="仿宋" w:eastAsia="仿宋"/>
        </w:rPr>
        <w:t>自然恢复期：每半年巡查一次，雨季加测一次，主要巡查防护工程有无损毁及植被生长情况。</w:t>
      </w:r>
    </w:p>
    <w:p>
      <w:pPr>
        <w:ind w:firstLine="480"/>
        <w:rPr>
          <w:rFonts w:ascii="仿宋" w:hAnsi="仿宋" w:eastAsia="仿宋"/>
        </w:rPr>
      </w:pPr>
      <w:r>
        <w:rPr>
          <w:rFonts w:hint="eastAsia" w:ascii="仿宋" w:hAnsi="仿宋" w:eastAsia="仿宋"/>
        </w:rPr>
        <w:t>调查监测的项目，一般可间隔一定时间调查，根据本项目的工程进度、扰动影响面、治理进度等合理确定调查周期，每次监测均应填写调查表，年末进行汇总整理。</w:t>
      </w:r>
    </w:p>
    <w:p>
      <w:pPr>
        <w:pStyle w:val="4"/>
        <w:rPr>
          <w:rFonts w:hint="eastAsia" w:ascii="仿宋" w:hAnsi="仿宋" w:eastAsia="仿宋"/>
        </w:rPr>
      </w:pPr>
      <w:bookmarkStart w:id="84" w:name="_Toc30195"/>
      <w:bookmarkStart w:id="85" w:name="_Toc76045797"/>
      <w:bookmarkStart w:id="86" w:name="_Toc16784"/>
      <w:bookmarkStart w:id="87" w:name="_Toc32273"/>
      <w:r>
        <w:rPr>
          <w:rFonts w:ascii="仿宋" w:hAnsi="仿宋" w:eastAsia="仿宋"/>
        </w:rPr>
        <w:t>1.</w:t>
      </w:r>
      <w:r>
        <w:rPr>
          <w:rFonts w:hint="eastAsia" w:ascii="仿宋" w:hAnsi="仿宋" w:eastAsia="仿宋"/>
        </w:rPr>
        <w:t>10水土保持投资及效益分析成果</w:t>
      </w:r>
      <w:bookmarkEnd w:id="84"/>
      <w:bookmarkEnd w:id="85"/>
      <w:bookmarkEnd w:id="86"/>
      <w:bookmarkEnd w:id="87"/>
    </w:p>
    <w:p>
      <w:pPr>
        <w:ind w:firstLine="480"/>
        <w:rPr>
          <w:rFonts w:hint="eastAsia" w:ascii="仿宋" w:hAnsi="仿宋"/>
          <w:highlight w:val="none"/>
          <w:lang w:eastAsia="zh-CN"/>
        </w:rPr>
      </w:pPr>
      <w:r>
        <w:rPr>
          <w:rFonts w:ascii="仿宋" w:hAnsi="仿宋" w:eastAsia="仿宋"/>
          <w:highlight w:val="none"/>
        </w:rPr>
        <w:t>经概算，本工程水土保持工程总投资</w:t>
      </w:r>
      <w:r>
        <w:rPr>
          <w:rFonts w:ascii="仿宋" w:hAnsi="仿宋" w:eastAsia="仿宋"/>
          <w:spacing w:val="-58"/>
          <w:highlight w:val="none"/>
        </w:rPr>
        <w:t xml:space="preserve"> </w:t>
      </w:r>
      <w:r>
        <w:rPr>
          <w:rFonts w:hint="eastAsia" w:ascii="仿宋" w:hAnsi="仿宋"/>
          <w:highlight w:val="none"/>
          <w:lang w:val="en-US" w:eastAsia="zh-CN"/>
        </w:rPr>
        <w:t>44.13</w:t>
      </w:r>
      <w:r>
        <w:rPr>
          <w:rFonts w:ascii="仿宋" w:hAnsi="仿宋" w:eastAsia="仿宋"/>
          <w:highlight w:val="none"/>
        </w:rPr>
        <w:t>万元。其中主体工程已列投资为</w:t>
      </w:r>
      <w:r>
        <w:rPr>
          <w:rFonts w:ascii="仿宋" w:hAnsi="仿宋" w:eastAsia="仿宋"/>
          <w:spacing w:val="-58"/>
          <w:highlight w:val="none"/>
        </w:rPr>
        <w:t xml:space="preserve"> </w:t>
      </w:r>
      <w:r>
        <w:rPr>
          <w:rFonts w:hint="eastAsia" w:ascii="仿宋" w:hAnsi="仿宋"/>
          <w:highlight w:val="none"/>
          <w:lang w:val="en-US" w:eastAsia="zh-CN"/>
        </w:rPr>
        <w:t>27</w:t>
      </w:r>
      <w:r>
        <w:rPr>
          <w:rFonts w:ascii="仿宋" w:hAnsi="仿宋" w:eastAsia="仿宋"/>
          <w:highlight w:val="none"/>
        </w:rPr>
        <w:t>万元，新增水土保持专项投资</w:t>
      </w:r>
      <w:r>
        <w:rPr>
          <w:rFonts w:hint="eastAsia" w:ascii="仿宋" w:hAnsi="仿宋"/>
          <w:highlight w:val="none"/>
          <w:lang w:val="en-US" w:eastAsia="zh-CN"/>
        </w:rPr>
        <w:t>15.63</w:t>
      </w:r>
      <w:r>
        <w:rPr>
          <w:rFonts w:ascii="仿宋" w:hAnsi="仿宋" w:eastAsia="仿宋"/>
          <w:highlight w:val="none"/>
        </w:rPr>
        <w:t>万元。水土保持新增投资包括临时工程费和独立费用，其中临时工程费</w:t>
      </w:r>
      <w:r>
        <w:rPr>
          <w:rFonts w:hint="eastAsia" w:ascii="仿宋" w:hAnsi="仿宋"/>
          <w:highlight w:val="none"/>
          <w:lang w:val="en-US" w:eastAsia="zh-CN"/>
        </w:rPr>
        <w:t>3.56</w:t>
      </w:r>
      <w:r>
        <w:rPr>
          <w:rFonts w:ascii="仿宋" w:hAnsi="仿宋" w:eastAsia="仿宋"/>
          <w:highlight w:val="none"/>
        </w:rPr>
        <w:t>万元，独立费用</w:t>
      </w:r>
      <w:r>
        <w:rPr>
          <w:rFonts w:hint="eastAsia" w:ascii="仿宋" w:hAnsi="仿宋"/>
          <w:highlight w:val="none"/>
          <w:lang w:val="en-US" w:eastAsia="zh-CN"/>
        </w:rPr>
        <w:t>12.07</w:t>
      </w:r>
      <w:r>
        <w:rPr>
          <w:rFonts w:ascii="仿宋" w:hAnsi="仿宋" w:eastAsia="仿宋"/>
          <w:highlight w:val="none"/>
        </w:rPr>
        <w:t>万元，基本预备费</w:t>
      </w:r>
      <w:r>
        <w:rPr>
          <w:rFonts w:hint="eastAsia" w:ascii="仿宋" w:hAnsi="仿宋"/>
          <w:highlight w:val="none"/>
          <w:lang w:val="en-US" w:eastAsia="zh-CN"/>
        </w:rPr>
        <w:t>0.18</w:t>
      </w:r>
      <w:r>
        <w:rPr>
          <w:rFonts w:ascii="仿宋" w:hAnsi="仿宋" w:eastAsia="仿宋"/>
          <w:highlight w:val="none"/>
        </w:rPr>
        <w:t>万元，水土保持补偿费</w:t>
      </w:r>
      <w:r>
        <w:rPr>
          <w:rFonts w:hint="eastAsia" w:ascii="仿宋" w:hAnsi="仿宋"/>
          <w:highlight w:val="none"/>
          <w:lang w:val="en-US" w:eastAsia="zh-CN"/>
        </w:rPr>
        <w:t>1.32</w:t>
      </w:r>
      <w:r>
        <w:rPr>
          <w:rFonts w:ascii="仿宋" w:hAnsi="仿宋" w:eastAsia="仿宋"/>
          <w:highlight w:val="none"/>
        </w:rPr>
        <w:t>万元</w:t>
      </w:r>
      <w:r>
        <w:rPr>
          <w:rFonts w:hint="eastAsia" w:ascii="仿宋" w:hAnsi="仿宋"/>
          <w:highlight w:val="none"/>
          <w:lang w:eastAsia="zh-CN"/>
        </w:rPr>
        <w:t>。</w:t>
      </w:r>
    </w:p>
    <w:p>
      <w:pPr>
        <w:ind w:firstLine="480"/>
        <w:rPr>
          <w:rFonts w:ascii="仿宋" w:hAnsi="仿宋" w:eastAsia="仿宋"/>
        </w:rPr>
      </w:pPr>
      <w:r>
        <w:rPr>
          <w:rFonts w:ascii="仿宋" w:hAnsi="仿宋" w:eastAsia="仿宋"/>
        </w:rPr>
        <w:t>本水土保持方案实施后，水土流失各项效益分析指标均达到方案确定的目标</w:t>
      </w:r>
      <w:r>
        <w:rPr>
          <w:rFonts w:hint="eastAsia" w:ascii="仿宋" w:hAnsi="仿宋"/>
          <w:lang w:eastAsia="zh-CN"/>
        </w:rPr>
        <w:t>值</w:t>
      </w:r>
      <w:r>
        <w:rPr>
          <w:rFonts w:ascii="仿宋" w:hAnsi="仿宋" w:eastAsia="仿宋"/>
        </w:rPr>
        <w:t>。</w:t>
      </w:r>
    </w:p>
    <w:p>
      <w:pPr>
        <w:pStyle w:val="4"/>
        <w:keepNext w:val="0"/>
        <w:rPr>
          <w:rFonts w:hint="eastAsia" w:ascii="仿宋" w:hAnsi="仿宋" w:eastAsia="仿宋"/>
        </w:rPr>
      </w:pPr>
      <w:bookmarkStart w:id="88" w:name="_Toc15241"/>
      <w:bookmarkStart w:id="89" w:name="_Toc76045798"/>
      <w:r>
        <w:rPr>
          <w:rFonts w:ascii="仿宋" w:hAnsi="仿宋" w:eastAsia="仿宋"/>
        </w:rPr>
        <w:t>1.</w:t>
      </w:r>
      <w:r>
        <w:rPr>
          <w:rFonts w:hint="eastAsia" w:ascii="仿宋" w:hAnsi="仿宋" w:eastAsia="仿宋"/>
        </w:rPr>
        <w:t>11结论</w:t>
      </w:r>
      <w:bookmarkEnd w:id="88"/>
      <w:bookmarkEnd w:id="89"/>
    </w:p>
    <w:p>
      <w:pPr>
        <w:pStyle w:val="6"/>
        <w:rPr>
          <w:rFonts w:hint="eastAsia" w:ascii="仿宋" w:hAnsi="仿宋" w:eastAsia="仿宋"/>
        </w:rPr>
      </w:pPr>
      <w:r>
        <w:rPr>
          <w:rFonts w:hint="eastAsia" w:ascii="仿宋" w:hAnsi="仿宋" w:eastAsia="仿宋"/>
        </w:rPr>
        <w:t>1.11.1结论</w:t>
      </w:r>
    </w:p>
    <w:p>
      <w:pPr>
        <w:ind w:firstLine="480"/>
        <w:rPr>
          <w:rFonts w:ascii="仿宋" w:hAnsi="仿宋" w:eastAsia="仿宋"/>
        </w:rPr>
      </w:pPr>
      <w:r>
        <w:rPr>
          <w:rFonts w:hint="eastAsia" w:ascii="仿宋" w:hAnsi="仿宋" w:eastAsia="仿宋"/>
          <w:highlight w:val="none"/>
        </w:rPr>
        <w:t>本项目为新建建设类项目，</w:t>
      </w:r>
      <w:r>
        <w:rPr>
          <w:rFonts w:ascii="仿宋" w:hAnsi="仿宋" w:eastAsia="仿宋"/>
          <w:highlight w:val="none"/>
        </w:rPr>
        <w:t>项目建设符合国家产业政</w:t>
      </w:r>
      <w:r>
        <w:rPr>
          <w:rFonts w:ascii="仿宋" w:hAnsi="仿宋" w:eastAsia="仿宋"/>
        </w:rPr>
        <w:t>策和环保政策，项目建设符合区域总体规划要求</w:t>
      </w:r>
      <w:r>
        <w:rPr>
          <w:rFonts w:hint="eastAsia" w:ascii="仿宋" w:hAnsi="仿宋" w:eastAsia="仿宋"/>
        </w:rPr>
        <w:t>，项目选址无制约性因素，建设方案与布局符合水土保持要求，主体工程设计了相应的水土保持措施，通过本水保方案的补充和完善，各项水土保持措施形成了完整的防治体系，不仅可以有效控制因该项目建设造成的新增水土流失量，同时可降低项目区原地表水土流失量，改善项目区生态环境。因此，从水土保持角度来评价，该项目是合理可行的</w:t>
      </w:r>
      <w:r>
        <w:rPr>
          <w:rFonts w:ascii="仿宋" w:hAnsi="仿宋" w:eastAsia="仿宋"/>
        </w:rPr>
        <w:t>。</w:t>
      </w:r>
    </w:p>
    <w:p>
      <w:pPr>
        <w:pStyle w:val="6"/>
        <w:rPr>
          <w:rFonts w:hint="eastAsia" w:ascii="仿宋" w:hAnsi="仿宋" w:eastAsia="仿宋"/>
        </w:rPr>
      </w:pPr>
      <w:r>
        <w:rPr>
          <w:rFonts w:hint="eastAsia" w:ascii="仿宋" w:hAnsi="仿宋" w:eastAsia="仿宋"/>
        </w:rPr>
        <w:t>1.11.2建议</w:t>
      </w:r>
    </w:p>
    <w:p>
      <w:pPr>
        <w:ind w:firstLine="480"/>
        <w:rPr>
          <w:rFonts w:ascii="仿宋" w:hAnsi="仿宋" w:eastAsia="仿宋"/>
        </w:rPr>
      </w:pPr>
      <w:r>
        <w:rPr>
          <w:rFonts w:hint="eastAsia" w:ascii="仿宋" w:hAnsi="仿宋" w:eastAsia="仿宋"/>
        </w:rPr>
        <w:t>1、</w:t>
      </w:r>
      <w:r>
        <w:rPr>
          <w:rFonts w:ascii="仿宋" w:hAnsi="仿宋" w:eastAsia="仿宋"/>
        </w:rPr>
        <w:t>建议建设单位</w:t>
      </w:r>
      <w:r>
        <w:rPr>
          <w:rFonts w:hint="eastAsia" w:ascii="仿宋" w:hAnsi="仿宋" w:eastAsia="仿宋"/>
        </w:rPr>
        <w:t>切实</w:t>
      </w:r>
      <w:r>
        <w:rPr>
          <w:rFonts w:ascii="仿宋" w:hAnsi="仿宋" w:eastAsia="仿宋"/>
        </w:rPr>
        <w:t>落实水土保持“三同时”制度</w:t>
      </w:r>
      <w:r>
        <w:rPr>
          <w:rFonts w:hint="eastAsia" w:ascii="仿宋" w:hAnsi="仿宋" w:eastAsia="仿宋"/>
        </w:rPr>
        <w:t>，加强项目建设过程中的水土保持工作</w:t>
      </w:r>
      <w:r>
        <w:rPr>
          <w:rFonts w:ascii="仿宋" w:hAnsi="仿宋" w:eastAsia="仿宋"/>
        </w:rPr>
        <w:t>。</w:t>
      </w:r>
    </w:p>
    <w:p>
      <w:pPr>
        <w:ind w:firstLine="480"/>
        <w:rPr>
          <w:rFonts w:ascii="仿宋" w:hAnsi="仿宋" w:eastAsia="仿宋"/>
        </w:rPr>
      </w:pPr>
      <w:r>
        <w:rPr>
          <w:rFonts w:hint="eastAsia" w:ascii="仿宋" w:hAnsi="仿宋" w:eastAsia="仿宋"/>
        </w:rPr>
        <w:t>2、</w:t>
      </w:r>
      <w:r>
        <w:rPr>
          <w:rFonts w:ascii="仿宋" w:hAnsi="仿宋" w:eastAsia="仿宋"/>
        </w:rPr>
        <w:t>建设单位应结合本方案水土保持措施布置及设计，落实各项水土保持措施，确保措施的安全稳定，并进一步复核挖填土石方量，</w:t>
      </w:r>
      <w:r>
        <w:rPr>
          <w:rFonts w:hint="eastAsia" w:ascii="仿宋" w:hAnsi="仿宋" w:eastAsia="仿宋"/>
        </w:rPr>
        <w:t>优化主体工程设计，</w:t>
      </w:r>
      <w:r>
        <w:rPr>
          <w:rFonts w:ascii="仿宋" w:hAnsi="仿宋" w:eastAsia="仿宋"/>
        </w:rPr>
        <w:t>尽量减少土石方开挖与填筑，</w:t>
      </w:r>
      <w:r>
        <w:rPr>
          <w:rFonts w:hint="eastAsia" w:ascii="仿宋" w:hAnsi="仿宋" w:eastAsia="仿宋"/>
        </w:rPr>
        <w:t>同时必须保证弃方得到妥善处置，监督施工单位，严禁乱丢乱弃。另一方面，</w:t>
      </w:r>
      <w:r>
        <w:rPr>
          <w:rFonts w:ascii="仿宋" w:hAnsi="仿宋" w:eastAsia="仿宋"/>
        </w:rPr>
        <w:t>最大可能地恢复和增加植物措施面积，减少硬化，增加降雨蓄渗，减少水土流失，保护水土资源。</w:t>
      </w:r>
    </w:p>
    <w:p>
      <w:pPr>
        <w:ind w:firstLine="480"/>
        <w:rPr>
          <w:rFonts w:ascii="仿宋" w:hAnsi="仿宋" w:eastAsia="仿宋"/>
        </w:rPr>
      </w:pPr>
      <w:r>
        <w:rPr>
          <w:rFonts w:hint="eastAsia" w:ascii="仿宋" w:hAnsi="仿宋" w:eastAsia="仿宋"/>
        </w:rPr>
        <w:t>3、</w:t>
      </w:r>
      <w:r>
        <w:rPr>
          <w:rFonts w:ascii="仿宋" w:hAnsi="仿宋" w:eastAsia="仿宋"/>
        </w:rPr>
        <w:t>建设期间要合理安排工期和施工时序，工程建设要排水先行，确保区内排水畅通，并尽量</w:t>
      </w:r>
      <w:r>
        <w:rPr>
          <w:rFonts w:hint="eastAsia" w:ascii="仿宋" w:hAnsi="仿宋" w:eastAsia="仿宋"/>
        </w:rPr>
        <w:t>避免</w:t>
      </w:r>
      <w:r>
        <w:rPr>
          <w:rFonts w:ascii="仿宋" w:hAnsi="仿宋" w:eastAsia="仿宋"/>
        </w:rPr>
        <w:t>雨天施工，</w:t>
      </w:r>
      <w:r>
        <w:rPr>
          <w:rFonts w:hint="eastAsia" w:ascii="仿宋" w:hAnsi="仿宋" w:eastAsia="仿宋"/>
        </w:rPr>
        <w:t>特别是土石方工程，</w:t>
      </w:r>
      <w:r>
        <w:rPr>
          <w:rFonts w:ascii="仿宋" w:hAnsi="仿宋" w:eastAsia="仿宋"/>
        </w:rPr>
        <w:t>加强施工管理，</w:t>
      </w:r>
      <w:r>
        <w:rPr>
          <w:rFonts w:hint="eastAsia" w:ascii="仿宋" w:hAnsi="仿宋" w:eastAsia="仿宋"/>
        </w:rPr>
        <w:t>落实</w:t>
      </w:r>
      <w:r>
        <w:rPr>
          <w:rFonts w:ascii="仿宋" w:hAnsi="仿宋" w:eastAsia="仿宋"/>
        </w:rPr>
        <w:t>相应的临时防护措施，尽量减少工程建设所造成的水土流失危害和影响。</w:t>
      </w:r>
    </w:p>
    <w:p>
      <w:pPr>
        <w:ind w:firstLine="480"/>
        <w:rPr>
          <w:rFonts w:ascii="仿宋" w:hAnsi="仿宋" w:eastAsia="仿宋"/>
        </w:rPr>
      </w:pPr>
      <w:r>
        <w:rPr>
          <w:rFonts w:hint="eastAsia" w:ascii="仿宋" w:hAnsi="仿宋" w:eastAsia="仿宋"/>
        </w:rPr>
        <w:t>4、</w:t>
      </w:r>
      <w:r>
        <w:rPr>
          <w:rFonts w:ascii="仿宋" w:hAnsi="仿宋" w:eastAsia="仿宋"/>
        </w:rPr>
        <w:t>确保水土保持资金落实到位，并设专人负责水土保持工作，做到专人负责，专款专用，使各项水土保持措施保质保量按期完成。</w:t>
      </w:r>
    </w:p>
    <w:p>
      <w:pPr>
        <w:rPr>
          <w:rFonts w:hint="default" w:ascii="仿宋" w:hAnsi="仿宋" w:eastAsia="仿宋" w:cs="Times New Roman"/>
          <w:spacing w:val="2"/>
          <w:kern w:val="2"/>
          <w:sz w:val="24"/>
          <w:szCs w:val="22"/>
          <w:lang w:val="en-US" w:eastAsia="zh-CN" w:bidi="ar-SA"/>
        </w:rPr>
      </w:pPr>
      <w:r>
        <w:rPr>
          <w:rFonts w:hint="default" w:ascii="仿宋" w:hAnsi="仿宋" w:eastAsia="仿宋" w:cs="Times New Roman"/>
          <w:spacing w:val="2"/>
          <w:kern w:val="2"/>
          <w:sz w:val="24"/>
          <w:szCs w:val="22"/>
          <w:lang w:val="en-US" w:eastAsia="zh-CN" w:bidi="ar-SA"/>
        </w:rPr>
        <w:br w:type="page"/>
      </w:r>
    </w:p>
    <w:p>
      <w:pPr>
        <w:pStyle w:val="3"/>
        <w:rPr>
          <w:rFonts w:hint="eastAsia" w:ascii="仿宋" w:hAnsi="仿宋" w:eastAsia="仿宋"/>
        </w:rPr>
      </w:pPr>
      <w:bookmarkStart w:id="90" w:name="_Toc371412984"/>
      <w:bookmarkStart w:id="91" w:name="_Toc13924"/>
      <w:bookmarkStart w:id="92" w:name="_Toc48656915"/>
      <w:bookmarkStart w:id="93" w:name="_Toc27767"/>
      <w:bookmarkStart w:id="94" w:name="_Toc76045799"/>
      <w:bookmarkStart w:id="95" w:name="_Toc10632"/>
      <w:bookmarkStart w:id="96" w:name="_Toc5628"/>
      <w:bookmarkStart w:id="97" w:name="_Toc6557"/>
      <w:r>
        <w:rPr>
          <w:rFonts w:ascii="仿宋" w:hAnsi="仿宋" w:eastAsia="仿宋"/>
        </w:rPr>
        <w:t xml:space="preserve">2 </w:t>
      </w:r>
      <w:bookmarkEnd w:id="90"/>
      <w:bookmarkEnd w:id="91"/>
      <w:r>
        <w:rPr>
          <w:rFonts w:hint="eastAsia" w:ascii="仿宋" w:hAnsi="仿宋" w:eastAsia="仿宋"/>
        </w:rPr>
        <w:t>项目简况</w:t>
      </w:r>
      <w:bookmarkEnd w:id="92"/>
      <w:bookmarkEnd w:id="93"/>
      <w:bookmarkEnd w:id="94"/>
      <w:bookmarkEnd w:id="95"/>
      <w:bookmarkEnd w:id="96"/>
      <w:bookmarkEnd w:id="97"/>
    </w:p>
    <w:p>
      <w:pPr>
        <w:pStyle w:val="4"/>
        <w:rPr>
          <w:rFonts w:ascii="仿宋" w:hAnsi="仿宋" w:eastAsia="仿宋"/>
        </w:rPr>
      </w:pPr>
      <w:bookmarkStart w:id="98" w:name="_Toc726"/>
      <w:bookmarkStart w:id="99" w:name="_Toc14778"/>
      <w:bookmarkStart w:id="100" w:name="_Toc28056"/>
      <w:bookmarkStart w:id="101" w:name="_Toc31261"/>
      <w:bookmarkStart w:id="102" w:name="_Toc2051"/>
      <w:bookmarkStart w:id="103" w:name="_Toc21632"/>
      <w:bookmarkStart w:id="104" w:name="_Toc48656916"/>
      <w:bookmarkStart w:id="105" w:name="_Toc76045800"/>
      <w:r>
        <w:rPr>
          <w:rFonts w:hint="eastAsia" w:ascii="仿宋" w:hAnsi="仿宋" w:eastAsia="仿宋"/>
        </w:rPr>
        <w:t>2.1项目组成及工程布置</w:t>
      </w:r>
      <w:bookmarkEnd w:id="98"/>
      <w:bookmarkEnd w:id="99"/>
      <w:bookmarkEnd w:id="100"/>
      <w:bookmarkEnd w:id="101"/>
      <w:bookmarkEnd w:id="102"/>
      <w:bookmarkEnd w:id="103"/>
      <w:bookmarkEnd w:id="104"/>
      <w:bookmarkEnd w:id="105"/>
    </w:p>
    <w:p>
      <w:pPr>
        <w:pStyle w:val="6"/>
        <w:rPr>
          <w:rFonts w:ascii="仿宋" w:hAnsi="仿宋" w:eastAsia="仿宋"/>
        </w:rPr>
      </w:pPr>
      <w:bookmarkStart w:id="106" w:name="_Toc25151"/>
      <w:r>
        <w:rPr>
          <w:rFonts w:hint="eastAsia" w:ascii="仿宋" w:hAnsi="仿宋" w:eastAsia="仿宋"/>
        </w:rPr>
        <w:t>2.1.1项目建设基本情况</w:t>
      </w:r>
      <w:bookmarkEnd w:id="106"/>
    </w:p>
    <w:p>
      <w:pPr>
        <w:pStyle w:val="7"/>
        <w:rPr>
          <w:rFonts w:hint="eastAsia" w:ascii="仿宋" w:hAnsi="仿宋" w:eastAsia="仿宋"/>
          <w:highlight w:val="none"/>
        </w:rPr>
      </w:pPr>
      <w:r>
        <w:rPr>
          <w:rFonts w:hint="eastAsia" w:ascii="仿宋" w:hAnsi="仿宋" w:eastAsia="仿宋"/>
          <w:highlight w:val="none"/>
        </w:rPr>
        <w:t>2.1.1.1地理位置</w:t>
      </w:r>
    </w:p>
    <w:p>
      <w:pPr>
        <w:spacing w:line="360" w:lineRule="auto"/>
        <w:ind w:firstLine="480" w:firstLineChars="200"/>
        <w:rPr>
          <w:rFonts w:hint="eastAsia" w:ascii="仿宋" w:hAnsi="仿宋" w:eastAsia="仿宋"/>
          <w:highlight w:val="yellow"/>
        </w:rPr>
      </w:pPr>
      <w:r>
        <w:rPr>
          <w:rFonts w:hint="eastAsia"/>
          <w:lang w:eastAsia="zh-CN"/>
        </w:rPr>
        <w:t>本项目</w:t>
      </w:r>
      <w:r>
        <w:rPr>
          <w:rFonts w:hint="eastAsia"/>
          <w:highlight w:val="none"/>
          <w:lang w:eastAsia="zh-CN"/>
        </w:rPr>
        <w:t>属于新建建设类项目</w:t>
      </w:r>
      <w:r>
        <w:rPr>
          <w:rFonts w:hint="eastAsia"/>
          <w:lang w:eastAsia="zh-CN"/>
        </w:rPr>
        <w:t>，位于</w:t>
      </w:r>
      <w:r>
        <w:rPr>
          <w:rFonts w:hint="eastAsia"/>
          <w:szCs w:val="21"/>
          <w:lang w:eastAsia="zh-CN"/>
        </w:rPr>
        <w:t>南充市仪陇县新政镇琳琅大道中段，地理位</w:t>
      </w:r>
      <w:r>
        <w:rPr>
          <w:rFonts w:hint="eastAsia" w:ascii="Times New Roman" w:hAnsi="Times New Roman" w:cs="Times New Roman"/>
          <w:szCs w:val="21"/>
          <w:lang w:eastAsia="zh-CN"/>
        </w:rPr>
        <w:t>置： 东经106°17'33.7</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"北纬31°16'32.16"，项目西侧为琳琅大道北二段；东侧为跃进一</w:t>
      </w:r>
      <w:r>
        <w:rPr>
          <w:rFonts w:hint="eastAsia" w:cs="Times New Roman"/>
          <w:szCs w:val="21"/>
          <w:lang w:eastAsia="zh-CN"/>
        </w:rPr>
        <w:t>、跃进三</w:t>
      </w:r>
      <w:r>
        <w:rPr>
          <w:rFonts w:hint="eastAsia" w:ascii="Times New Roman" w:hAnsi="Times New Roman" w:cs="Times New Roman"/>
          <w:szCs w:val="21"/>
          <w:lang w:eastAsia="zh-CN"/>
        </w:rPr>
        <w:t>安置区；北侧为《仪陇县琳琅大道中段棚户区改造项目（</w:t>
      </w:r>
      <w:r>
        <w:rPr>
          <w:rFonts w:hint="eastAsia" w:cs="Times New Roman"/>
          <w:szCs w:val="21"/>
          <w:lang w:eastAsia="zh-CN"/>
        </w:rPr>
        <w:t>镇中</w:t>
      </w:r>
      <w:r>
        <w:rPr>
          <w:rFonts w:hint="eastAsia" w:ascii="Times New Roman" w:hAnsi="Times New Roman" w:cs="Times New Roman"/>
          <w:szCs w:val="21"/>
          <w:lang w:eastAsia="zh-CN"/>
        </w:rPr>
        <w:t>地块）》项目建筑地，南侧为嘉陵西路。</w:t>
      </w:r>
      <w:r>
        <w:rPr>
          <w:rFonts w:hint="eastAsia"/>
          <w:szCs w:val="21"/>
          <w:lang w:eastAsia="zh-CN"/>
        </w:rPr>
        <w:t>项目占地</w:t>
      </w:r>
      <w:r>
        <w:rPr>
          <w:rFonts w:hint="eastAsia"/>
          <w:szCs w:val="21"/>
          <w:lang w:val="en-US" w:eastAsia="zh-CN"/>
        </w:rPr>
        <w:t>10154.6平方米，新建高层住宅（安置房）、商业、管理用房等，总建筑面积33413m²的安置房（包含住宅28990m²，商业房4423m²）。</w:t>
      </w:r>
      <w:r>
        <w:rPr>
          <w:rFonts w:hint="eastAsia"/>
          <w:color w:val="000000"/>
          <w:lang w:eastAsia="zh-CN"/>
        </w:rPr>
        <w:t>项目</w:t>
      </w:r>
      <w:r>
        <w:rPr>
          <w:rFonts w:hint="eastAsia"/>
          <w:lang w:eastAsia="zh-CN"/>
        </w:rPr>
        <w:t>仅隔已建的嘉陵路，地理位置优越，交通发达。</w:t>
      </w:r>
    </w:p>
    <w:p>
      <w:pPr>
        <w:pStyle w:val="2"/>
        <w:jc w:val="center"/>
        <w:rPr>
          <w:rFonts w:hint="eastAsia" w:eastAsia="仿宋"/>
          <w:lang w:eastAsia="zh-CN"/>
        </w:rPr>
      </w:pPr>
      <w:r>
        <w:rPr>
          <w:rFonts w:hint="eastAsia" w:eastAsia="仿宋"/>
          <w:lang w:eastAsia="zh-CN"/>
        </w:rPr>
        <w:drawing>
          <wp:inline distT="0" distB="0" distL="114300" distR="114300">
            <wp:extent cx="3595370" cy="3338195"/>
            <wp:effectExtent l="0" t="0" r="5080" b="14605"/>
            <wp:docPr id="1" name="图片 1" descr="项目区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项目区卫星图"/>
                    <pic:cNvPicPr>
                      <a:picLocks noChangeAspect="1"/>
                    </pic:cNvPicPr>
                  </pic:nvPicPr>
                  <pic:blipFill>
                    <a:blip r:embed="rId13"/>
                    <a:srcRect t="18334" r="19106" b="3476"/>
                    <a:stretch>
                      <a:fillRect/>
                    </a:stretch>
                  </pic:blipFill>
                  <pic:spPr>
                    <a:xfrm>
                      <a:off x="0" y="0"/>
                      <a:ext cx="3595370" cy="3338195"/>
                    </a:xfrm>
                    <a:prstGeom prst="rect">
                      <a:avLst/>
                    </a:prstGeom>
                  </pic:spPr>
                </pic:pic>
              </a:graphicData>
            </a:graphic>
          </wp:inline>
        </w:drawing>
      </w:r>
    </w:p>
    <w:p>
      <w:pPr>
        <w:ind w:firstLine="422"/>
        <w:jc w:val="center"/>
        <w:rPr>
          <w:rFonts w:hint="eastAsia" w:eastAsia="仿宋"/>
          <w:lang w:eastAsia="zh-CN"/>
        </w:rPr>
      </w:pPr>
      <w:r>
        <w:rPr>
          <w:rStyle w:val="27"/>
          <w:rFonts w:hint="eastAsia"/>
        </w:rPr>
        <w:t>图2-1 项目所在地位置图</w:t>
      </w:r>
    </w:p>
    <w:p>
      <w:pPr>
        <w:pStyle w:val="7"/>
        <w:rPr>
          <w:rFonts w:ascii="仿宋" w:hAnsi="仿宋" w:eastAsia="仿宋"/>
        </w:rPr>
      </w:pPr>
      <w:r>
        <w:rPr>
          <w:rFonts w:hint="eastAsia" w:ascii="仿宋" w:hAnsi="仿宋" w:eastAsia="仿宋"/>
        </w:rPr>
        <w:t>2.1.1.2 项目简况</w:t>
      </w:r>
    </w:p>
    <w:p>
      <w:pPr>
        <w:ind w:firstLine="480"/>
        <w:rPr>
          <w:rFonts w:hint="eastAsia" w:ascii="仿宋_GB2312" w:hAnsi="仿宋_GB2312" w:cs="仿宋_GB2312"/>
          <w:color w:val="000000"/>
          <w:szCs w:val="22"/>
        </w:rPr>
      </w:pPr>
      <w:r>
        <w:rPr>
          <w:rFonts w:hint="eastAsia" w:ascii="仿宋_GB2312" w:hAnsi="仿宋_GB2312" w:cs="仿宋_GB2312"/>
          <w:color w:val="000000"/>
        </w:rPr>
        <w:t>项</w:t>
      </w:r>
      <w:r>
        <w:rPr>
          <w:rFonts w:hint="eastAsia" w:ascii="仿宋_GB2312" w:hAnsi="仿宋_GB2312" w:cs="仿宋_GB2312"/>
          <w:color w:val="000000"/>
          <w:szCs w:val="22"/>
        </w:rPr>
        <w:t>目名称：</w:t>
      </w:r>
      <w:r>
        <w:rPr>
          <w:rFonts w:hint="eastAsia" w:ascii="仿宋_GB2312" w:hAnsi="仿宋_GB2312" w:cs="仿宋_GB2312"/>
          <w:color w:val="000000"/>
          <w:szCs w:val="22"/>
          <w:lang w:eastAsia="zh-CN"/>
        </w:rPr>
        <w:t>仪陇县琳琅大道中段棚户区改造项目（五星花园地块）</w:t>
      </w:r>
      <w:r>
        <w:rPr>
          <w:rFonts w:hint="eastAsia" w:ascii="仿宋_GB2312" w:hAnsi="仿宋_GB2312" w:cs="仿宋_GB2312"/>
          <w:color w:val="000000"/>
          <w:szCs w:val="22"/>
        </w:rPr>
        <w:t>；</w:t>
      </w:r>
    </w:p>
    <w:p>
      <w:pPr>
        <w:ind w:firstLine="480"/>
        <w:rPr>
          <w:rFonts w:hint="eastAsia" w:ascii="仿宋_GB2312" w:hAnsi="仿宋_GB2312" w:cs="仿宋_GB2312"/>
          <w:color w:val="000000"/>
          <w:szCs w:val="22"/>
        </w:rPr>
      </w:pPr>
      <w:r>
        <w:rPr>
          <w:rFonts w:hint="eastAsia" w:ascii="仿宋_GB2312" w:hAnsi="仿宋_GB2312" w:cs="仿宋_GB2312"/>
          <w:color w:val="000000"/>
          <w:szCs w:val="22"/>
        </w:rPr>
        <w:t>建设单位：</w:t>
      </w:r>
      <w:r>
        <w:rPr>
          <w:rFonts w:hint="eastAsia" w:ascii="仿宋_GB2312" w:hAnsi="仿宋_GB2312" w:cs="仿宋_GB2312"/>
          <w:color w:val="000000"/>
          <w:szCs w:val="22"/>
          <w:lang w:eastAsia="zh-CN"/>
        </w:rPr>
        <w:t>四川华家建筑工程有限公司</w:t>
      </w:r>
      <w:r>
        <w:rPr>
          <w:rFonts w:hint="eastAsia" w:ascii="仿宋_GB2312" w:hAnsi="仿宋_GB2312" w:cs="仿宋_GB2312"/>
          <w:color w:val="000000"/>
          <w:szCs w:val="22"/>
        </w:rPr>
        <w:t>；</w:t>
      </w:r>
    </w:p>
    <w:p>
      <w:pPr>
        <w:ind w:firstLine="480"/>
        <w:rPr>
          <w:rFonts w:hint="eastAsia" w:ascii="仿宋_GB2312" w:hAnsi="仿宋_GB2312" w:cs="仿宋_GB2312"/>
          <w:color w:val="000000"/>
          <w:szCs w:val="22"/>
        </w:rPr>
      </w:pPr>
      <w:r>
        <w:rPr>
          <w:rFonts w:hint="eastAsia" w:ascii="仿宋_GB2312" w:hAnsi="仿宋_GB2312" w:cs="仿宋_GB2312"/>
          <w:color w:val="000000"/>
          <w:szCs w:val="22"/>
        </w:rPr>
        <w:t>建设地点：</w:t>
      </w:r>
      <w:r>
        <w:rPr>
          <w:rFonts w:hint="eastAsia"/>
          <w:szCs w:val="21"/>
          <w:lang w:eastAsia="zh-CN"/>
        </w:rPr>
        <w:t>南充市仪陇县新政镇琳琅</w:t>
      </w:r>
      <w:r>
        <w:rPr>
          <w:rFonts w:hint="eastAsia"/>
          <w:szCs w:val="21"/>
          <w:highlight w:val="none"/>
          <w:lang w:eastAsia="zh-CN"/>
        </w:rPr>
        <w:t>大道中段</w:t>
      </w:r>
      <w:r>
        <w:rPr>
          <w:rFonts w:hint="eastAsia" w:ascii="仿宋_GB2312" w:hAnsi="仿宋_GB2312" w:cs="仿宋_GB2312"/>
          <w:color w:val="000000"/>
          <w:szCs w:val="22"/>
          <w:highlight w:val="none"/>
        </w:rPr>
        <w:t>；</w:t>
      </w:r>
    </w:p>
    <w:p>
      <w:pPr>
        <w:ind w:firstLine="480"/>
        <w:rPr>
          <w:rFonts w:hint="eastAsia" w:ascii="仿宋_GB2312" w:hAnsi="仿宋_GB2312" w:cs="仿宋_GB2312"/>
          <w:color w:val="000000"/>
          <w:szCs w:val="22"/>
          <w:lang w:eastAsia="zh-CN"/>
        </w:rPr>
      </w:pPr>
      <w:r>
        <w:rPr>
          <w:rFonts w:hint="eastAsia" w:ascii="仿宋_GB2312" w:hAnsi="仿宋_GB2312" w:cs="仿宋_GB2312"/>
          <w:color w:val="000000"/>
          <w:szCs w:val="22"/>
        </w:rPr>
        <w:t>建设性质：</w:t>
      </w:r>
      <w:r>
        <w:rPr>
          <w:rFonts w:hint="eastAsia" w:ascii="仿宋_GB2312" w:hAnsi="仿宋_GB2312" w:cs="仿宋_GB2312"/>
          <w:color w:val="000000"/>
          <w:szCs w:val="22"/>
          <w:lang w:eastAsia="zh-CN"/>
        </w:rPr>
        <w:t>新建建设类；</w:t>
      </w:r>
    </w:p>
    <w:p>
      <w:pPr>
        <w:ind w:firstLine="480"/>
        <w:rPr>
          <w:rFonts w:hint="default" w:ascii="仿宋_GB2312" w:hAnsi="仿宋_GB2312" w:cs="仿宋_GB2312"/>
          <w:color w:val="000000"/>
          <w:szCs w:val="22"/>
          <w:lang w:val="en-US" w:eastAsia="zh-CN"/>
        </w:rPr>
      </w:pPr>
      <w:r>
        <w:rPr>
          <w:rFonts w:hint="eastAsia" w:ascii="仿宋_GB2312" w:hAnsi="仿宋_GB2312" w:cs="仿宋_GB2312"/>
          <w:color w:val="000000"/>
          <w:szCs w:val="22"/>
          <w:lang w:val="en-US" w:eastAsia="zh-CN"/>
        </w:rPr>
        <w:t>项目类型：基本建设（发改）；</w:t>
      </w:r>
    </w:p>
    <w:p>
      <w:pPr>
        <w:ind w:firstLine="480"/>
        <w:rPr>
          <w:rFonts w:hint="default" w:ascii="仿宋_GB2312" w:hAnsi="仿宋_GB2312" w:cs="仿宋_GB2312"/>
          <w:color w:val="000000"/>
          <w:szCs w:val="22"/>
          <w:lang w:val="en-US" w:eastAsia="zh-CN"/>
        </w:rPr>
      </w:pPr>
      <w:r>
        <w:rPr>
          <w:rFonts w:hint="eastAsia" w:ascii="仿宋_GB2312" w:hAnsi="仿宋_GB2312" w:cs="仿宋_GB2312"/>
          <w:color w:val="000000"/>
          <w:szCs w:val="22"/>
        </w:rPr>
        <w:t>建设规模：</w:t>
      </w:r>
      <w:r>
        <w:rPr>
          <w:rFonts w:hint="eastAsia"/>
          <w:szCs w:val="21"/>
          <w:lang w:val="en-US" w:eastAsia="zh-CN"/>
        </w:rPr>
        <w:t>新建高层住宅（安置房）、商业、管理用房等，总建筑面积33413m²的安置房（包含住宅28990m²，商业房4423m²）；</w:t>
      </w:r>
    </w:p>
    <w:p>
      <w:pPr>
        <w:ind w:firstLine="480" w:firstLineChars="200"/>
        <w:rPr>
          <w:rFonts w:hint="eastAsia" w:ascii="仿宋_GB2312" w:hAnsi="仿宋_GB2312" w:cs="仿宋_GB2312"/>
          <w:color w:val="000000"/>
          <w:szCs w:val="22"/>
        </w:rPr>
      </w:pPr>
      <w:r>
        <w:rPr>
          <w:rFonts w:hint="eastAsia" w:ascii="仿宋_GB2312" w:hAnsi="仿宋_GB2312" w:cs="仿宋_GB2312"/>
          <w:color w:val="000000"/>
          <w:szCs w:val="22"/>
        </w:rPr>
        <w:t>建设工期：</w:t>
      </w:r>
      <w:r>
        <w:rPr>
          <w:rFonts w:hint="eastAsia" w:cs="Times New Roman"/>
          <w:color w:val="000000"/>
          <w:szCs w:val="22"/>
          <w:lang w:eastAsia="zh-CN"/>
        </w:rPr>
        <w:t>本工程</w:t>
      </w:r>
      <w:r>
        <w:rPr>
          <w:rFonts w:hint="eastAsia" w:ascii="Times New Roman" w:hAnsi="Times New Roman" w:cs="Times New Roman"/>
          <w:color w:val="000000"/>
          <w:szCs w:val="22"/>
          <w:lang w:val="en-US" w:eastAsia="zh-CN"/>
        </w:rPr>
        <w:t>已于</w:t>
      </w:r>
      <w:r>
        <w:rPr>
          <w:rFonts w:hint="eastAsia" w:cs="Times New Roman"/>
          <w:color w:val="000000"/>
          <w:szCs w:val="22"/>
          <w:lang w:val="en-US" w:eastAsia="zh-CN"/>
        </w:rPr>
        <w:t>2020年10月</w:t>
      </w:r>
      <w:r>
        <w:rPr>
          <w:rFonts w:hint="eastAsia" w:ascii="Times New Roman" w:hAnsi="Times New Roman" w:cs="Times New Roman"/>
          <w:color w:val="000000"/>
          <w:szCs w:val="22"/>
          <w:lang w:val="en-US" w:eastAsia="zh-CN"/>
        </w:rPr>
        <w:t>开工，预计</w:t>
      </w:r>
      <w:r>
        <w:rPr>
          <w:rFonts w:hint="eastAsia" w:cs="Times New Roman"/>
          <w:color w:val="000000"/>
          <w:szCs w:val="22"/>
          <w:lang w:val="en-US" w:eastAsia="zh-CN"/>
        </w:rPr>
        <w:t>2022年10月</w:t>
      </w:r>
      <w:r>
        <w:rPr>
          <w:rFonts w:hint="eastAsia" w:ascii="Times New Roman" w:hAnsi="Times New Roman" w:cs="Times New Roman"/>
          <w:color w:val="000000"/>
          <w:szCs w:val="22"/>
          <w:lang w:val="en-US" w:eastAsia="zh-CN"/>
        </w:rPr>
        <w:t>完工，总工期</w:t>
      </w:r>
      <w:r>
        <w:rPr>
          <w:rFonts w:hint="eastAsia" w:cs="Times New Roman"/>
          <w:color w:val="000000"/>
          <w:szCs w:val="22"/>
          <w:lang w:val="en-US" w:eastAsia="zh-CN"/>
        </w:rPr>
        <w:t>25</w:t>
      </w:r>
      <w:r>
        <w:rPr>
          <w:rFonts w:hint="eastAsia" w:ascii="Times New Roman" w:hAnsi="Times New Roman" w:cs="Times New Roman"/>
          <w:color w:val="000000"/>
          <w:szCs w:val="22"/>
          <w:lang w:val="en-US" w:eastAsia="zh-CN"/>
        </w:rPr>
        <w:t>个月</w:t>
      </w:r>
      <w:r>
        <w:rPr>
          <w:rFonts w:hint="eastAsia" w:cs="Times New Roman"/>
          <w:color w:val="000000"/>
          <w:szCs w:val="22"/>
          <w:lang w:val="en-US" w:eastAsia="zh-CN"/>
        </w:rPr>
        <w:t>；</w:t>
      </w:r>
    </w:p>
    <w:p>
      <w:pPr>
        <w:ind w:firstLine="480"/>
        <w:rPr>
          <w:rFonts w:hint="default" w:ascii="仿宋_GB2312" w:hAnsi="仿宋_GB2312" w:cs="仿宋_GB2312"/>
          <w:color w:val="000000"/>
          <w:szCs w:val="22"/>
          <w:lang w:val="en-US" w:eastAsia="zh-CN"/>
        </w:rPr>
      </w:pPr>
      <w:r>
        <w:rPr>
          <w:rFonts w:hint="eastAsia" w:ascii="仿宋_GB2312" w:hAnsi="仿宋_GB2312" w:cs="仿宋_GB2312"/>
          <w:color w:val="000000"/>
          <w:szCs w:val="22"/>
        </w:rPr>
        <w:t>项目占地：</w:t>
      </w:r>
      <w:r>
        <w:rPr>
          <w:rFonts w:hint="eastAsia"/>
          <w:color w:val="000000"/>
          <w:lang w:val="en-US" w:eastAsia="zh-CN"/>
        </w:rPr>
        <w:t>本项目占地1.02h</w:t>
      </w:r>
      <w:r>
        <w:rPr>
          <w:color w:val="000000"/>
        </w:rPr>
        <w:t>m²</w:t>
      </w:r>
      <w:r>
        <w:rPr>
          <w:rFonts w:hint="eastAsia"/>
          <w:color w:val="000000"/>
          <w:szCs w:val="32"/>
          <w:lang w:val="en-US" w:eastAsia="zh-CN"/>
        </w:rPr>
        <w:t>，均为永久占地，占地类型为住宅用地。</w:t>
      </w:r>
    </w:p>
    <w:p>
      <w:pPr>
        <w:ind w:firstLine="480"/>
        <w:rPr>
          <w:rFonts w:hint="eastAsia" w:ascii="仿宋_GB2312" w:hAnsi="仿宋_GB2312" w:eastAsia="仿宋" w:cs="仿宋_GB2312"/>
          <w:color w:val="000000"/>
          <w:szCs w:val="22"/>
          <w:lang w:val="en-US" w:eastAsia="zh-CN"/>
        </w:rPr>
      </w:pPr>
      <w:r>
        <w:rPr>
          <w:rFonts w:hint="eastAsia" w:ascii="仿宋_GB2312" w:hAnsi="仿宋_GB2312" w:cs="仿宋_GB2312"/>
          <w:color w:val="000000"/>
          <w:szCs w:val="22"/>
          <w:lang w:val="en-US" w:eastAsia="zh-CN"/>
        </w:rPr>
        <w:t>工程土石方：</w:t>
      </w:r>
      <w:r>
        <w:rPr>
          <w:rFonts w:hint="eastAsia" w:cs="Times New Roman"/>
          <w:color w:val="000000"/>
          <w:szCs w:val="22"/>
          <w:lang w:eastAsia="zh-CN"/>
        </w:rPr>
        <w:t>本项目土石方总开挖量</w:t>
      </w:r>
      <w:r>
        <w:rPr>
          <w:rFonts w:hint="eastAsia" w:cs="Times New Roman"/>
          <w:color w:val="000000"/>
          <w:szCs w:val="22"/>
          <w:lang w:val="en-US" w:eastAsia="zh-CN"/>
        </w:rPr>
        <w:t>1.1</w:t>
      </w:r>
      <w:r>
        <w:rPr>
          <w:color w:val="000000"/>
        </w:rPr>
        <w:t>万</w:t>
      </w:r>
      <w:r>
        <w:rPr>
          <w:rFonts w:hint="eastAsia"/>
          <w:color w:val="000000"/>
          <w:lang w:eastAsia="zh-CN"/>
        </w:rPr>
        <w:t>m³，</w:t>
      </w:r>
      <w:r>
        <w:rPr>
          <w:color w:val="000000"/>
        </w:rPr>
        <w:t>土石方</w:t>
      </w:r>
      <w:r>
        <w:rPr>
          <w:rFonts w:hint="eastAsia"/>
          <w:color w:val="000000"/>
        </w:rPr>
        <w:t>总</w:t>
      </w:r>
      <w:r>
        <w:rPr>
          <w:color w:val="000000"/>
        </w:rPr>
        <w:t>回填量</w:t>
      </w:r>
      <w:r>
        <w:rPr>
          <w:rFonts w:hint="eastAsia" w:cs="Times New Roman"/>
          <w:color w:val="000000"/>
          <w:szCs w:val="22"/>
          <w:lang w:val="en-US" w:eastAsia="zh-CN"/>
        </w:rPr>
        <w:t>0.83</w:t>
      </w:r>
      <w:r>
        <w:rPr>
          <w:color w:val="000000"/>
        </w:rPr>
        <w:t>万</w:t>
      </w:r>
      <w:r>
        <w:rPr>
          <w:rFonts w:hint="eastAsia"/>
          <w:color w:val="000000"/>
          <w:lang w:eastAsia="zh-CN"/>
        </w:rPr>
        <w:t>m³（含外购种植土</w:t>
      </w:r>
      <w:r>
        <w:rPr>
          <w:rFonts w:hint="eastAsia"/>
          <w:color w:val="000000"/>
          <w:lang w:val="en-US" w:eastAsia="zh-CN"/>
        </w:rPr>
        <w:t>0.14万</w:t>
      </w:r>
      <w:r>
        <w:rPr>
          <w:rFonts w:hint="eastAsia"/>
          <w:color w:val="000000"/>
          <w:lang w:eastAsia="zh-CN"/>
        </w:rPr>
        <w:t>m³），</w:t>
      </w:r>
      <w:r>
        <w:rPr>
          <w:rFonts w:hint="eastAsia" w:ascii="Times New Roman" w:hAnsi="Times New Roman" w:cs="Times New Roman"/>
          <w:color w:val="000000"/>
          <w:kern w:val="2"/>
          <w:sz w:val="24"/>
          <w:szCs w:val="22"/>
          <w:lang w:val="en-US" w:eastAsia="zh-CN" w:bidi="ar-SA"/>
        </w:rPr>
        <w:t>产生</w:t>
      </w:r>
      <w:r>
        <w:rPr>
          <w:rFonts w:hint="eastAsia" w:ascii="Times New Roman" w:hAnsi="Times New Roman" w:eastAsia="仿宋" w:cs="Times New Roman"/>
          <w:color w:val="000000"/>
          <w:kern w:val="2"/>
          <w:sz w:val="24"/>
          <w:szCs w:val="22"/>
          <w:lang w:val="en-US" w:eastAsia="zh-CN" w:bidi="ar-SA"/>
        </w:rPr>
        <w:t>借方0.14万m³（含种植土0.14万m³），来源为外购</w:t>
      </w:r>
      <w:r>
        <w:rPr>
          <w:rFonts w:hint="eastAsia" w:ascii="Times New Roman" w:hAnsi="Times New Roman" w:cs="Times New Roman"/>
          <w:color w:val="000000"/>
          <w:kern w:val="2"/>
          <w:sz w:val="24"/>
          <w:szCs w:val="22"/>
          <w:lang w:val="en-US" w:eastAsia="zh-CN" w:bidi="ar-SA"/>
        </w:rPr>
        <w:t>，</w:t>
      </w:r>
      <w:r>
        <w:rPr>
          <w:rFonts w:hint="eastAsia"/>
          <w:color w:val="000000"/>
          <w:lang w:eastAsia="zh-CN"/>
        </w:rPr>
        <w:t>产生弃方</w:t>
      </w:r>
      <w:r>
        <w:rPr>
          <w:rFonts w:hint="eastAsia"/>
          <w:color w:val="000000"/>
          <w:lang w:val="en-US" w:eastAsia="zh-CN"/>
        </w:rPr>
        <w:t>0.41</w:t>
      </w:r>
      <w:r>
        <w:rPr>
          <w:color w:val="000000"/>
        </w:rPr>
        <w:t>万</w:t>
      </w:r>
      <w:r>
        <w:rPr>
          <w:rFonts w:hint="eastAsia"/>
          <w:color w:val="000000"/>
          <w:highlight w:val="none"/>
          <w:lang w:eastAsia="zh-CN"/>
        </w:rPr>
        <w:t>m³，</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ind w:firstLine="480" w:firstLineChars="200"/>
        <w:rPr>
          <w:rFonts w:hint="eastAsia" w:ascii="Times New Roman" w:hAnsi="Times New Roman" w:cs="Times New Roman"/>
          <w:color w:val="000000"/>
          <w:szCs w:val="22"/>
          <w:lang w:val="en-US" w:eastAsia="zh-CN"/>
        </w:rPr>
      </w:pPr>
      <w:r>
        <w:rPr>
          <w:rFonts w:hint="eastAsia" w:ascii="仿宋_GB2312" w:hAnsi="仿宋_GB2312" w:cs="仿宋_GB2312"/>
          <w:color w:val="000000"/>
          <w:szCs w:val="22"/>
          <w:lang w:eastAsia="zh-CN"/>
        </w:rPr>
        <w:t>建设投资：</w:t>
      </w:r>
      <w:r>
        <w:rPr>
          <w:rFonts w:hint="eastAsia" w:ascii="Times New Roman" w:hAnsi="Times New Roman" w:cs="Times New Roman"/>
          <w:color w:val="000000"/>
          <w:szCs w:val="22"/>
          <w:lang w:eastAsia="zh-CN"/>
        </w:rPr>
        <w:t>项目建设总投资</w:t>
      </w:r>
      <w:r>
        <w:rPr>
          <w:rFonts w:hint="eastAsia" w:ascii="仿宋_GB2312" w:hAnsi="仿宋_GB2312" w:cs="仿宋_GB2312"/>
          <w:color w:val="000000"/>
          <w:szCs w:val="22"/>
          <w:lang w:val="en-US" w:eastAsia="zh-CN"/>
        </w:rPr>
        <w:t>12600万元，</w:t>
      </w:r>
      <w:r>
        <w:rPr>
          <w:rFonts w:hint="eastAsia" w:ascii="Times New Roman" w:hAnsi="Times New Roman" w:cs="Times New Roman"/>
          <w:color w:val="000000"/>
          <w:szCs w:val="22"/>
          <w:lang w:eastAsia="zh-CN"/>
        </w:rPr>
        <w:t>其中：土建投资</w:t>
      </w:r>
      <w:r>
        <w:rPr>
          <w:rFonts w:hint="eastAsia" w:cs="Times New Roman"/>
          <w:color w:val="000000"/>
          <w:szCs w:val="22"/>
          <w:lang w:val="en-US" w:eastAsia="zh-CN"/>
        </w:rPr>
        <w:t>9500</w:t>
      </w:r>
      <w:r>
        <w:rPr>
          <w:rFonts w:hint="eastAsia" w:ascii="Times New Roman" w:hAnsi="Times New Roman" w:cs="Times New Roman"/>
          <w:color w:val="000000"/>
          <w:szCs w:val="22"/>
          <w:lang w:val="en-US" w:eastAsia="zh-CN"/>
        </w:rPr>
        <w:t>万元</w:t>
      </w:r>
      <w:r>
        <w:rPr>
          <w:rFonts w:hint="eastAsia" w:ascii="Times New Roman" w:hAnsi="Times New Roman" w:cs="Times New Roman"/>
          <w:color w:val="000000"/>
          <w:szCs w:val="22"/>
          <w:highlight w:val="none"/>
          <w:lang w:val="en-US" w:eastAsia="zh-CN"/>
        </w:rPr>
        <w:t>。</w:t>
      </w:r>
      <w:r>
        <w:rPr>
          <w:rFonts w:hint="eastAsia" w:ascii="Times New Roman" w:hAnsi="Times New Roman" w:cs="Times New Roman"/>
          <w:color w:val="000000"/>
          <w:szCs w:val="22"/>
          <w:highlight w:val="none"/>
          <w:lang w:eastAsia="zh-CN"/>
        </w:rPr>
        <w:t>资金来源为</w:t>
      </w:r>
      <w:r>
        <w:rPr>
          <w:rFonts w:hint="eastAsia"/>
          <w:color w:val="000000"/>
          <w:highlight w:val="none"/>
        </w:rPr>
        <w:t>资金来源为</w:t>
      </w:r>
      <w:r>
        <w:rPr>
          <w:rFonts w:hint="eastAsia"/>
          <w:highlight w:val="none"/>
        </w:rPr>
        <w:t>争取中</w:t>
      </w:r>
      <w:r>
        <w:rPr>
          <w:highlight w:val="none"/>
        </w:rPr>
        <w:t>、省财政补助资金和县财政资金及自筹</w:t>
      </w:r>
      <w:r>
        <w:rPr>
          <w:rFonts w:hint="eastAsia" w:ascii="Times New Roman" w:hAnsi="Times New Roman" w:cs="Times New Roman"/>
          <w:color w:val="000000"/>
          <w:szCs w:val="22"/>
          <w:highlight w:val="none"/>
          <w:lang w:val="en-US" w:eastAsia="zh-CN"/>
        </w:rPr>
        <w:t>。</w:t>
      </w:r>
    </w:p>
    <w:p>
      <w:pPr>
        <w:ind w:firstLine="480"/>
        <w:rPr>
          <w:rFonts w:hint="eastAsia" w:ascii="仿宋_GB2312" w:hAnsi="仿宋_GB2312" w:cs="仿宋_GB2312"/>
          <w:color w:val="000000"/>
          <w:szCs w:val="22"/>
          <w:lang w:val="en-US" w:eastAsia="zh-CN"/>
        </w:rPr>
      </w:pPr>
      <w:r>
        <w:rPr>
          <w:rFonts w:hint="eastAsia" w:ascii="仿宋_GB2312" w:hAnsi="仿宋_GB2312" w:cs="仿宋_GB2312"/>
          <w:color w:val="000000"/>
          <w:szCs w:val="22"/>
          <w:lang w:val="en-US" w:eastAsia="zh-CN"/>
        </w:rPr>
        <w:t>具体工程特性见表2-1所示：</w:t>
      </w:r>
    </w:p>
    <w:p>
      <w:pPr>
        <w:jc w:val="center"/>
        <w:rPr>
          <w:rFonts w:hint="eastAsia" w:ascii="仿宋" w:hAnsi="仿宋" w:eastAsia="仿宋" w:cs="宋体"/>
          <w:b/>
          <w:color w:val="auto"/>
          <w:kern w:val="0"/>
          <w:sz w:val="21"/>
          <w:szCs w:val="24"/>
          <w:lang w:val="en-US" w:eastAsia="zh-CN" w:bidi="ar-SA"/>
        </w:rPr>
      </w:pPr>
      <w:r>
        <w:rPr>
          <w:rFonts w:hint="eastAsia" w:ascii="仿宋" w:hAnsi="仿宋" w:eastAsia="仿宋" w:cs="宋体"/>
          <w:b/>
          <w:color w:val="auto"/>
          <w:kern w:val="0"/>
          <w:sz w:val="21"/>
          <w:szCs w:val="24"/>
          <w:lang w:val="en-US" w:eastAsia="zh-CN" w:bidi="ar-SA"/>
        </w:rPr>
        <w:t>表2-1</w:t>
      </w:r>
      <w:r>
        <w:rPr>
          <w:rFonts w:hint="eastAsia" w:ascii="仿宋" w:hAnsi="仿宋" w:cs="宋体"/>
          <w:b/>
          <w:color w:val="auto"/>
          <w:kern w:val="0"/>
          <w:sz w:val="21"/>
          <w:szCs w:val="24"/>
          <w:lang w:val="en-US" w:eastAsia="zh-CN" w:bidi="ar-SA"/>
        </w:rPr>
        <w:t>仪陇县琳琅大道中段棚户区改造项目（五星花园地块）</w:t>
      </w:r>
      <w:r>
        <w:rPr>
          <w:rFonts w:hint="eastAsia" w:ascii="仿宋" w:hAnsi="仿宋" w:eastAsia="仿宋" w:cs="宋体"/>
          <w:b/>
          <w:color w:val="auto"/>
          <w:kern w:val="0"/>
          <w:sz w:val="21"/>
          <w:szCs w:val="24"/>
          <w:lang w:val="en-US" w:eastAsia="zh-CN" w:bidi="ar-SA"/>
        </w:rPr>
        <w:t>工程特性表</w:t>
      </w:r>
    </w:p>
    <w:tbl>
      <w:tblPr>
        <w:tblStyle w:val="19"/>
        <w:tblW w:w="52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39"/>
        <w:gridCol w:w="721"/>
        <w:gridCol w:w="670"/>
        <w:gridCol w:w="155"/>
        <w:gridCol w:w="501"/>
        <w:gridCol w:w="604"/>
        <w:gridCol w:w="712"/>
        <w:gridCol w:w="723"/>
        <w:gridCol w:w="63"/>
        <w:gridCol w:w="499"/>
        <w:gridCol w:w="532"/>
        <w:gridCol w:w="2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000" w:type="pct"/>
            <w:gridSpan w:val="12"/>
            <w:noWrap w:val="0"/>
            <w:vAlign w:val="center"/>
          </w:tcPr>
          <w:p>
            <w:pPr>
              <w:pStyle w:val="31"/>
              <w:rPr>
                <w:color w:val="000000"/>
              </w:rPr>
            </w:pPr>
            <w:r>
              <w:rPr>
                <w:color w:val="000000"/>
              </w:rPr>
              <w:t>一、项目基本情况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color w:val="000000"/>
              </w:rPr>
            </w:pPr>
            <w:r>
              <w:rPr>
                <w:color w:val="000000"/>
              </w:rPr>
              <w:t>项目名称</w:t>
            </w:r>
          </w:p>
        </w:tc>
        <w:tc>
          <w:tcPr>
            <w:tcW w:w="2341" w:type="pct"/>
            <w:gridSpan w:val="7"/>
            <w:noWrap w:val="0"/>
            <w:vAlign w:val="center"/>
          </w:tcPr>
          <w:p>
            <w:pPr>
              <w:pStyle w:val="31"/>
              <w:rPr>
                <w:rFonts w:hint="default" w:eastAsia="仿宋_GB2312"/>
                <w:color w:val="000000"/>
                <w:lang w:val="en-US" w:eastAsia="zh-CN"/>
              </w:rPr>
            </w:pPr>
            <w:r>
              <w:rPr>
                <w:rFonts w:hint="eastAsia" w:ascii="Times New Roman" w:hAnsi="Times New Roman" w:cs="Times New Roman"/>
                <w:color w:val="000000"/>
                <w:szCs w:val="22"/>
                <w:lang w:val="en-US" w:eastAsia="zh-CN"/>
              </w:rPr>
              <w:t>仪陇县琳琅大道中段棚户区改造项目（五星花园地块）</w:t>
            </w:r>
          </w:p>
        </w:tc>
        <w:tc>
          <w:tcPr>
            <w:tcW w:w="627" w:type="pct"/>
            <w:gridSpan w:val="3"/>
            <w:noWrap w:val="0"/>
            <w:vAlign w:val="center"/>
          </w:tcPr>
          <w:p>
            <w:pPr>
              <w:pStyle w:val="31"/>
              <w:rPr>
                <w:color w:val="000000"/>
              </w:rPr>
            </w:pPr>
            <w:r>
              <w:rPr>
                <w:color w:val="000000"/>
              </w:rPr>
              <w:t>建设地点</w:t>
            </w:r>
          </w:p>
        </w:tc>
        <w:tc>
          <w:tcPr>
            <w:tcW w:w="1148" w:type="pct"/>
            <w:noWrap w:val="0"/>
            <w:vAlign w:val="center"/>
          </w:tcPr>
          <w:p>
            <w:pPr>
              <w:pStyle w:val="31"/>
              <w:rPr>
                <w:rFonts w:hint="eastAsia" w:eastAsia="仿宋_GB2312"/>
                <w:color w:val="000000"/>
                <w:lang w:val="en-US" w:eastAsia="zh-CN"/>
              </w:rPr>
            </w:pPr>
            <w:r>
              <w:rPr>
                <w:rFonts w:hint="eastAsia" w:eastAsia="仿宋_GB2312"/>
                <w:i w:val="0"/>
                <w:iCs w:val="0"/>
                <w:kern w:val="0"/>
                <w:sz w:val="21"/>
                <w:szCs w:val="21"/>
                <w:highlight w:val="none"/>
                <w:lang w:eastAsia="zh-CN"/>
              </w:rPr>
              <w:t>南充市仪陇县新政镇琳琅大道中段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color w:val="000000"/>
              </w:rPr>
            </w:pPr>
            <w:r>
              <w:rPr>
                <w:color w:val="000000"/>
              </w:rPr>
              <w:t>建设单位</w:t>
            </w:r>
          </w:p>
        </w:tc>
        <w:tc>
          <w:tcPr>
            <w:tcW w:w="2341" w:type="pct"/>
            <w:gridSpan w:val="7"/>
            <w:noWrap w:val="0"/>
            <w:vAlign w:val="center"/>
          </w:tcPr>
          <w:p>
            <w:pPr>
              <w:pStyle w:val="31"/>
              <w:rPr>
                <w:rFonts w:hint="default" w:eastAsia="仿宋_GB2312"/>
                <w:color w:val="000000"/>
                <w:lang w:val="en-US" w:eastAsia="zh-CN"/>
              </w:rPr>
            </w:pPr>
            <w:r>
              <w:rPr>
                <w:rFonts w:hint="eastAsia" w:cs="Times New Roman"/>
                <w:color w:val="000000"/>
                <w:szCs w:val="22"/>
                <w:highlight w:val="none"/>
                <w:lang w:val="en-US" w:eastAsia="zh-CN"/>
              </w:rPr>
              <w:t>四川华家建筑工程有限公司</w:t>
            </w:r>
          </w:p>
        </w:tc>
        <w:tc>
          <w:tcPr>
            <w:tcW w:w="627" w:type="pct"/>
            <w:gridSpan w:val="3"/>
            <w:noWrap w:val="0"/>
            <w:vAlign w:val="center"/>
          </w:tcPr>
          <w:p>
            <w:pPr>
              <w:pStyle w:val="31"/>
              <w:rPr>
                <w:color w:val="000000"/>
              </w:rPr>
            </w:pPr>
            <w:r>
              <w:rPr>
                <w:rFonts w:ascii="仿宋" w:hAnsi="仿宋" w:eastAsia="仿宋" w:cs="宋体"/>
                <w:kern w:val="0"/>
                <w:szCs w:val="24"/>
                <w:lang w:eastAsia="en-US"/>
              </w:rPr>
              <w:t>所在流域管理机构</w:t>
            </w:r>
          </w:p>
        </w:tc>
        <w:tc>
          <w:tcPr>
            <w:tcW w:w="1148" w:type="pct"/>
            <w:noWrap w:val="0"/>
            <w:vAlign w:val="center"/>
          </w:tcPr>
          <w:p>
            <w:pPr>
              <w:pStyle w:val="31"/>
              <w:rPr>
                <w:rFonts w:hint="eastAsia" w:eastAsia="仿宋"/>
                <w:color w:val="000000"/>
                <w:lang w:eastAsia="zh-CN"/>
              </w:rPr>
            </w:pPr>
            <w:r>
              <w:rPr>
                <w:rFonts w:hint="eastAsia"/>
                <w:color w:val="000000"/>
                <w:lang w:eastAsia="zh-CN"/>
              </w:rPr>
              <w:t>长江水利委员会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color w:val="000000"/>
              </w:rPr>
            </w:pPr>
            <w:r>
              <w:rPr>
                <w:color w:val="000000"/>
              </w:rPr>
              <w:t>工程投资</w:t>
            </w:r>
          </w:p>
        </w:tc>
        <w:tc>
          <w:tcPr>
            <w:tcW w:w="886" w:type="pct"/>
            <w:gridSpan w:val="3"/>
            <w:noWrap w:val="0"/>
            <w:vAlign w:val="center"/>
          </w:tcPr>
          <w:p>
            <w:pPr>
              <w:pStyle w:val="31"/>
              <w:rPr>
                <w:color w:val="000000"/>
                <w:highlight w:val="none"/>
              </w:rPr>
            </w:pPr>
            <w:r>
              <w:rPr>
                <w:color w:val="000000"/>
                <w:highlight w:val="none"/>
              </w:rPr>
              <w:t>总投资</w:t>
            </w:r>
          </w:p>
        </w:tc>
        <w:tc>
          <w:tcPr>
            <w:tcW w:w="1455" w:type="pct"/>
            <w:gridSpan w:val="4"/>
            <w:noWrap w:val="0"/>
            <w:vAlign w:val="center"/>
          </w:tcPr>
          <w:p>
            <w:pPr>
              <w:pStyle w:val="31"/>
              <w:rPr>
                <w:color w:val="000000"/>
                <w:highlight w:val="none"/>
              </w:rPr>
            </w:pPr>
            <w:r>
              <w:rPr>
                <w:rFonts w:hint="eastAsia"/>
                <w:color w:val="000000"/>
                <w:highlight w:val="none"/>
                <w:lang w:val="en-US" w:eastAsia="zh-CN"/>
              </w:rPr>
              <w:t>12600</w:t>
            </w:r>
            <w:r>
              <w:rPr>
                <w:color w:val="000000"/>
                <w:highlight w:val="none"/>
              </w:rPr>
              <w:t>（万元）</w:t>
            </w:r>
          </w:p>
        </w:tc>
        <w:tc>
          <w:tcPr>
            <w:tcW w:w="627" w:type="pct"/>
            <w:gridSpan w:val="3"/>
            <w:noWrap w:val="0"/>
            <w:vAlign w:val="center"/>
          </w:tcPr>
          <w:p>
            <w:pPr>
              <w:pStyle w:val="31"/>
              <w:rPr>
                <w:color w:val="000000"/>
                <w:highlight w:val="none"/>
              </w:rPr>
            </w:pPr>
            <w:r>
              <w:rPr>
                <w:color w:val="000000"/>
                <w:highlight w:val="none"/>
              </w:rPr>
              <w:t>工程性质</w:t>
            </w:r>
          </w:p>
        </w:tc>
        <w:tc>
          <w:tcPr>
            <w:tcW w:w="1148" w:type="pct"/>
            <w:noWrap w:val="0"/>
            <w:vAlign w:val="center"/>
          </w:tcPr>
          <w:p>
            <w:pPr>
              <w:pStyle w:val="31"/>
              <w:rPr>
                <w:rFonts w:hint="eastAsia" w:eastAsia="仿宋"/>
                <w:color w:val="000000"/>
                <w:highlight w:val="none"/>
                <w:lang w:eastAsia="zh-CN"/>
              </w:rPr>
            </w:pPr>
            <w:r>
              <w:rPr>
                <w:rFonts w:hint="eastAsia"/>
                <w:color w:val="000000"/>
                <w:highlight w:val="none"/>
                <w:lang w:eastAsia="zh-CN"/>
              </w:rPr>
              <w:t>新建建设类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color w:val="000000"/>
              </w:rPr>
            </w:pPr>
            <w:r>
              <w:rPr>
                <w:color w:val="000000"/>
              </w:rPr>
              <w:t>建设工期</w:t>
            </w:r>
          </w:p>
        </w:tc>
        <w:tc>
          <w:tcPr>
            <w:tcW w:w="4117" w:type="pct"/>
            <w:gridSpan w:val="11"/>
            <w:noWrap w:val="0"/>
            <w:vAlign w:val="center"/>
          </w:tcPr>
          <w:p>
            <w:pPr>
              <w:jc w:val="center"/>
              <w:rPr>
                <w:rFonts w:hint="default"/>
                <w:color w:val="000000"/>
                <w:highlight w:val="yellow"/>
                <w:lang w:val="en-US"/>
              </w:rPr>
            </w:pPr>
            <w:r>
              <w:rPr>
                <w:rFonts w:hint="eastAsia" w:ascii="Times New Roman" w:hAnsi="Times New Roman" w:eastAsia="仿宋" w:cs="Times New Roman"/>
                <w:color w:val="000000"/>
                <w:kern w:val="2"/>
                <w:sz w:val="21"/>
                <w:szCs w:val="22"/>
                <w:highlight w:val="none"/>
                <w:lang w:val="en-US" w:eastAsia="zh-CN" w:bidi="ar-SA"/>
              </w:rPr>
              <w:t>本工程已于2020年10月开工，预计2022年10月完工，总工期25个月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000" w:type="pct"/>
            <w:gridSpan w:val="12"/>
            <w:noWrap w:val="0"/>
            <w:vAlign w:val="center"/>
          </w:tcPr>
          <w:p>
            <w:pPr>
              <w:pStyle w:val="31"/>
              <w:rPr>
                <w:color w:val="000000"/>
              </w:rPr>
            </w:pPr>
            <w:r>
              <w:rPr>
                <w:color w:val="000000"/>
              </w:rPr>
              <w:t>二、工程用地情况（单位：h</w:t>
            </w:r>
            <w:r>
              <w:rPr>
                <w:rFonts w:hint="eastAsia"/>
                <w:color w:val="000000"/>
                <w:lang w:eastAsia="zh-CN"/>
              </w:rPr>
              <w:t>m²</w:t>
            </w:r>
            <w:r>
              <w:rPr>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color w:val="000000"/>
              </w:rPr>
            </w:pPr>
            <w:r>
              <w:rPr>
                <w:color w:val="000000"/>
              </w:rPr>
              <w:t>用地名称</w:t>
            </w:r>
          </w:p>
        </w:tc>
        <w:tc>
          <w:tcPr>
            <w:tcW w:w="2663" w:type="pct"/>
            <w:gridSpan w:val="9"/>
            <w:noWrap w:val="0"/>
            <w:vAlign w:val="center"/>
          </w:tcPr>
          <w:p>
            <w:pPr>
              <w:pStyle w:val="31"/>
              <w:rPr>
                <w:rFonts w:hint="default" w:eastAsia="仿宋_GB2312"/>
                <w:color w:val="000000"/>
                <w:lang w:val="en-US" w:eastAsia="zh-CN"/>
              </w:rPr>
            </w:pPr>
            <w:r>
              <w:rPr>
                <w:rFonts w:hint="eastAsia"/>
                <w:color w:val="000000"/>
                <w:lang w:val="en-US" w:eastAsia="zh-CN"/>
              </w:rPr>
              <w:t>面积</w:t>
            </w:r>
          </w:p>
        </w:tc>
        <w:tc>
          <w:tcPr>
            <w:tcW w:w="1454" w:type="pct"/>
            <w:gridSpan w:val="2"/>
            <w:noWrap w:val="0"/>
            <w:vAlign w:val="center"/>
          </w:tcPr>
          <w:p>
            <w:pPr>
              <w:pStyle w:val="31"/>
              <w:rPr>
                <w:color w:val="000000"/>
              </w:rPr>
            </w:pPr>
            <w:r>
              <w:rPr>
                <w:rFonts w:hint="eastAsia"/>
                <w:color w:val="000000"/>
              </w:rPr>
              <w:t>占地</w:t>
            </w:r>
            <w:r>
              <w:rPr>
                <w:color w:val="000000"/>
              </w:rPr>
              <w:t>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rFonts w:hint="default" w:eastAsia="仿宋_GB2312"/>
                <w:color w:val="000000"/>
                <w:lang w:val="en-US" w:eastAsia="zh-CN"/>
              </w:rPr>
            </w:pPr>
            <w:r>
              <w:rPr>
                <w:rFonts w:hint="eastAsia"/>
                <w:color w:val="000000"/>
                <w:lang w:val="en-US" w:eastAsia="zh-CN"/>
              </w:rPr>
              <w:t>住宅用地</w:t>
            </w:r>
          </w:p>
        </w:tc>
        <w:tc>
          <w:tcPr>
            <w:tcW w:w="2663" w:type="pct"/>
            <w:gridSpan w:val="9"/>
            <w:noWrap w:val="0"/>
            <w:vAlign w:val="center"/>
          </w:tcPr>
          <w:p>
            <w:pPr>
              <w:pStyle w:val="31"/>
              <w:rPr>
                <w:rFonts w:hint="default" w:eastAsia="仿宋_GB2312"/>
                <w:color w:val="000000"/>
                <w:lang w:val="en-US" w:eastAsia="zh-CN"/>
              </w:rPr>
            </w:pPr>
            <w:r>
              <w:rPr>
                <w:rFonts w:hint="eastAsia"/>
                <w:color w:val="000000"/>
                <w:lang w:val="en-US" w:eastAsia="zh-CN"/>
              </w:rPr>
              <w:t>1.02</w:t>
            </w:r>
          </w:p>
        </w:tc>
        <w:tc>
          <w:tcPr>
            <w:tcW w:w="1454" w:type="pct"/>
            <w:gridSpan w:val="2"/>
            <w:noWrap w:val="0"/>
            <w:vAlign w:val="center"/>
          </w:tcPr>
          <w:p>
            <w:pPr>
              <w:pStyle w:val="31"/>
              <w:rPr>
                <w:rFonts w:hint="default" w:eastAsia="仿宋_GB2312"/>
                <w:color w:val="000000"/>
                <w:lang w:val="en-US" w:eastAsia="zh-CN"/>
              </w:rPr>
            </w:pPr>
            <w:r>
              <w:rPr>
                <w:rFonts w:hint="eastAsia"/>
                <w:color w:val="000000"/>
              </w:rPr>
              <w:t>永久占地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000" w:type="pct"/>
            <w:gridSpan w:val="12"/>
            <w:noWrap w:val="0"/>
            <w:vAlign w:val="center"/>
          </w:tcPr>
          <w:p>
            <w:pPr>
              <w:pStyle w:val="31"/>
              <w:rPr>
                <w:color w:val="000000"/>
              </w:rPr>
            </w:pPr>
            <w:r>
              <w:rPr>
                <w:color w:val="000000"/>
              </w:rPr>
              <w:t>三、土石方工程（单位：万</w:t>
            </w:r>
            <w:r>
              <w:rPr>
                <w:rFonts w:hint="eastAsia"/>
                <w:color w:val="000000"/>
                <w:lang w:eastAsia="zh-CN"/>
              </w:rPr>
              <w:t>m³</w:t>
            </w:r>
            <w:r>
              <w:rPr>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rFonts w:hint="eastAsia" w:eastAsia="仿宋_GB2312"/>
                <w:color w:val="000000"/>
                <w:lang w:val="en-US" w:eastAsia="zh-CN"/>
              </w:rPr>
            </w:pPr>
            <w:r>
              <w:rPr>
                <w:color w:val="000000"/>
              </w:rPr>
              <w:t>项目</w:t>
            </w:r>
            <w:r>
              <w:rPr>
                <w:rFonts w:hint="eastAsia"/>
                <w:color w:val="000000"/>
                <w:lang w:val="en-US" w:eastAsia="zh-CN"/>
              </w:rPr>
              <w:t>组成</w:t>
            </w:r>
          </w:p>
        </w:tc>
        <w:tc>
          <w:tcPr>
            <w:tcW w:w="413" w:type="pct"/>
            <w:noWrap w:val="0"/>
            <w:vAlign w:val="center"/>
          </w:tcPr>
          <w:p>
            <w:pPr>
              <w:pStyle w:val="31"/>
              <w:rPr>
                <w:color w:val="000000"/>
              </w:rPr>
            </w:pPr>
            <w:r>
              <w:rPr>
                <w:color w:val="000000"/>
              </w:rPr>
              <w:t>开挖</w:t>
            </w:r>
          </w:p>
        </w:tc>
        <w:tc>
          <w:tcPr>
            <w:tcW w:w="384" w:type="pct"/>
            <w:noWrap w:val="0"/>
            <w:vAlign w:val="center"/>
          </w:tcPr>
          <w:p>
            <w:pPr>
              <w:pStyle w:val="31"/>
              <w:rPr>
                <w:color w:val="000000"/>
              </w:rPr>
            </w:pPr>
            <w:r>
              <w:rPr>
                <w:color w:val="000000"/>
              </w:rPr>
              <w:t>回填</w:t>
            </w:r>
          </w:p>
        </w:tc>
        <w:tc>
          <w:tcPr>
            <w:tcW w:w="376" w:type="pct"/>
            <w:gridSpan w:val="2"/>
            <w:noWrap w:val="0"/>
            <w:vAlign w:val="center"/>
          </w:tcPr>
          <w:p>
            <w:pPr>
              <w:pStyle w:val="31"/>
              <w:rPr>
                <w:color w:val="000000"/>
              </w:rPr>
            </w:pPr>
            <w:r>
              <w:rPr>
                <w:color w:val="000000"/>
              </w:rPr>
              <w:t>调入</w:t>
            </w:r>
          </w:p>
        </w:tc>
        <w:tc>
          <w:tcPr>
            <w:tcW w:w="346" w:type="pct"/>
            <w:noWrap w:val="0"/>
            <w:vAlign w:val="center"/>
          </w:tcPr>
          <w:p>
            <w:pPr>
              <w:pStyle w:val="31"/>
              <w:rPr>
                <w:color w:val="000000"/>
              </w:rPr>
            </w:pPr>
            <w:r>
              <w:rPr>
                <w:color w:val="000000"/>
              </w:rPr>
              <w:t>调出</w:t>
            </w:r>
          </w:p>
        </w:tc>
        <w:tc>
          <w:tcPr>
            <w:tcW w:w="408" w:type="pct"/>
            <w:noWrap w:val="0"/>
            <w:vAlign w:val="center"/>
          </w:tcPr>
          <w:p>
            <w:pPr>
              <w:pStyle w:val="31"/>
              <w:rPr>
                <w:color w:val="000000"/>
              </w:rPr>
            </w:pPr>
            <w:r>
              <w:rPr>
                <w:color w:val="000000"/>
              </w:rPr>
              <w:t>借方</w:t>
            </w:r>
          </w:p>
        </w:tc>
        <w:tc>
          <w:tcPr>
            <w:tcW w:w="450" w:type="pct"/>
            <w:gridSpan w:val="2"/>
            <w:noWrap w:val="0"/>
            <w:vAlign w:val="center"/>
          </w:tcPr>
          <w:p>
            <w:pPr>
              <w:pStyle w:val="31"/>
              <w:rPr>
                <w:color w:val="000000"/>
              </w:rPr>
            </w:pPr>
            <w:r>
              <w:rPr>
                <w:rFonts w:hint="eastAsia"/>
                <w:color w:val="000000"/>
                <w:lang w:val="en-US" w:eastAsia="zh-CN"/>
              </w:rPr>
              <w:t>弃</w:t>
            </w:r>
            <w:r>
              <w:rPr>
                <w:rFonts w:hint="eastAsia"/>
                <w:color w:val="000000"/>
              </w:rPr>
              <w:t>方</w:t>
            </w:r>
          </w:p>
        </w:tc>
        <w:tc>
          <w:tcPr>
            <w:tcW w:w="1738" w:type="pct"/>
            <w:gridSpan w:val="3"/>
            <w:noWrap w:val="0"/>
            <w:vAlign w:val="center"/>
          </w:tcPr>
          <w:p>
            <w:pPr>
              <w:pStyle w:val="31"/>
              <w:rPr>
                <w:color w:val="000000"/>
              </w:rPr>
            </w:pPr>
            <w:r>
              <w:rPr>
                <w:color w:val="00000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82" w:type="pct"/>
            <w:noWrap w:val="0"/>
            <w:vAlign w:val="center"/>
          </w:tcPr>
          <w:p>
            <w:pPr>
              <w:pStyle w:val="31"/>
              <w:rPr>
                <w:rFonts w:hint="default" w:eastAsia="仿宋_GB2312"/>
                <w:color w:val="000000"/>
                <w:lang w:val="en-US" w:eastAsia="zh-CN"/>
              </w:rPr>
            </w:pPr>
            <w:r>
              <w:rPr>
                <w:rFonts w:hint="eastAsia"/>
                <w:color w:val="000000"/>
                <w:lang w:val="en-US" w:eastAsia="zh-CN"/>
              </w:rPr>
              <w:t>建筑构物工程</w:t>
            </w:r>
          </w:p>
        </w:tc>
        <w:tc>
          <w:tcPr>
            <w:tcW w:w="413"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0.85</w:t>
            </w:r>
          </w:p>
        </w:tc>
        <w:tc>
          <w:tcPr>
            <w:tcW w:w="384"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0.44</w:t>
            </w:r>
          </w:p>
        </w:tc>
        <w:tc>
          <w:tcPr>
            <w:tcW w:w="376" w:type="pct"/>
            <w:gridSpan w:val="2"/>
            <w:noWrap w:val="0"/>
            <w:vAlign w:val="center"/>
          </w:tcPr>
          <w:p>
            <w:pPr>
              <w:pStyle w:val="31"/>
              <w:rPr>
                <w:rFonts w:hint="default" w:eastAsia="仿宋_GB2312"/>
                <w:color w:val="000000"/>
                <w:highlight w:val="none"/>
                <w:lang w:val="en-US" w:eastAsia="zh-CN"/>
              </w:rPr>
            </w:pPr>
          </w:p>
        </w:tc>
        <w:tc>
          <w:tcPr>
            <w:tcW w:w="346" w:type="pct"/>
            <w:noWrap w:val="0"/>
            <w:vAlign w:val="center"/>
          </w:tcPr>
          <w:p>
            <w:pPr>
              <w:pStyle w:val="31"/>
              <w:rPr>
                <w:color w:val="000000"/>
                <w:highlight w:val="none"/>
              </w:rPr>
            </w:pPr>
          </w:p>
        </w:tc>
        <w:tc>
          <w:tcPr>
            <w:tcW w:w="408" w:type="pct"/>
            <w:noWrap w:val="0"/>
            <w:vAlign w:val="center"/>
          </w:tcPr>
          <w:p>
            <w:pPr>
              <w:pStyle w:val="31"/>
              <w:rPr>
                <w:rFonts w:hint="default" w:eastAsia="宋体" w:cs="Times New Roman"/>
                <w:color w:val="000000"/>
                <w:highlight w:val="none"/>
                <w:lang w:val="en-US" w:eastAsia="zh-CN"/>
              </w:rPr>
            </w:pPr>
          </w:p>
        </w:tc>
        <w:tc>
          <w:tcPr>
            <w:tcW w:w="450" w:type="pct"/>
            <w:gridSpan w:val="2"/>
            <w:noWrap w:val="0"/>
            <w:vAlign w:val="center"/>
          </w:tcPr>
          <w:p>
            <w:pPr>
              <w:pStyle w:val="31"/>
              <w:rPr>
                <w:rFonts w:hint="default" w:eastAsia="宋体"/>
                <w:color w:val="000000"/>
                <w:highlight w:val="none"/>
                <w:lang w:val="en-US" w:eastAsia="zh-CN"/>
              </w:rPr>
            </w:pPr>
            <w:r>
              <w:rPr>
                <w:rFonts w:hint="eastAsia" w:eastAsia="宋体"/>
                <w:color w:val="000000"/>
                <w:highlight w:val="none"/>
                <w:lang w:val="en-US" w:eastAsia="zh-CN"/>
              </w:rPr>
              <w:t>0.41</w:t>
            </w:r>
          </w:p>
        </w:tc>
        <w:tc>
          <w:tcPr>
            <w:tcW w:w="1738" w:type="pct"/>
            <w:gridSpan w:val="3"/>
            <w:vMerge w:val="restart"/>
            <w:noWrap w:val="0"/>
            <w:vAlign w:val="center"/>
          </w:tcPr>
          <w:p>
            <w:pPr>
              <w:pStyle w:val="29"/>
              <w:rPr>
                <w:rFonts w:hint="default" w:ascii="Times New Roman" w:hAnsi="Times New Roman" w:eastAsia="仿宋" w:cs="宋体"/>
                <w:color w:val="auto"/>
                <w:kern w:val="2"/>
                <w:sz w:val="21"/>
                <w:szCs w:val="21"/>
                <w:lang w:val="en-US" w:eastAsia="zh-CN" w:bidi="ar-SA"/>
              </w:rPr>
            </w:pPr>
            <w:r>
              <w:rPr>
                <w:rFonts w:hint="default" w:ascii="Times New Roman" w:hAnsi="Times New Roman" w:eastAsia="仿宋" w:cs="宋体"/>
                <w:color w:val="auto"/>
                <w:kern w:val="2"/>
                <w:sz w:val="21"/>
                <w:szCs w:val="21"/>
                <w:lang w:val="en-US" w:eastAsia="zh-CN" w:bidi="ar-SA"/>
              </w:rPr>
              <w:t>备注：土石方均为自然方。废弃土石方由建设单位统一运至</w:t>
            </w:r>
            <w:r>
              <w:rPr>
                <w:rFonts w:hint="eastAsia" w:eastAsia="仿宋" w:cs="宋体"/>
                <w:color w:val="auto"/>
                <w:kern w:val="2"/>
                <w:sz w:val="21"/>
                <w:szCs w:val="21"/>
                <w:lang w:val="en-US" w:eastAsia="zh-CN" w:bidi="ar-SA"/>
              </w:rPr>
              <w:t>秦家岸弃土场</w:t>
            </w:r>
            <w:r>
              <w:rPr>
                <w:rFonts w:hint="eastAsia" w:ascii="Times New Roman" w:hAnsi="Times New Roman" w:eastAsia="仿宋" w:cs="宋体"/>
                <w:color w:val="auto"/>
                <w:kern w:val="2"/>
                <w:sz w:val="21"/>
                <w:szCs w:val="21"/>
                <w:lang w:val="en-US" w:eastAsia="zh-CN" w:bidi="ar-SA"/>
              </w:rPr>
              <w:t>。</w:t>
            </w:r>
          </w:p>
          <w:p>
            <w:pPr>
              <w:pStyle w:val="31"/>
              <w:rPr>
                <w:rFonts w:hint="default" w:eastAsia="宋体" w:cs="Times New Roman"/>
                <w:color w:val="000000"/>
                <w:lang w:val="en-US" w:eastAsia="zh-CN"/>
              </w:rPr>
            </w:pPr>
            <w:r>
              <w:rPr>
                <w:color w:val="auto"/>
              </w:rPr>
              <w:t>说明：各行按“开挖+调入+</w:t>
            </w:r>
            <w:r>
              <w:rPr>
                <w:rFonts w:hint="eastAsia"/>
                <w:color w:val="auto"/>
              </w:rPr>
              <w:t>借方</w:t>
            </w:r>
            <w:r>
              <w:rPr>
                <w:color w:val="auto"/>
              </w:rPr>
              <w:t>=回填+调出+</w:t>
            </w:r>
            <w:r>
              <w:rPr>
                <w:rFonts w:hint="eastAsia"/>
                <w:color w:val="auto"/>
              </w:rPr>
              <w:t>弃方</w:t>
            </w:r>
            <w:r>
              <w:rPr>
                <w:color w:val="auto"/>
              </w:rPr>
              <w:t>”进行校核。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rFonts w:hint="default"/>
                <w:color w:val="000000"/>
                <w:lang w:val="en-US" w:eastAsia="zh-CN"/>
              </w:rPr>
            </w:pPr>
            <w:r>
              <w:rPr>
                <w:rFonts w:hint="eastAsia"/>
                <w:color w:val="000000"/>
                <w:lang w:val="en-US" w:eastAsia="zh-CN"/>
              </w:rPr>
              <w:t>附属设施工程</w:t>
            </w:r>
          </w:p>
        </w:tc>
        <w:tc>
          <w:tcPr>
            <w:tcW w:w="413"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0.24</w:t>
            </w:r>
          </w:p>
        </w:tc>
        <w:tc>
          <w:tcPr>
            <w:tcW w:w="384"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0.24</w:t>
            </w:r>
          </w:p>
        </w:tc>
        <w:tc>
          <w:tcPr>
            <w:tcW w:w="376" w:type="pct"/>
            <w:gridSpan w:val="2"/>
            <w:noWrap w:val="0"/>
            <w:vAlign w:val="center"/>
          </w:tcPr>
          <w:p>
            <w:pPr>
              <w:pStyle w:val="31"/>
              <w:rPr>
                <w:rFonts w:hint="default" w:eastAsia="仿宋"/>
                <w:color w:val="000000"/>
                <w:highlight w:val="none"/>
                <w:lang w:val="en-US" w:eastAsia="zh-CN"/>
              </w:rPr>
            </w:pPr>
          </w:p>
        </w:tc>
        <w:tc>
          <w:tcPr>
            <w:tcW w:w="346" w:type="pct"/>
            <w:noWrap w:val="0"/>
            <w:vAlign w:val="center"/>
          </w:tcPr>
          <w:p>
            <w:pPr>
              <w:pStyle w:val="31"/>
              <w:rPr>
                <w:rFonts w:hint="default" w:eastAsia="仿宋_GB2312"/>
                <w:color w:val="000000"/>
                <w:highlight w:val="none"/>
                <w:lang w:val="en-US" w:eastAsia="zh-CN"/>
              </w:rPr>
            </w:pPr>
          </w:p>
        </w:tc>
        <w:tc>
          <w:tcPr>
            <w:tcW w:w="408" w:type="pct"/>
            <w:noWrap w:val="0"/>
            <w:vAlign w:val="center"/>
          </w:tcPr>
          <w:p>
            <w:pPr>
              <w:pStyle w:val="31"/>
              <w:rPr>
                <w:rFonts w:hint="default" w:eastAsia="宋体" w:cs="Times New Roman"/>
                <w:color w:val="000000"/>
                <w:highlight w:val="none"/>
                <w:lang w:val="en-US" w:eastAsia="zh-CN"/>
              </w:rPr>
            </w:pPr>
          </w:p>
        </w:tc>
        <w:tc>
          <w:tcPr>
            <w:tcW w:w="450" w:type="pct"/>
            <w:gridSpan w:val="2"/>
            <w:noWrap w:val="0"/>
            <w:vAlign w:val="center"/>
          </w:tcPr>
          <w:p>
            <w:pPr>
              <w:pStyle w:val="31"/>
              <w:rPr>
                <w:rFonts w:eastAsia="宋体"/>
                <w:color w:val="000000"/>
                <w:highlight w:val="none"/>
              </w:rPr>
            </w:pPr>
          </w:p>
        </w:tc>
        <w:tc>
          <w:tcPr>
            <w:tcW w:w="1738" w:type="pct"/>
            <w:gridSpan w:val="3"/>
            <w:vMerge w:val="continue"/>
            <w:noWrap w:val="0"/>
            <w:vAlign w:val="center"/>
          </w:tcPr>
          <w:p>
            <w:pPr>
              <w:pStyle w:val="31"/>
              <w:rPr>
                <w:rFonts w:hint="default" w:ascii="仿宋_GB2312" w:hAnsi="仿宋_GB2312" w:eastAsia="仿宋_GB2312" w:cs="仿宋_GB2312"/>
                <w:color w:val="00000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rFonts w:hint="default" w:eastAsia="仿宋_GB2312"/>
                <w:color w:val="000000"/>
                <w:lang w:val="en-US" w:eastAsia="zh-CN"/>
              </w:rPr>
            </w:pPr>
            <w:r>
              <w:rPr>
                <w:rFonts w:hint="eastAsia"/>
                <w:color w:val="000000"/>
                <w:lang w:val="en-US" w:eastAsia="zh-CN"/>
              </w:rPr>
              <w:t>景观绿化工程</w:t>
            </w:r>
          </w:p>
        </w:tc>
        <w:tc>
          <w:tcPr>
            <w:tcW w:w="413"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0.01</w:t>
            </w:r>
          </w:p>
        </w:tc>
        <w:tc>
          <w:tcPr>
            <w:tcW w:w="384"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0.15</w:t>
            </w:r>
          </w:p>
        </w:tc>
        <w:tc>
          <w:tcPr>
            <w:tcW w:w="376" w:type="pct"/>
            <w:gridSpan w:val="2"/>
            <w:noWrap w:val="0"/>
            <w:vAlign w:val="center"/>
          </w:tcPr>
          <w:p>
            <w:pPr>
              <w:pStyle w:val="31"/>
              <w:rPr>
                <w:rFonts w:hint="default" w:eastAsia="仿宋"/>
                <w:color w:val="000000"/>
                <w:highlight w:val="none"/>
                <w:lang w:val="en-US" w:eastAsia="zh-CN"/>
              </w:rPr>
            </w:pPr>
          </w:p>
        </w:tc>
        <w:tc>
          <w:tcPr>
            <w:tcW w:w="346" w:type="pct"/>
            <w:noWrap w:val="0"/>
            <w:vAlign w:val="center"/>
          </w:tcPr>
          <w:p>
            <w:pPr>
              <w:pStyle w:val="31"/>
              <w:rPr>
                <w:rFonts w:hint="default" w:eastAsia="仿宋_GB2312"/>
                <w:color w:val="000000"/>
                <w:highlight w:val="none"/>
                <w:lang w:val="en-US" w:eastAsia="zh-CN"/>
              </w:rPr>
            </w:pPr>
          </w:p>
        </w:tc>
        <w:tc>
          <w:tcPr>
            <w:tcW w:w="408"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0.14</w:t>
            </w:r>
          </w:p>
        </w:tc>
        <w:tc>
          <w:tcPr>
            <w:tcW w:w="450" w:type="pct"/>
            <w:gridSpan w:val="2"/>
            <w:noWrap w:val="0"/>
            <w:vAlign w:val="center"/>
          </w:tcPr>
          <w:p>
            <w:pPr>
              <w:pStyle w:val="31"/>
              <w:rPr>
                <w:rFonts w:hint="default" w:eastAsia="宋体"/>
                <w:color w:val="000000"/>
                <w:highlight w:val="none"/>
                <w:lang w:val="en-US" w:eastAsia="zh-CN"/>
              </w:rPr>
            </w:pPr>
          </w:p>
        </w:tc>
        <w:tc>
          <w:tcPr>
            <w:tcW w:w="1738" w:type="pct"/>
            <w:gridSpan w:val="3"/>
            <w:vMerge w:val="continue"/>
            <w:noWrap w:val="0"/>
            <w:vAlign w:val="center"/>
          </w:tcPr>
          <w:p>
            <w:pPr>
              <w:pStyle w:val="31"/>
              <w:rPr>
                <w:rFonts w:eastAsia="宋体"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82" w:type="pct"/>
            <w:noWrap w:val="0"/>
            <w:vAlign w:val="center"/>
          </w:tcPr>
          <w:p>
            <w:pPr>
              <w:pStyle w:val="31"/>
              <w:rPr>
                <w:rFonts w:hint="default"/>
                <w:color w:val="000000"/>
                <w:lang w:val="en-US" w:eastAsia="zh-CN"/>
              </w:rPr>
            </w:pPr>
            <w:r>
              <w:rPr>
                <w:rFonts w:hint="eastAsia"/>
                <w:color w:val="000000"/>
                <w:lang w:val="en-US" w:eastAsia="zh-CN"/>
              </w:rPr>
              <w:t>合计</w:t>
            </w:r>
          </w:p>
        </w:tc>
        <w:tc>
          <w:tcPr>
            <w:tcW w:w="413"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1.1</w:t>
            </w:r>
          </w:p>
        </w:tc>
        <w:tc>
          <w:tcPr>
            <w:tcW w:w="384"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0.83</w:t>
            </w:r>
          </w:p>
        </w:tc>
        <w:tc>
          <w:tcPr>
            <w:tcW w:w="376" w:type="pct"/>
            <w:gridSpan w:val="2"/>
            <w:noWrap w:val="0"/>
            <w:vAlign w:val="center"/>
          </w:tcPr>
          <w:p>
            <w:pPr>
              <w:pStyle w:val="31"/>
              <w:rPr>
                <w:rFonts w:hint="default" w:eastAsia="仿宋_GB2312"/>
                <w:color w:val="000000"/>
                <w:highlight w:val="none"/>
                <w:lang w:val="en-US" w:eastAsia="zh-CN"/>
              </w:rPr>
            </w:pPr>
          </w:p>
        </w:tc>
        <w:tc>
          <w:tcPr>
            <w:tcW w:w="346" w:type="pct"/>
            <w:noWrap w:val="0"/>
            <w:vAlign w:val="center"/>
          </w:tcPr>
          <w:p>
            <w:pPr>
              <w:pStyle w:val="31"/>
              <w:rPr>
                <w:rFonts w:hint="default" w:eastAsia="仿宋_GB2312"/>
                <w:color w:val="000000"/>
                <w:highlight w:val="none"/>
                <w:lang w:val="en-US" w:eastAsia="zh-CN"/>
              </w:rPr>
            </w:pPr>
          </w:p>
        </w:tc>
        <w:tc>
          <w:tcPr>
            <w:tcW w:w="408" w:type="pct"/>
            <w:noWrap w:val="0"/>
            <w:vAlign w:val="center"/>
          </w:tcPr>
          <w:p>
            <w:pPr>
              <w:pStyle w:val="31"/>
              <w:rPr>
                <w:rFonts w:hint="default" w:eastAsia="宋体" w:cs="Times New Roman"/>
                <w:color w:val="000000"/>
                <w:highlight w:val="none"/>
                <w:lang w:val="en-US" w:eastAsia="zh-CN"/>
              </w:rPr>
            </w:pPr>
            <w:r>
              <w:rPr>
                <w:rFonts w:hint="eastAsia" w:eastAsia="宋体" w:cs="Times New Roman"/>
                <w:color w:val="000000"/>
                <w:highlight w:val="none"/>
                <w:lang w:val="en-US" w:eastAsia="zh-CN"/>
              </w:rPr>
              <w:t>0.14</w:t>
            </w:r>
          </w:p>
        </w:tc>
        <w:tc>
          <w:tcPr>
            <w:tcW w:w="450" w:type="pct"/>
            <w:gridSpan w:val="2"/>
            <w:noWrap w:val="0"/>
            <w:vAlign w:val="center"/>
          </w:tcPr>
          <w:p>
            <w:pPr>
              <w:pStyle w:val="31"/>
              <w:rPr>
                <w:rFonts w:hint="default" w:eastAsia="宋体"/>
                <w:color w:val="000000"/>
                <w:highlight w:val="none"/>
                <w:lang w:val="en-US" w:eastAsia="zh-CN"/>
              </w:rPr>
            </w:pPr>
            <w:r>
              <w:rPr>
                <w:rFonts w:hint="eastAsia" w:eastAsia="宋体"/>
                <w:color w:val="000000"/>
                <w:highlight w:val="none"/>
                <w:lang w:val="en-US" w:eastAsia="zh-CN"/>
              </w:rPr>
              <w:t>0.41</w:t>
            </w:r>
          </w:p>
        </w:tc>
        <w:tc>
          <w:tcPr>
            <w:tcW w:w="1738" w:type="pct"/>
            <w:gridSpan w:val="3"/>
            <w:vMerge w:val="continue"/>
            <w:noWrap w:val="0"/>
            <w:vAlign w:val="center"/>
          </w:tcPr>
          <w:p>
            <w:pPr>
              <w:pStyle w:val="31"/>
              <w:rPr>
                <w:rFonts w:eastAsia="宋体" w:cs="Times New Roman"/>
                <w:color w:val="000000"/>
              </w:rPr>
            </w:pPr>
          </w:p>
        </w:tc>
      </w:tr>
    </w:tbl>
    <w:p>
      <w:pPr>
        <w:pStyle w:val="6"/>
        <w:rPr>
          <w:color w:val="000000"/>
        </w:rPr>
      </w:pPr>
      <w:r>
        <w:rPr>
          <w:rFonts w:hint="eastAsia"/>
          <w:color w:val="000000"/>
        </w:rPr>
        <w:t>2.1.2项目组成</w:t>
      </w:r>
    </w:p>
    <w:p>
      <w:pPr>
        <w:pStyle w:val="23"/>
        <w:spacing w:before="0" w:beforeLines="0" w:after="0" w:afterLines="0" w:line="360" w:lineRule="auto"/>
        <w:ind w:firstLine="480"/>
        <w:rPr>
          <w:rFonts w:hint="eastAsia" w:ascii="Times New Roman" w:hAnsi="Times New Roman" w:eastAsia="仿宋"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本项目为点型工程，主要包括建构筑物区、附属设施区、景观绿化区3部分。</w:t>
      </w:r>
    </w:p>
    <w:p>
      <w:pPr>
        <w:spacing w:line="360" w:lineRule="auto"/>
        <w:ind w:firstLine="480"/>
        <w:rPr>
          <w:rFonts w:hint="eastAsia" w:ascii="Times New Roman" w:hAnsi="Times New Roman" w:eastAsia="仿宋"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本项目总占地面积为</w:t>
      </w:r>
      <w:r>
        <w:rPr>
          <w:rFonts w:hint="eastAsia" w:ascii="Times New Roman" w:hAnsi="Times New Roman" w:cs="Times New Roman"/>
          <w:kern w:val="2"/>
          <w:sz w:val="24"/>
          <w:szCs w:val="22"/>
          <w:lang w:val="en-US" w:eastAsia="zh-CN" w:bidi="ar-SA"/>
        </w:rPr>
        <w:t>1.02</w:t>
      </w:r>
      <w:r>
        <w:rPr>
          <w:rFonts w:hint="eastAsia" w:ascii="Times New Roman" w:hAnsi="Times New Roman" w:eastAsia="仿宋" w:cs="Times New Roman"/>
          <w:kern w:val="2"/>
          <w:sz w:val="24"/>
          <w:szCs w:val="22"/>
          <w:lang w:val="en-US" w:eastAsia="zh-CN" w:bidi="ar-SA"/>
        </w:rPr>
        <w:t>hm²，其中建构筑物区占地面积为0.2</w:t>
      </w:r>
      <w:r>
        <w:rPr>
          <w:rFonts w:hint="eastAsia" w:ascii="Times New Roman" w:hAnsi="Times New Roman" w:cs="Times New Roman"/>
          <w:kern w:val="2"/>
          <w:sz w:val="24"/>
          <w:szCs w:val="22"/>
          <w:lang w:val="en-US" w:eastAsia="zh-CN" w:bidi="ar-SA"/>
        </w:rPr>
        <w:t>7</w:t>
      </w:r>
      <w:r>
        <w:rPr>
          <w:rFonts w:hint="eastAsia" w:ascii="Times New Roman" w:hAnsi="Times New Roman" w:eastAsia="仿宋" w:cs="Times New Roman"/>
          <w:kern w:val="2"/>
          <w:sz w:val="24"/>
          <w:szCs w:val="22"/>
          <w:lang w:val="en-US" w:eastAsia="zh-CN" w:bidi="ar-SA"/>
        </w:rPr>
        <w:t>hm²，附属设施区占地面积为0.</w:t>
      </w:r>
      <w:r>
        <w:rPr>
          <w:rFonts w:hint="eastAsia" w:ascii="Times New Roman" w:hAnsi="Times New Roman" w:cs="Times New Roman"/>
          <w:kern w:val="2"/>
          <w:sz w:val="24"/>
          <w:szCs w:val="22"/>
          <w:lang w:val="en-US" w:eastAsia="zh-CN" w:bidi="ar-SA"/>
        </w:rPr>
        <w:t>47</w:t>
      </w:r>
      <w:r>
        <w:rPr>
          <w:rFonts w:hint="eastAsia" w:ascii="Times New Roman" w:hAnsi="Times New Roman" w:eastAsia="仿宋" w:cs="Times New Roman"/>
          <w:kern w:val="2"/>
          <w:sz w:val="24"/>
          <w:szCs w:val="22"/>
          <w:lang w:val="en-US" w:eastAsia="zh-CN" w:bidi="ar-SA"/>
        </w:rPr>
        <w:t>hm²，景观绿化区占地0.</w:t>
      </w:r>
      <w:r>
        <w:rPr>
          <w:rFonts w:hint="eastAsia" w:ascii="Times New Roman" w:hAnsi="Times New Roman" w:cs="Times New Roman"/>
          <w:kern w:val="2"/>
          <w:sz w:val="24"/>
          <w:szCs w:val="22"/>
          <w:lang w:val="en-US" w:eastAsia="zh-CN" w:bidi="ar-SA"/>
        </w:rPr>
        <w:t>28</w:t>
      </w:r>
      <w:r>
        <w:rPr>
          <w:rFonts w:hint="eastAsia" w:cs="Times New Roman"/>
          <w:kern w:val="2"/>
          <w:sz w:val="24"/>
          <w:szCs w:val="22"/>
          <w:lang w:val="en-US" w:eastAsia="zh-CN" w:bidi="ar-SA"/>
        </w:rPr>
        <w:t xml:space="preserve"> </w:t>
      </w:r>
      <w:r>
        <w:rPr>
          <w:rFonts w:hint="eastAsia" w:ascii="Times New Roman" w:hAnsi="Times New Roman" w:eastAsia="仿宋" w:cs="Times New Roman"/>
          <w:kern w:val="2"/>
          <w:sz w:val="24"/>
          <w:szCs w:val="22"/>
          <w:lang w:val="en-US" w:eastAsia="zh-CN" w:bidi="ar-SA"/>
        </w:rPr>
        <w:t>hm²</w:t>
      </w:r>
      <w:r>
        <w:rPr>
          <w:rFonts w:hint="eastAsia" w:cs="Times New Roman"/>
          <w:kern w:val="2"/>
          <w:sz w:val="24"/>
          <w:szCs w:val="22"/>
          <w:lang w:val="en-US" w:eastAsia="zh-CN" w:bidi="ar-SA"/>
        </w:rPr>
        <w:t>，</w:t>
      </w:r>
      <w:r>
        <w:rPr>
          <w:rFonts w:hint="eastAsia" w:ascii="Times New Roman" w:hAnsi="Times New Roman" w:eastAsia="仿宋" w:cs="Times New Roman"/>
          <w:kern w:val="2"/>
          <w:sz w:val="24"/>
          <w:szCs w:val="22"/>
          <w:lang w:val="en-US" w:eastAsia="zh-CN" w:bidi="ar-SA"/>
        </w:rPr>
        <w:t>均为永久占地。</w:t>
      </w:r>
      <w:r>
        <w:rPr>
          <w:rFonts w:hint="eastAsia"/>
          <w:color w:val="000000"/>
        </w:rPr>
        <w:t>具体详见项目组成表2-2。</w:t>
      </w:r>
    </w:p>
    <w:p>
      <w:pPr>
        <w:jc w:val="center"/>
        <w:rPr>
          <w:rFonts w:hint="eastAsia" w:ascii="仿宋" w:hAnsi="仿宋" w:eastAsia="仿宋" w:cs="宋体"/>
          <w:b/>
          <w:color w:val="auto"/>
          <w:kern w:val="0"/>
          <w:sz w:val="21"/>
          <w:szCs w:val="24"/>
          <w:lang w:val="en-US" w:eastAsia="zh-CN" w:bidi="ar-SA"/>
        </w:rPr>
      </w:pPr>
      <w:bookmarkStart w:id="107" w:name="_Toc24163"/>
      <w:bookmarkStart w:id="108" w:name="_Toc19618"/>
      <w:bookmarkStart w:id="109" w:name="_Toc248"/>
      <w:bookmarkStart w:id="110" w:name="_Toc27327"/>
      <w:bookmarkStart w:id="111" w:name="_Toc18449"/>
      <w:bookmarkStart w:id="112" w:name="_Toc18952"/>
      <w:r>
        <w:rPr>
          <w:rFonts w:hint="eastAsia" w:ascii="仿宋" w:hAnsi="仿宋" w:eastAsia="仿宋" w:cs="宋体"/>
          <w:b/>
          <w:color w:val="auto"/>
          <w:kern w:val="0"/>
          <w:sz w:val="21"/>
          <w:szCs w:val="24"/>
          <w:lang w:val="en-US" w:eastAsia="zh-CN" w:bidi="ar-SA"/>
        </w:rPr>
        <w:t xml:space="preserve">表2-2  </w:t>
      </w:r>
      <w:r>
        <w:rPr>
          <w:rFonts w:hint="eastAsia" w:ascii="仿宋" w:hAnsi="仿宋" w:cs="宋体"/>
          <w:b/>
          <w:color w:val="auto"/>
          <w:kern w:val="0"/>
          <w:sz w:val="21"/>
          <w:szCs w:val="24"/>
          <w:lang w:val="en-US" w:eastAsia="zh-CN" w:bidi="ar-SA"/>
        </w:rPr>
        <w:t>仪陇县琳琅大道中段棚户区改造项目（五星花园地块）</w:t>
      </w:r>
      <w:r>
        <w:rPr>
          <w:rFonts w:hint="eastAsia" w:ascii="仿宋" w:hAnsi="仿宋" w:eastAsia="仿宋" w:cs="宋体"/>
          <w:b/>
          <w:color w:val="auto"/>
          <w:kern w:val="0"/>
          <w:sz w:val="21"/>
          <w:szCs w:val="24"/>
          <w:lang w:val="en-US" w:eastAsia="zh-CN" w:bidi="ar-SA"/>
        </w:rPr>
        <w:t>工程项目组成表</w:t>
      </w:r>
      <w:bookmarkEnd w:id="107"/>
      <w:bookmarkEnd w:id="108"/>
      <w:bookmarkEnd w:id="109"/>
      <w:bookmarkEnd w:id="110"/>
      <w:bookmarkEnd w:id="111"/>
      <w:bookmarkEnd w:id="112"/>
    </w:p>
    <w:tbl>
      <w:tblPr>
        <w:tblStyle w:val="19"/>
        <w:tblW w:w="525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011"/>
        <w:gridCol w:w="6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48" w:type="pct"/>
            <w:tcBorders>
              <w:top w:val="single" w:color="auto" w:sz="12" w:space="0"/>
              <w:left w:val="single" w:color="auto" w:sz="12" w:space="0"/>
              <w:bottom w:val="single" w:color="auto" w:sz="4" w:space="0"/>
              <w:right w:val="single" w:color="auto" w:sz="4" w:space="0"/>
            </w:tcBorders>
            <w:noWrap w:val="0"/>
            <w:vAlign w:val="center"/>
          </w:tcPr>
          <w:p>
            <w:pPr>
              <w:pStyle w:val="31"/>
              <w:keepNext/>
              <w:rPr>
                <w:rFonts w:ascii="仿宋" w:hAnsi="仿宋" w:eastAsia="仿宋"/>
              </w:rPr>
            </w:pPr>
            <w:r>
              <w:rPr>
                <w:rFonts w:hint="eastAsia" w:ascii="仿宋" w:hAnsi="仿宋" w:eastAsia="仿宋"/>
              </w:rPr>
              <w:t>项目组成</w:t>
            </w:r>
          </w:p>
        </w:tc>
        <w:tc>
          <w:tcPr>
            <w:tcW w:w="3851" w:type="pct"/>
            <w:tcBorders>
              <w:top w:val="single" w:color="auto" w:sz="12" w:space="0"/>
              <w:left w:val="single" w:color="auto" w:sz="4" w:space="0"/>
              <w:bottom w:val="single" w:color="auto" w:sz="4" w:space="0"/>
              <w:right w:val="single" w:color="auto" w:sz="12" w:space="0"/>
            </w:tcBorders>
            <w:noWrap w:val="0"/>
            <w:vAlign w:val="center"/>
          </w:tcPr>
          <w:p>
            <w:pPr>
              <w:pStyle w:val="31"/>
              <w:keepNext/>
              <w:rPr>
                <w:rFonts w:ascii="仿宋" w:hAnsi="仿宋" w:eastAsia="仿宋"/>
              </w:rPr>
            </w:pPr>
            <w:r>
              <w:rPr>
                <w:rFonts w:hint="eastAsia" w:ascii="仿宋" w:hAnsi="仿宋" w:eastAsia="仿宋"/>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48" w:type="pct"/>
            <w:tcBorders>
              <w:top w:val="single" w:color="auto" w:sz="4" w:space="0"/>
              <w:left w:val="single" w:color="auto" w:sz="12" w:space="0"/>
              <w:right w:val="single" w:color="auto" w:sz="4" w:space="0"/>
            </w:tcBorders>
            <w:noWrap w:val="0"/>
            <w:vAlign w:val="center"/>
          </w:tcPr>
          <w:p>
            <w:pPr>
              <w:pStyle w:val="31"/>
              <w:keepNext/>
              <w:rPr>
                <w:rFonts w:ascii="仿宋" w:hAnsi="仿宋" w:eastAsia="仿宋"/>
              </w:rPr>
            </w:pPr>
            <w:r>
              <w:rPr>
                <w:rFonts w:hint="eastAsia" w:ascii="Times New Roman" w:hAnsi="Times New Roman" w:eastAsia="仿宋" w:cs="Times New Roman"/>
                <w:kern w:val="2"/>
                <w:sz w:val="24"/>
                <w:szCs w:val="22"/>
                <w:lang w:val="en-US" w:eastAsia="zh-CN" w:bidi="ar-SA"/>
              </w:rPr>
              <w:t>建构筑物区</w:t>
            </w:r>
          </w:p>
        </w:tc>
        <w:tc>
          <w:tcPr>
            <w:tcW w:w="3851" w:type="pct"/>
            <w:tcBorders>
              <w:top w:val="single" w:color="auto" w:sz="4" w:space="0"/>
              <w:left w:val="single" w:color="auto" w:sz="4" w:space="0"/>
              <w:bottom w:val="single" w:color="auto" w:sz="4" w:space="0"/>
              <w:right w:val="single" w:color="auto" w:sz="12" w:space="0"/>
            </w:tcBorders>
            <w:noWrap w:val="0"/>
            <w:vAlign w:val="center"/>
          </w:tcPr>
          <w:p>
            <w:pPr>
              <w:pStyle w:val="31"/>
              <w:keepNext/>
              <w:rPr>
                <w:rFonts w:hint="default" w:ascii="仿宋" w:hAnsi="仿宋" w:eastAsia="仿宋"/>
                <w:lang w:val="en-US" w:eastAsia="zh-CN"/>
              </w:rPr>
            </w:pPr>
            <w:r>
              <w:rPr>
                <w:rFonts w:hint="eastAsia" w:ascii="仿宋" w:hAnsi="仿宋"/>
                <w:lang w:eastAsia="zh-CN"/>
              </w:rPr>
              <w:t>主要为</w:t>
            </w:r>
            <w:r>
              <w:rPr>
                <w:rFonts w:hint="eastAsia" w:ascii="仿宋" w:hAnsi="仿宋"/>
                <w:lang w:val="en-US" w:eastAsia="zh-CN"/>
              </w:rPr>
              <w:t>2栋高层住宅楼</w:t>
            </w:r>
            <w:r>
              <w:rPr>
                <w:rFonts w:hint="eastAsia"/>
                <w:lang w:eastAsia="zh-CN"/>
              </w:rPr>
              <w:t>，</w:t>
            </w:r>
            <w:r>
              <w:rPr>
                <w:rFonts w:hint="eastAsia"/>
                <w:lang w:val="en-US" w:eastAsia="zh-CN"/>
              </w:rPr>
              <w:t>2栋低层商业楼，</w:t>
            </w:r>
            <w:r>
              <w:rPr>
                <w:rFonts w:hint="eastAsia"/>
                <w:lang w:eastAsia="zh-CN"/>
              </w:rPr>
              <w:t>占地面积</w:t>
            </w:r>
            <w:r>
              <w:rPr>
                <w:rFonts w:hint="eastAsia" w:ascii="Times New Roman" w:hAnsi="Times New Roman" w:eastAsia="仿宋" w:cs="Times New Roman"/>
                <w:kern w:val="2"/>
                <w:sz w:val="24"/>
                <w:szCs w:val="22"/>
                <w:lang w:val="en-US" w:eastAsia="zh-CN" w:bidi="ar-SA"/>
              </w:rPr>
              <w:t>0.2</w:t>
            </w:r>
            <w:r>
              <w:rPr>
                <w:rFonts w:hint="eastAsia" w:ascii="Times New Roman" w:hAnsi="Times New Roman" w:cs="Times New Roman"/>
                <w:kern w:val="2"/>
                <w:sz w:val="24"/>
                <w:szCs w:val="22"/>
                <w:lang w:val="en-US" w:eastAsia="zh-CN" w:bidi="ar-SA"/>
              </w:rPr>
              <w:t>7</w:t>
            </w:r>
            <w:r>
              <w:rPr>
                <w:rFonts w:hint="eastAsia" w:ascii="Times New Roman" w:hAnsi="Times New Roman" w:eastAsia="仿宋" w:cs="Times New Roman"/>
                <w:kern w:val="2"/>
                <w:sz w:val="24"/>
                <w:szCs w:val="22"/>
                <w:lang w:val="en-US" w:eastAsia="zh-CN" w:bidi="ar-SA"/>
              </w:rPr>
              <w:t>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48" w:type="pct"/>
            <w:tcBorders>
              <w:left w:val="single" w:color="auto" w:sz="12" w:space="0"/>
              <w:right w:val="single" w:color="auto" w:sz="4" w:space="0"/>
            </w:tcBorders>
            <w:noWrap w:val="0"/>
            <w:vAlign w:val="center"/>
          </w:tcPr>
          <w:p>
            <w:pPr>
              <w:pStyle w:val="31"/>
              <w:rPr>
                <w:rFonts w:ascii="仿宋" w:hAnsi="仿宋" w:eastAsia="仿宋"/>
              </w:rPr>
            </w:pPr>
            <w:r>
              <w:rPr>
                <w:rFonts w:hint="eastAsia" w:ascii="Times New Roman" w:hAnsi="Times New Roman" w:eastAsia="仿宋" w:cs="Times New Roman"/>
                <w:kern w:val="2"/>
                <w:sz w:val="24"/>
                <w:szCs w:val="22"/>
                <w:lang w:val="en-US" w:eastAsia="zh-CN" w:bidi="ar-SA"/>
              </w:rPr>
              <w:t>附属设施区</w:t>
            </w:r>
          </w:p>
        </w:tc>
        <w:tc>
          <w:tcPr>
            <w:tcW w:w="3851" w:type="pct"/>
            <w:tcBorders>
              <w:top w:val="single" w:color="auto" w:sz="4" w:space="0"/>
              <w:left w:val="single" w:color="auto" w:sz="4" w:space="0"/>
              <w:bottom w:val="single" w:color="auto" w:sz="4" w:space="0"/>
              <w:right w:val="single" w:color="auto" w:sz="12" w:space="0"/>
            </w:tcBorders>
            <w:noWrap w:val="0"/>
            <w:vAlign w:val="center"/>
          </w:tcPr>
          <w:p>
            <w:pPr>
              <w:pStyle w:val="31"/>
              <w:rPr>
                <w:rFonts w:hint="eastAsia" w:ascii="仿宋" w:hAnsi="仿宋" w:eastAsia="仿宋"/>
                <w:lang w:eastAsia="zh-CN"/>
              </w:rPr>
            </w:pPr>
            <w:r>
              <w:rPr>
                <w:rFonts w:hint="eastAsia" w:ascii="仿宋" w:hAnsi="仿宋"/>
                <w:lang w:eastAsia="zh-CN"/>
              </w:rPr>
              <w:t>主要为配套的道路、广场、停车场等附属设施，占地面积</w:t>
            </w:r>
            <w:r>
              <w:rPr>
                <w:rFonts w:hint="eastAsia" w:ascii="Times New Roman" w:hAnsi="Times New Roman" w:eastAsia="仿宋" w:cs="Times New Roman"/>
                <w:kern w:val="2"/>
                <w:sz w:val="24"/>
                <w:szCs w:val="22"/>
                <w:lang w:val="en-US" w:eastAsia="zh-CN" w:bidi="ar-SA"/>
              </w:rPr>
              <w:t>0.</w:t>
            </w:r>
            <w:r>
              <w:rPr>
                <w:rFonts w:hint="eastAsia" w:ascii="Times New Roman" w:hAnsi="Times New Roman" w:cs="Times New Roman"/>
                <w:kern w:val="2"/>
                <w:sz w:val="24"/>
                <w:szCs w:val="22"/>
                <w:lang w:val="en-US" w:eastAsia="zh-CN" w:bidi="ar-SA"/>
              </w:rPr>
              <w:t>47</w:t>
            </w:r>
            <w:r>
              <w:rPr>
                <w:rFonts w:hint="eastAsia" w:ascii="Times New Roman" w:hAnsi="Times New Roman" w:eastAsia="仿宋" w:cs="Times New Roman"/>
                <w:kern w:val="2"/>
                <w:sz w:val="24"/>
                <w:szCs w:val="22"/>
                <w:lang w:val="en-US" w:eastAsia="zh-CN" w:bidi="ar-SA"/>
              </w:rPr>
              <w:t>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48" w:type="pct"/>
            <w:tcBorders>
              <w:left w:val="single" w:color="auto" w:sz="12" w:space="0"/>
              <w:right w:val="single" w:color="auto" w:sz="4" w:space="0"/>
            </w:tcBorders>
            <w:noWrap w:val="0"/>
            <w:vAlign w:val="center"/>
          </w:tcPr>
          <w:p>
            <w:pPr>
              <w:pStyle w:val="31"/>
              <w:rPr>
                <w:rFonts w:hint="eastAsia" w:ascii="仿宋" w:hAnsi="仿宋" w:eastAsia="仿宋"/>
              </w:rPr>
            </w:pPr>
            <w:r>
              <w:rPr>
                <w:rFonts w:hint="eastAsia" w:ascii="Times New Roman" w:hAnsi="Times New Roman" w:eastAsia="仿宋" w:cs="Times New Roman"/>
                <w:kern w:val="2"/>
                <w:sz w:val="24"/>
                <w:szCs w:val="22"/>
                <w:lang w:val="en-US" w:eastAsia="zh-CN" w:bidi="ar-SA"/>
              </w:rPr>
              <w:t>景观绿化区</w:t>
            </w:r>
          </w:p>
        </w:tc>
        <w:tc>
          <w:tcPr>
            <w:tcW w:w="3851" w:type="pct"/>
            <w:tcBorders>
              <w:top w:val="single" w:color="auto" w:sz="4" w:space="0"/>
              <w:left w:val="single" w:color="auto" w:sz="4" w:space="0"/>
              <w:bottom w:val="single" w:color="auto" w:sz="4" w:space="0"/>
              <w:right w:val="single" w:color="auto" w:sz="12" w:space="0"/>
            </w:tcBorders>
            <w:noWrap w:val="0"/>
            <w:vAlign w:val="center"/>
          </w:tcPr>
          <w:p>
            <w:pPr>
              <w:pStyle w:val="31"/>
              <w:rPr>
                <w:rFonts w:hint="default" w:ascii="仿宋" w:hAnsi="仿宋" w:eastAsia="仿宋"/>
                <w:lang w:val="en-US" w:eastAsia="zh-CN"/>
              </w:rPr>
            </w:pPr>
            <w:r>
              <w:rPr>
                <w:rFonts w:hint="eastAsia" w:ascii="仿宋" w:hAnsi="仿宋"/>
                <w:lang w:eastAsia="zh-CN"/>
              </w:rPr>
              <w:t>主要为配套的绿化，占地面积</w:t>
            </w:r>
            <w:r>
              <w:rPr>
                <w:rFonts w:hint="eastAsia" w:ascii="仿宋" w:hAnsi="仿宋"/>
                <w:lang w:val="en-US" w:eastAsia="zh-CN"/>
              </w:rPr>
              <w:t>0.28</w:t>
            </w:r>
            <w:r>
              <w:rPr>
                <w:rFonts w:hint="eastAsia" w:ascii="Times New Roman" w:hAnsi="Times New Roman" w:eastAsia="仿宋" w:cs="Times New Roman"/>
                <w:kern w:val="2"/>
                <w:sz w:val="24"/>
                <w:szCs w:val="22"/>
                <w:lang w:val="en-US" w:eastAsia="zh-CN" w:bidi="ar-SA"/>
              </w:rPr>
              <w:t>hm²</w:t>
            </w:r>
          </w:p>
        </w:tc>
      </w:tr>
    </w:tbl>
    <w:p>
      <w:pPr>
        <w:pStyle w:val="6"/>
        <w:keepNext/>
        <w:rPr>
          <w:rFonts w:ascii="仿宋" w:hAnsi="仿宋" w:eastAsia="仿宋"/>
        </w:rPr>
      </w:pPr>
      <w:r>
        <w:rPr>
          <w:rFonts w:hint="eastAsia" w:ascii="仿宋" w:hAnsi="仿宋" w:eastAsia="仿宋"/>
        </w:rPr>
        <w:t>2.1.3项目布置</w:t>
      </w:r>
    </w:p>
    <w:p>
      <w:pPr>
        <w:pStyle w:val="7"/>
        <w:ind w:left="0" w:leftChars="0" w:firstLine="0" w:firstLineChars="0"/>
        <w:rPr>
          <w:rFonts w:hint="eastAsia"/>
          <w:color w:val="000000"/>
        </w:rPr>
      </w:pPr>
      <w:r>
        <w:rPr>
          <w:rFonts w:hint="eastAsia"/>
          <w:color w:val="000000"/>
        </w:rPr>
        <w:t>2.1.3.1平面布置</w:t>
      </w:r>
    </w:p>
    <w:p>
      <w:pPr>
        <w:bidi w:val="0"/>
        <w:ind w:firstLine="480" w:firstLineChars="200"/>
        <w:rPr>
          <w:rFonts w:hint="eastAsia" w:ascii="Times New Roman" w:hAnsi="Times New Roman" w:cs="Times New Roman"/>
          <w:kern w:val="2"/>
          <w:sz w:val="24"/>
          <w:szCs w:val="22"/>
          <w:lang w:val="en-US" w:eastAsia="zh-CN" w:bidi="ar-SA"/>
        </w:rPr>
      </w:pPr>
      <w:r>
        <w:rPr>
          <w:rFonts w:hint="eastAsia"/>
          <w:lang w:val="en-US" w:eastAsia="zh-CN"/>
        </w:rPr>
        <w:t>本项目占地为接近梯形占地，拟建建筑</w:t>
      </w:r>
      <w:r>
        <w:rPr>
          <w:rFonts w:hint="eastAsia" w:ascii="仿宋" w:hAnsi="仿宋"/>
          <w:lang w:eastAsia="zh-CN"/>
        </w:rPr>
        <w:t>主要为</w:t>
      </w:r>
      <w:r>
        <w:rPr>
          <w:rFonts w:hint="eastAsia" w:ascii="仿宋" w:hAnsi="仿宋"/>
          <w:lang w:val="en-US" w:eastAsia="zh-CN"/>
        </w:rPr>
        <w:t>2栋高层住宅楼和</w:t>
      </w:r>
      <w:r>
        <w:rPr>
          <w:rFonts w:hint="eastAsia"/>
          <w:lang w:val="en-US" w:eastAsia="zh-CN"/>
        </w:rPr>
        <w:t>2栋低层商业楼，项目共计占地1.02</w:t>
      </w:r>
      <w:r>
        <w:rPr>
          <w:rFonts w:hint="eastAsia" w:ascii="Times New Roman" w:hAnsi="Times New Roman" w:eastAsia="仿宋" w:cs="Times New Roman"/>
          <w:kern w:val="2"/>
          <w:sz w:val="24"/>
          <w:szCs w:val="22"/>
          <w:lang w:val="en-US" w:eastAsia="zh-CN" w:bidi="ar-SA"/>
        </w:rPr>
        <w:t>hm²</w:t>
      </w:r>
      <w:r>
        <w:rPr>
          <w:rFonts w:hint="eastAsia" w:ascii="Times New Roman" w:hAnsi="Times New Roman" w:cs="Times New Roman"/>
          <w:kern w:val="2"/>
          <w:sz w:val="24"/>
          <w:szCs w:val="22"/>
          <w:lang w:val="en-US" w:eastAsia="zh-CN" w:bidi="ar-SA"/>
        </w:rPr>
        <w:t>，住宅楼右侧为道路及绿化区，项目东北侧修建有一个活动广场，南侧修建有一个公厕。项目区入口位于北侧靠右。</w:t>
      </w:r>
    </w:p>
    <w:p>
      <w:pPr>
        <w:pStyle w:val="7"/>
        <w:keepNext/>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rPr>
      </w:pPr>
      <w:r>
        <w:rPr>
          <w:rFonts w:hint="eastAsia"/>
          <w:color w:val="000000"/>
        </w:rPr>
        <w:t>2.1.3.2竖向布置</w:t>
      </w:r>
    </w:p>
    <w:p>
      <w:pPr>
        <w:pStyle w:val="2"/>
        <w:ind w:firstLine="480" w:firstLineChars="200"/>
        <w:rPr>
          <w:rFonts w:hint="eastAsia" w:ascii="Times New Roman" w:hAnsi="Times New Roman"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本项目竖向布置最低点</w:t>
      </w:r>
      <w:r>
        <w:rPr>
          <w:rFonts w:hint="eastAsia" w:ascii="Times New Roman" w:hAnsi="Times New Roman" w:cs="Times New Roman"/>
          <w:kern w:val="2"/>
          <w:sz w:val="24"/>
          <w:szCs w:val="22"/>
          <w:lang w:val="en-US" w:eastAsia="zh-CN" w:bidi="ar-SA"/>
        </w:rPr>
        <w:t>位于</w:t>
      </w:r>
      <w:r>
        <w:rPr>
          <w:rFonts w:hint="eastAsia" w:ascii="Times New Roman" w:hAnsi="Times New Roman" w:eastAsia="仿宋" w:cs="Times New Roman"/>
          <w:kern w:val="2"/>
          <w:sz w:val="24"/>
          <w:szCs w:val="22"/>
          <w:lang w:val="en-US" w:eastAsia="zh-CN" w:bidi="ar-SA"/>
        </w:rPr>
        <w:t>住宅区道路与嘉陵路相接处</w:t>
      </w:r>
      <w:r>
        <w:rPr>
          <w:rFonts w:hint="eastAsia" w:cs="Times New Roman"/>
          <w:kern w:val="2"/>
          <w:sz w:val="24"/>
          <w:szCs w:val="22"/>
          <w:lang w:val="en-US" w:eastAsia="zh-CN" w:bidi="ar-SA"/>
        </w:rPr>
        <w:t>328.00</w:t>
      </w:r>
      <w:r>
        <w:rPr>
          <w:rFonts w:hint="eastAsia" w:ascii="Times New Roman" w:hAnsi="Times New Roman" w:eastAsia="仿宋" w:cs="Times New Roman"/>
          <w:kern w:val="2"/>
          <w:sz w:val="24"/>
          <w:szCs w:val="22"/>
          <w:lang w:val="en-US" w:eastAsia="zh-CN" w:bidi="ar-SA"/>
        </w:rPr>
        <w:t>m</w:t>
      </w:r>
      <w:r>
        <w:rPr>
          <w:rFonts w:hint="eastAsia" w:ascii="Times New Roman" w:hAnsi="Times New Roman" w:cs="Times New Roman"/>
          <w:kern w:val="2"/>
          <w:sz w:val="24"/>
          <w:szCs w:val="22"/>
          <w:lang w:val="en-US" w:eastAsia="zh-CN" w:bidi="ar-SA"/>
        </w:rPr>
        <w:t>，</w:t>
      </w:r>
      <w:r>
        <w:rPr>
          <w:rFonts w:hint="eastAsia" w:ascii="Times New Roman" w:hAnsi="Times New Roman" w:eastAsia="仿宋" w:cs="Times New Roman"/>
          <w:kern w:val="2"/>
          <w:sz w:val="24"/>
          <w:szCs w:val="22"/>
          <w:lang w:val="en-US" w:eastAsia="zh-CN" w:bidi="ar-SA"/>
        </w:rPr>
        <w:t>最高点位于</w:t>
      </w:r>
      <w:r>
        <w:rPr>
          <w:rFonts w:hint="eastAsia" w:ascii="Times New Roman" w:hAnsi="Times New Roman" w:cs="Times New Roman"/>
          <w:kern w:val="2"/>
          <w:sz w:val="24"/>
          <w:szCs w:val="22"/>
          <w:lang w:val="en-US" w:eastAsia="zh-CN" w:bidi="ar-SA"/>
        </w:rPr>
        <w:t>项目东北侧围墙328.9m。项目地由西到东</w:t>
      </w:r>
      <w:r>
        <w:rPr>
          <w:rFonts w:hint="eastAsia" w:ascii="Times New Roman" w:hAnsi="Times New Roman" w:eastAsia="仿宋" w:cs="Times New Roman"/>
          <w:kern w:val="2"/>
          <w:sz w:val="24"/>
          <w:szCs w:val="22"/>
          <w:lang w:val="en-US" w:eastAsia="zh-CN" w:bidi="ar-SA"/>
        </w:rPr>
        <w:t>高程逐渐增大</w:t>
      </w:r>
      <w:r>
        <w:rPr>
          <w:rFonts w:hint="eastAsia" w:ascii="Times New Roman" w:hAnsi="Times New Roman" w:cs="Times New Roman"/>
          <w:kern w:val="2"/>
          <w:sz w:val="24"/>
          <w:szCs w:val="22"/>
          <w:lang w:val="en-US" w:eastAsia="zh-CN" w:bidi="ar-SA"/>
        </w:rPr>
        <w:t>。</w:t>
      </w:r>
      <w:r>
        <w:rPr>
          <w:rFonts w:hint="eastAsia" w:ascii="Times New Roman" w:hAnsi="Times New Roman" w:eastAsia="仿宋" w:cs="Times New Roman"/>
          <w:kern w:val="2"/>
          <w:sz w:val="24"/>
          <w:szCs w:val="22"/>
          <w:lang w:val="en-US" w:eastAsia="zh-CN" w:bidi="ar-SA"/>
        </w:rPr>
        <w:t>住宅楼共26楼高度为</w:t>
      </w:r>
      <w:r>
        <w:rPr>
          <w:rFonts w:hint="eastAsia" w:ascii="Times New Roman" w:hAnsi="Times New Roman" w:cs="Times New Roman"/>
          <w:kern w:val="2"/>
          <w:sz w:val="24"/>
          <w:szCs w:val="22"/>
          <w:lang w:val="en-US" w:eastAsia="zh-CN" w:bidi="ar-SA"/>
        </w:rPr>
        <w:t>81.5m，2栋商业楼均为2楼，高度为9.1m。2栋</w:t>
      </w:r>
      <w:r>
        <w:rPr>
          <w:rFonts w:hint="eastAsia" w:ascii="Times New Roman" w:hAnsi="Times New Roman" w:eastAsia="仿宋" w:cs="Times New Roman"/>
          <w:kern w:val="2"/>
          <w:sz w:val="24"/>
          <w:szCs w:val="22"/>
          <w:lang w:val="en-US" w:eastAsia="zh-CN" w:bidi="ar-SA"/>
        </w:rPr>
        <w:t>住宅楼底部为设备用房地下室，高度-4.5m</w:t>
      </w:r>
      <w:r>
        <w:rPr>
          <w:rFonts w:hint="eastAsia" w:ascii="Times New Roman" w:hAnsi="Times New Roman" w:cs="Times New Roman"/>
          <w:kern w:val="2"/>
          <w:sz w:val="24"/>
          <w:szCs w:val="22"/>
          <w:lang w:val="en-US" w:eastAsia="zh-CN" w:bidi="ar-SA"/>
        </w:rPr>
        <w:t>。</w:t>
      </w:r>
    </w:p>
    <w:p>
      <w:pPr>
        <w:pStyle w:val="7"/>
        <w:ind w:left="0" w:leftChars="0" w:firstLine="0" w:firstLineChars="0"/>
        <w:rPr>
          <w:rFonts w:hint="eastAsia" w:ascii="仿宋" w:hAnsi="仿宋" w:eastAsia="仿宋"/>
        </w:rPr>
      </w:pPr>
      <w:r>
        <w:rPr>
          <w:rFonts w:hint="eastAsia" w:ascii="仿宋" w:hAnsi="仿宋" w:eastAsia="仿宋"/>
        </w:rPr>
        <w:t>2.1.3.</w:t>
      </w:r>
      <w:r>
        <w:rPr>
          <w:rFonts w:ascii="仿宋" w:hAnsi="仿宋" w:eastAsia="仿宋"/>
        </w:rPr>
        <w:t>3</w:t>
      </w:r>
      <w:r>
        <w:rPr>
          <w:rFonts w:hint="eastAsia" w:ascii="仿宋" w:hAnsi="仿宋" w:eastAsia="仿宋"/>
        </w:rPr>
        <w:t>管线布置</w:t>
      </w:r>
    </w:p>
    <w:p>
      <w:pPr>
        <w:ind w:firstLine="480"/>
        <w:rPr>
          <w:rFonts w:ascii="仿宋" w:hAnsi="仿宋" w:eastAsia="仿宋"/>
          <w:snapToGrid w:val="0"/>
        </w:rPr>
      </w:pPr>
      <w:r>
        <w:rPr>
          <w:rFonts w:hint="eastAsia" w:ascii="仿宋" w:hAnsi="仿宋" w:eastAsia="仿宋"/>
          <w:snapToGrid w:val="0"/>
          <w:lang w:eastAsia="zh-CN"/>
        </w:rPr>
        <w:t>项目区</w:t>
      </w:r>
      <w:r>
        <w:rPr>
          <w:rFonts w:ascii="仿宋" w:hAnsi="仿宋" w:eastAsia="仿宋"/>
          <w:snapToGrid w:val="0"/>
        </w:rPr>
        <w:t>管线主要为给</w:t>
      </w:r>
      <w:r>
        <w:rPr>
          <w:rFonts w:hint="eastAsia" w:ascii="仿宋" w:hAnsi="仿宋" w:eastAsia="仿宋"/>
          <w:snapToGrid w:val="0"/>
          <w:lang w:eastAsia="zh-CN"/>
        </w:rPr>
        <w:t>排</w:t>
      </w:r>
      <w:r>
        <w:rPr>
          <w:rFonts w:ascii="仿宋" w:hAnsi="仿宋" w:eastAsia="仿宋"/>
          <w:snapToGrid w:val="0"/>
        </w:rPr>
        <w:t>水管及供电线。各管线在满足</w:t>
      </w:r>
      <w:r>
        <w:rPr>
          <w:rFonts w:hint="eastAsia" w:ascii="仿宋" w:hAnsi="仿宋"/>
          <w:snapToGrid w:val="0"/>
          <w:lang w:eastAsia="zh-CN"/>
        </w:rPr>
        <w:t>商业及住房</w:t>
      </w:r>
      <w:r>
        <w:rPr>
          <w:rFonts w:ascii="仿宋" w:hAnsi="仿宋" w:eastAsia="仿宋"/>
          <w:snapToGrid w:val="0"/>
        </w:rPr>
        <w:t>生产和生活的要求下，根据各管线的功能和要求，按照相关规范规定进行布置，各类管线尽可能沿</w:t>
      </w:r>
      <w:r>
        <w:rPr>
          <w:rFonts w:hint="eastAsia" w:ascii="仿宋" w:hAnsi="仿宋"/>
          <w:snapToGrid w:val="0"/>
          <w:lang w:eastAsia="zh-CN"/>
        </w:rPr>
        <w:t>建筑、</w:t>
      </w:r>
      <w:r>
        <w:rPr>
          <w:rFonts w:ascii="仿宋" w:hAnsi="仿宋" w:eastAsia="仿宋"/>
          <w:snapToGrid w:val="0"/>
        </w:rPr>
        <w:t>道路边线暗埋，埋线、埋管过程中尽量避免交叉，减小管、沟等构建筑物，节省工程投资。各类管线布置详见给排水，供电照明章节。</w:t>
      </w:r>
    </w:p>
    <w:p>
      <w:pPr>
        <w:pStyle w:val="4"/>
        <w:rPr>
          <w:rFonts w:hint="eastAsia"/>
        </w:rPr>
      </w:pPr>
      <w:bookmarkStart w:id="113" w:name="_Toc10215"/>
      <w:bookmarkStart w:id="114" w:name="_Toc21677"/>
      <w:bookmarkStart w:id="115" w:name="_Toc76045801"/>
      <w:r>
        <w:rPr>
          <w:rFonts w:hint="eastAsia"/>
        </w:rPr>
        <w:t>2.2项目</w:t>
      </w:r>
      <w:r>
        <w:rPr>
          <w:rFonts w:hint="eastAsia"/>
          <w:lang w:eastAsia="zh-CN"/>
        </w:rPr>
        <w:t>建设</w:t>
      </w:r>
      <w:r>
        <w:rPr>
          <w:rFonts w:hint="eastAsia"/>
        </w:rPr>
        <w:t>现状、</w:t>
      </w:r>
      <w:r>
        <w:t>水土保持措施</w:t>
      </w:r>
      <w:r>
        <w:rPr>
          <w:rFonts w:hint="eastAsia"/>
          <w:lang w:eastAsia="zh-CN"/>
        </w:rPr>
        <w:t>开展</w:t>
      </w:r>
      <w:r>
        <w:t>情况</w:t>
      </w:r>
      <w:bookmarkEnd w:id="113"/>
      <w:bookmarkEnd w:id="114"/>
      <w:bookmarkEnd w:id="115"/>
    </w:p>
    <w:p>
      <w:pPr>
        <w:pStyle w:val="2"/>
        <w:ind w:firstLine="480" w:firstLineChars="200"/>
        <w:rPr>
          <w:rFonts w:ascii="仿宋" w:hAnsi="仿宋" w:eastAsia="仿宋" w:cs="Times New Roman"/>
          <w:snapToGrid w:val="0"/>
          <w:kern w:val="2"/>
          <w:sz w:val="24"/>
          <w:szCs w:val="22"/>
          <w:lang w:val="en-US" w:eastAsia="zh-CN" w:bidi="ar-SA"/>
        </w:rPr>
      </w:pPr>
      <w:r>
        <w:rPr>
          <w:rFonts w:hint="eastAsia" w:ascii="仿宋" w:hAnsi="仿宋" w:eastAsia="仿宋" w:cs="Times New Roman"/>
          <w:snapToGrid w:val="0"/>
          <w:kern w:val="2"/>
          <w:sz w:val="24"/>
          <w:szCs w:val="22"/>
          <w:lang w:val="en-US" w:eastAsia="zh-CN" w:bidi="ar-SA"/>
        </w:rPr>
        <w:t>根据2021年7月现场踏勘，工程</w:t>
      </w:r>
      <w:r>
        <w:rPr>
          <w:rFonts w:hint="eastAsia" w:ascii="仿宋" w:hAnsi="仿宋" w:eastAsia="仿宋" w:cs="Times New Roman"/>
          <w:snapToGrid w:val="0"/>
          <w:kern w:val="2"/>
          <w:sz w:val="24"/>
          <w:szCs w:val="22"/>
          <w:highlight w:val="none"/>
          <w:lang w:val="en-US" w:eastAsia="zh-CN" w:bidi="ar-SA"/>
        </w:rPr>
        <w:t>已于2020年10月开工，</w:t>
      </w:r>
      <w:r>
        <w:rPr>
          <w:rFonts w:hint="eastAsia" w:ascii="仿宋" w:hAnsi="仿宋" w:eastAsia="仿宋" w:cs="Times New Roman"/>
          <w:snapToGrid w:val="0"/>
          <w:kern w:val="2"/>
          <w:sz w:val="24"/>
          <w:szCs w:val="22"/>
          <w:lang w:val="en-US" w:eastAsia="zh-CN" w:bidi="ar-SA"/>
        </w:rPr>
        <w:t>项目区建筑物大体已经修建完毕，场地以及道路已经硬化</w:t>
      </w:r>
      <w:r>
        <w:rPr>
          <w:rFonts w:hint="eastAsia" w:ascii="仿宋" w:hAnsi="仿宋" w:cs="Times New Roman"/>
          <w:snapToGrid w:val="0"/>
          <w:kern w:val="2"/>
          <w:sz w:val="24"/>
          <w:szCs w:val="22"/>
          <w:lang w:val="en-US" w:eastAsia="zh-CN" w:bidi="ar-SA"/>
        </w:rPr>
        <w:t>，并且场地内已有部分绿化。在附近租用的</w:t>
      </w:r>
      <w:r>
        <w:rPr>
          <w:rFonts w:hint="eastAsia" w:ascii="仿宋" w:hAnsi="仿宋" w:eastAsia="仿宋" w:cs="Times New Roman"/>
          <w:snapToGrid w:val="0"/>
          <w:kern w:val="2"/>
          <w:sz w:val="24"/>
          <w:szCs w:val="22"/>
          <w:lang w:val="en-US" w:eastAsia="zh-CN" w:bidi="ar-SA"/>
        </w:rPr>
        <w:t>施工</w:t>
      </w:r>
      <w:r>
        <w:rPr>
          <w:rFonts w:hint="eastAsia" w:ascii="仿宋" w:hAnsi="仿宋" w:cs="Times New Roman"/>
          <w:snapToGrid w:val="0"/>
          <w:kern w:val="2"/>
          <w:sz w:val="24"/>
          <w:szCs w:val="22"/>
          <w:lang w:val="en-US" w:eastAsia="zh-CN" w:bidi="ar-SA"/>
        </w:rPr>
        <w:t>生活生产</w:t>
      </w:r>
      <w:r>
        <w:rPr>
          <w:rFonts w:hint="eastAsia" w:ascii="仿宋" w:hAnsi="仿宋" w:eastAsia="仿宋" w:cs="Times New Roman"/>
          <w:snapToGrid w:val="0"/>
          <w:kern w:val="2"/>
          <w:sz w:val="24"/>
          <w:szCs w:val="22"/>
          <w:lang w:val="en-US" w:eastAsia="zh-CN" w:bidi="ar-SA"/>
        </w:rPr>
        <w:t>用地能满足施工的办公</w:t>
      </w:r>
      <w:r>
        <w:rPr>
          <w:rFonts w:hint="eastAsia" w:ascii="仿宋" w:hAnsi="仿宋" w:cs="Times New Roman"/>
          <w:snapToGrid w:val="0"/>
          <w:kern w:val="2"/>
          <w:sz w:val="24"/>
          <w:szCs w:val="22"/>
          <w:lang w:val="en-US" w:eastAsia="zh-CN" w:bidi="ar-SA"/>
        </w:rPr>
        <w:t>、生活</w:t>
      </w:r>
      <w:r>
        <w:rPr>
          <w:rFonts w:hint="eastAsia" w:ascii="仿宋" w:hAnsi="仿宋" w:eastAsia="仿宋" w:cs="Times New Roman"/>
          <w:snapToGrid w:val="0"/>
          <w:kern w:val="2"/>
          <w:sz w:val="24"/>
          <w:szCs w:val="22"/>
          <w:lang w:val="en-US" w:eastAsia="zh-CN" w:bidi="ar-SA"/>
        </w:rPr>
        <w:t>需求，不新增用地范围。场地及道路大部分区域已进行场地硬化，项目主体设有临时排水沟，具有一定的水土保持功能，主体工程建设对施工过程中的临时遮盖措施考虑不足，本方案进行补充布置，以</w:t>
      </w:r>
      <w:r>
        <w:rPr>
          <w:rFonts w:ascii="仿宋" w:hAnsi="仿宋" w:eastAsia="仿宋" w:cs="Times New Roman"/>
          <w:snapToGrid w:val="0"/>
          <w:kern w:val="2"/>
          <w:sz w:val="24"/>
          <w:szCs w:val="22"/>
          <w:lang w:val="en-US" w:eastAsia="zh-CN" w:bidi="ar-SA"/>
        </w:rPr>
        <w:t>形成完善的水土保持体系</w:t>
      </w:r>
      <w:r>
        <w:rPr>
          <w:rFonts w:hint="eastAsia" w:ascii="仿宋" w:hAnsi="仿宋" w:eastAsia="仿宋" w:cs="Times New Roman"/>
          <w:snapToGrid w:val="0"/>
          <w:kern w:val="2"/>
          <w:sz w:val="24"/>
          <w:szCs w:val="22"/>
          <w:lang w:val="en-US" w:eastAsia="zh-CN" w:bidi="ar-SA"/>
        </w:rPr>
        <w:t>。</w:t>
      </w:r>
    </w:p>
    <w:p>
      <w:pPr>
        <w:pStyle w:val="4"/>
        <w:keepNext w:val="0"/>
        <w:keepLines w:val="0"/>
        <w:pageBreakBefore w:val="0"/>
        <w:widowControl w:val="0"/>
        <w:kinsoku/>
        <w:wordWrap/>
        <w:overflowPunct/>
        <w:topLinePunct w:val="0"/>
        <w:autoSpaceDE/>
        <w:autoSpaceDN/>
        <w:bidi w:val="0"/>
        <w:adjustRightInd w:val="0"/>
        <w:snapToGrid w:val="0"/>
        <w:textAlignment w:val="auto"/>
        <w:rPr>
          <w:color w:val="000000"/>
        </w:rPr>
      </w:pPr>
      <w:bookmarkStart w:id="116" w:name="_Toc12029"/>
      <w:bookmarkStart w:id="117" w:name="_Toc28434"/>
      <w:r>
        <w:rPr>
          <w:rFonts w:hint="eastAsia"/>
          <w:color w:val="000000"/>
        </w:rPr>
        <w:t>2.</w:t>
      </w:r>
      <w:r>
        <w:rPr>
          <w:rFonts w:hint="eastAsia"/>
          <w:color w:val="000000"/>
          <w:lang w:val="en-US" w:eastAsia="zh-CN"/>
        </w:rPr>
        <w:t>3</w:t>
      </w:r>
      <w:r>
        <w:rPr>
          <w:rFonts w:hint="eastAsia"/>
          <w:color w:val="000000"/>
        </w:rPr>
        <w:t>施工组织</w:t>
      </w:r>
      <w:bookmarkEnd w:id="116"/>
      <w:bookmarkEnd w:id="117"/>
    </w:p>
    <w:p>
      <w:pPr>
        <w:pStyle w:val="6"/>
        <w:keepNext/>
        <w:rPr>
          <w:color w:val="000000"/>
        </w:rPr>
      </w:pPr>
      <w:bookmarkStart w:id="118" w:name="_Toc12920"/>
      <w:r>
        <w:rPr>
          <w:rFonts w:hint="eastAsia"/>
          <w:color w:val="000000"/>
        </w:rPr>
        <w:t>2.</w:t>
      </w:r>
      <w:r>
        <w:rPr>
          <w:rFonts w:hint="eastAsia"/>
          <w:color w:val="000000"/>
          <w:lang w:val="en-US" w:eastAsia="zh-CN"/>
        </w:rPr>
        <w:t>3</w:t>
      </w:r>
      <w:r>
        <w:rPr>
          <w:rFonts w:hint="eastAsia"/>
          <w:color w:val="000000"/>
        </w:rPr>
        <w:t>.1施工布置</w:t>
      </w:r>
      <w:bookmarkEnd w:id="118"/>
    </w:p>
    <w:p>
      <w:pPr>
        <w:pStyle w:val="7"/>
        <w:ind w:left="0" w:leftChars="0" w:firstLine="0" w:firstLineChars="0"/>
        <w:rPr>
          <w:color w:val="000000"/>
        </w:rPr>
      </w:pPr>
      <w:r>
        <w:rPr>
          <w:rFonts w:hint="eastAsia"/>
          <w:color w:val="000000"/>
        </w:rPr>
        <w:t>2.2.1</w:t>
      </w:r>
      <w:r>
        <w:rPr>
          <w:color w:val="000000"/>
        </w:rPr>
        <w:t>.1</w:t>
      </w:r>
      <w:r>
        <w:rPr>
          <w:rFonts w:hint="eastAsia"/>
          <w:color w:val="000000"/>
        </w:rPr>
        <w:t>施工便道</w:t>
      </w:r>
    </w:p>
    <w:p>
      <w:pPr>
        <w:ind w:firstLine="480"/>
      </w:pPr>
      <w:r>
        <w:rPr>
          <w:rFonts w:hint="eastAsia" w:ascii="Times New Roman" w:hAnsi="Times New Roman" w:cs="Times New Roman"/>
          <w:kern w:val="2"/>
          <w:sz w:val="24"/>
          <w:szCs w:val="22"/>
          <w:lang w:val="en-US" w:eastAsia="zh-CN" w:bidi="ar-SA"/>
        </w:rPr>
        <w:t>本项目位于</w:t>
      </w:r>
      <w:r>
        <w:rPr>
          <w:rFonts w:hint="eastAsia" w:cs="Times New Roman"/>
          <w:color w:val="000000"/>
          <w:szCs w:val="22"/>
          <w:lang w:val="en-US" w:eastAsia="zh-CN"/>
        </w:rPr>
        <w:t>南充市仪陇县新政镇琳琅大道中段</w:t>
      </w:r>
      <w:r>
        <w:rPr>
          <w:rFonts w:hint="eastAsia" w:ascii="Times New Roman" w:hAnsi="Times New Roman" w:cs="Times New Roman"/>
          <w:color w:val="000000"/>
          <w:szCs w:val="22"/>
          <w:lang w:val="en-US" w:eastAsia="zh-CN"/>
        </w:rPr>
        <w:t>，</w:t>
      </w:r>
      <w:r>
        <w:rPr>
          <w:rFonts w:hint="eastAsia"/>
          <w:color w:val="000000"/>
        </w:rPr>
        <w:t>有市政公路相通，交通便利，满足施工交通</w:t>
      </w:r>
      <w:r>
        <w:rPr>
          <w:rFonts w:hint="eastAsia"/>
          <w:color w:val="000000"/>
          <w:lang w:val="en-US" w:eastAsia="zh-CN"/>
        </w:rPr>
        <w:t>条件</w:t>
      </w:r>
      <w:r>
        <w:rPr>
          <w:rFonts w:hint="eastAsia"/>
          <w:color w:val="000000"/>
        </w:rPr>
        <w:t>，项目建设未新增施工便道。</w:t>
      </w:r>
    </w:p>
    <w:p>
      <w:pPr>
        <w:pStyle w:val="7"/>
        <w:ind w:left="0" w:leftChars="0" w:firstLine="0" w:firstLineChars="0"/>
        <w:rPr>
          <w:color w:val="000000"/>
        </w:rPr>
      </w:pPr>
      <w:r>
        <w:rPr>
          <w:rFonts w:hint="eastAsia"/>
          <w:color w:val="000000"/>
        </w:rPr>
        <w:t>2.</w:t>
      </w:r>
      <w:r>
        <w:rPr>
          <w:rFonts w:hint="eastAsia"/>
          <w:color w:val="000000"/>
          <w:lang w:val="en-US" w:eastAsia="zh-CN"/>
        </w:rPr>
        <w:t>3</w:t>
      </w:r>
      <w:r>
        <w:rPr>
          <w:rFonts w:hint="eastAsia"/>
          <w:color w:val="000000"/>
        </w:rPr>
        <w:t>.1</w:t>
      </w:r>
      <w:r>
        <w:rPr>
          <w:color w:val="000000"/>
        </w:rPr>
        <w:t>.2</w:t>
      </w:r>
      <w:r>
        <w:rPr>
          <w:rFonts w:hint="eastAsia"/>
          <w:color w:val="000000"/>
        </w:rPr>
        <w:t>施工材料</w:t>
      </w:r>
    </w:p>
    <w:p>
      <w:pPr>
        <w:ind w:firstLine="480"/>
      </w:pPr>
      <w:r>
        <w:rPr>
          <w:rFonts w:hint="eastAsia"/>
          <w:color w:val="000000"/>
        </w:rPr>
        <w:t>本项目建设所需砂石料、碎石、水泥、钢筋等均在合法料场购买，施工原材料供应过程中产生的水土流失防治责任由供应商负责，本方案以下章节不再提及。</w:t>
      </w:r>
    </w:p>
    <w:p>
      <w:pPr>
        <w:pStyle w:val="7"/>
        <w:ind w:left="0" w:leftChars="0" w:firstLine="0" w:firstLineChars="0"/>
        <w:rPr>
          <w:color w:val="000000"/>
        </w:rPr>
      </w:pPr>
      <w:r>
        <w:rPr>
          <w:rFonts w:hint="eastAsia"/>
          <w:color w:val="000000"/>
        </w:rPr>
        <w:t>2.</w:t>
      </w:r>
      <w:r>
        <w:rPr>
          <w:rFonts w:hint="eastAsia"/>
          <w:color w:val="000000"/>
          <w:lang w:val="en-US" w:eastAsia="zh-CN"/>
        </w:rPr>
        <w:t>3</w:t>
      </w:r>
      <w:r>
        <w:rPr>
          <w:color w:val="000000"/>
        </w:rPr>
        <w:t>.1.3</w:t>
      </w:r>
      <w:r>
        <w:rPr>
          <w:rFonts w:hint="eastAsia"/>
          <w:color w:val="000000"/>
        </w:rPr>
        <w:t>施工临时设施布置</w:t>
      </w:r>
    </w:p>
    <w:p>
      <w:pPr>
        <w:numPr>
          <w:ilvl w:val="0"/>
          <w:numId w:val="3"/>
        </w:numPr>
        <w:ind w:firstLine="240" w:firstLineChars="100"/>
        <w:rPr>
          <w:color w:val="000000"/>
        </w:rPr>
      </w:pPr>
      <w:r>
        <w:rPr>
          <w:rFonts w:hint="eastAsia"/>
          <w:color w:val="000000"/>
        </w:rPr>
        <w:t>施工营地</w:t>
      </w:r>
    </w:p>
    <w:p>
      <w:pPr>
        <w:ind w:firstLine="480"/>
        <w:rPr>
          <w:rFonts w:hint="default" w:eastAsia="仿宋_GB2312"/>
          <w:color w:val="000000"/>
          <w:vertAlign w:val="baseline"/>
          <w:lang w:val="en-US" w:eastAsia="zh-CN"/>
        </w:rPr>
      </w:pPr>
      <w:r>
        <w:rPr>
          <w:rFonts w:hint="eastAsia"/>
          <w:color w:val="000000"/>
        </w:rPr>
        <w:t>本项目</w:t>
      </w:r>
      <w:r>
        <w:rPr>
          <w:rFonts w:hint="eastAsia"/>
          <w:color w:val="000000"/>
          <w:lang w:val="en-US" w:eastAsia="zh-CN"/>
        </w:rPr>
        <w:t>工人住所和项目部为租用周边居民用房，未单独设置施工营地。</w:t>
      </w:r>
    </w:p>
    <w:p>
      <w:pPr>
        <w:numPr>
          <w:ilvl w:val="0"/>
          <w:numId w:val="3"/>
        </w:numPr>
        <w:ind w:firstLine="240" w:firstLineChars="100"/>
        <w:rPr>
          <w:color w:val="000000"/>
        </w:rPr>
      </w:pPr>
      <w:r>
        <w:rPr>
          <w:rFonts w:hint="eastAsia"/>
          <w:color w:val="000000"/>
        </w:rPr>
        <w:t>临时堆土场</w:t>
      </w:r>
    </w:p>
    <w:p>
      <w:pPr>
        <w:pStyle w:val="24"/>
      </w:pPr>
      <w:r>
        <w:rPr>
          <w:rFonts w:hint="eastAsia"/>
          <w:color w:val="000000"/>
        </w:rPr>
        <w:t>经现场调查及查阅工程</w:t>
      </w:r>
      <w:r>
        <w:rPr>
          <w:rFonts w:hint="eastAsia"/>
          <w:color w:val="000000"/>
          <w:lang w:val="en-US" w:eastAsia="zh-CN"/>
        </w:rPr>
        <w:t>相关</w:t>
      </w:r>
      <w:r>
        <w:rPr>
          <w:rFonts w:hint="eastAsia"/>
          <w:color w:val="000000"/>
        </w:rPr>
        <w:t>资料，项目表层土主要为</w:t>
      </w:r>
      <w:r>
        <w:rPr>
          <w:rFonts w:hint="eastAsia"/>
          <w:color w:val="000000"/>
          <w:lang w:eastAsia="zh-CN"/>
        </w:rPr>
        <w:t>夯实土和石方</w:t>
      </w:r>
      <w:r>
        <w:rPr>
          <w:rFonts w:hint="eastAsia"/>
          <w:color w:val="000000"/>
        </w:rPr>
        <w:t>组成，无可用于后期绿化覆土的土质，因此施工单位施工前未采取表土剥离措施，</w:t>
      </w:r>
      <w:r>
        <w:rPr>
          <w:rFonts w:hint="eastAsia"/>
          <w:color w:val="000000"/>
          <w:lang w:val="en-US" w:eastAsia="zh-CN"/>
        </w:rPr>
        <w:t>故未设置表土堆放场。</w:t>
      </w:r>
    </w:p>
    <w:p>
      <w:pPr>
        <w:pStyle w:val="7"/>
        <w:ind w:left="0" w:leftChars="0" w:firstLine="0" w:firstLineChars="0"/>
        <w:rPr>
          <w:color w:val="000000"/>
          <w:highlight w:val="none"/>
        </w:rPr>
      </w:pPr>
      <w:r>
        <w:rPr>
          <w:rFonts w:hint="eastAsia"/>
          <w:color w:val="000000"/>
        </w:rPr>
        <w:t>2.</w:t>
      </w:r>
      <w:r>
        <w:rPr>
          <w:rFonts w:hint="eastAsia"/>
          <w:color w:val="000000"/>
          <w:highlight w:val="none"/>
          <w:lang w:val="en-US" w:eastAsia="zh-CN"/>
        </w:rPr>
        <w:t>3</w:t>
      </w:r>
      <w:r>
        <w:rPr>
          <w:color w:val="000000"/>
          <w:highlight w:val="none"/>
        </w:rPr>
        <w:t>.1.4</w:t>
      </w:r>
      <w:r>
        <w:rPr>
          <w:rFonts w:hint="eastAsia"/>
          <w:color w:val="000000"/>
          <w:highlight w:val="none"/>
        </w:rPr>
        <w:t>施工用水、电及通讯</w:t>
      </w:r>
    </w:p>
    <w:p>
      <w:pPr>
        <w:pStyle w:val="23"/>
        <w:numPr>
          <w:ilvl w:val="0"/>
          <w:numId w:val="4"/>
        </w:numPr>
        <w:spacing w:before="0" w:beforeLines="0" w:after="0" w:afterLines="0" w:line="360" w:lineRule="auto"/>
        <w:ind w:firstLine="480"/>
        <w:rPr>
          <w:rFonts w:hint="default" w:ascii="Times New Roman" w:hAnsi="Times New Roman" w:eastAsia="仿宋_GB2312" w:cs="Times New Roman"/>
          <w:i w:val="0"/>
          <w:iCs w:val="0"/>
          <w:color w:val="auto"/>
          <w:kern w:val="1"/>
          <w:sz w:val="24"/>
          <w:szCs w:val="24"/>
          <w:highlight w:val="none"/>
        </w:rPr>
      </w:pPr>
      <w:r>
        <w:rPr>
          <w:rFonts w:hint="eastAsia" w:ascii="Times New Roman"/>
          <w:i w:val="0"/>
          <w:iCs w:val="0"/>
          <w:sz w:val="24"/>
          <w:szCs w:val="16"/>
          <w:highlight w:val="none"/>
        </w:rPr>
        <w:t>施工</w:t>
      </w:r>
      <w:r>
        <w:rPr>
          <w:rFonts w:hint="eastAsia" w:ascii="Times New Roman"/>
          <w:i w:val="0"/>
          <w:iCs w:val="0"/>
          <w:sz w:val="24"/>
          <w:szCs w:val="16"/>
          <w:highlight w:val="none"/>
          <w:lang w:eastAsia="zh-CN"/>
        </w:rPr>
        <w:t>用水用电</w:t>
      </w:r>
      <w:r>
        <w:rPr>
          <w:rFonts w:hint="eastAsia" w:ascii="Times New Roman"/>
          <w:i w:val="0"/>
          <w:iCs w:val="0"/>
          <w:sz w:val="24"/>
          <w:szCs w:val="16"/>
          <w:highlight w:val="none"/>
        </w:rPr>
        <w:t>：</w:t>
      </w:r>
      <w:r>
        <w:rPr>
          <w:rFonts w:hint="default" w:ascii="Times New Roman" w:hAnsi="Times New Roman" w:eastAsia="仿宋_GB2312" w:cs="Times New Roman"/>
          <w:i w:val="0"/>
          <w:iCs w:val="0"/>
          <w:color w:val="auto"/>
          <w:kern w:val="1"/>
          <w:sz w:val="24"/>
          <w:szCs w:val="24"/>
          <w:highlight w:val="none"/>
        </w:rPr>
        <w:t>本项目建设施工用水用电和项目建成后用水用电就近从市政供水网和供电系统接入，不需另行计列供水供电设施的占地。</w:t>
      </w:r>
    </w:p>
    <w:p>
      <w:pPr>
        <w:pStyle w:val="23"/>
        <w:numPr>
          <w:ilvl w:val="0"/>
          <w:numId w:val="0"/>
        </w:numPr>
        <w:spacing w:before="0" w:beforeLines="0" w:after="0" w:afterLines="0" w:line="360" w:lineRule="auto"/>
        <w:ind w:firstLine="480" w:firstLineChars="200"/>
        <w:rPr>
          <w:rStyle w:val="32"/>
          <w:rFonts w:hint="eastAsia"/>
          <w:lang w:val="en-US" w:eastAsia="zh-CN"/>
        </w:rPr>
      </w:pPr>
      <w:r>
        <w:rPr>
          <w:rFonts w:hint="eastAsia" w:ascii="Times New Roman"/>
          <w:i w:val="0"/>
          <w:iCs w:val="0"/>
          <w:sz w:val="24"/>
          <w:szCs w:val="16"/>
          <w:highlight w:val="none"/>
          <w:lang w:eastAsia="zh-CN"/>
        </w:rPr>
        <w:t>（</w:t>
      </w:r>
      <w:r>
        <w:rPr>
          <w:rFonts w:hint="eastAsia" w:ascii="Times New Roman"/>
          <w:i w:val="0"/>
          <w:iCs w:val="0"/>
          <w:sz w:val="24"/>
          <w:szCs w:val="16"/>
          <w:highlight w:val="none"/>
          <w:lang w:val="en-US" w:eastAsia="zh-CN"/>
        </w:rPr>
        <w:t>2</w:t>
      </w:r>
      <w:r>
        <w:rPr>
          <w:rFonts w:hint="eastAsia" w:ascii="Times New Roman"/>
          <w:i w:val="0"/>
          <w:iCs w:val="0"/>
          <w:sz w:val="24"/>
          <w:szCs w:val="16"/>
          <w:highlight w:val="none"/>
          <w:lang w:eastAsia="zh-CN"/>
        </w:rPr>
        <w:t>）</w:t>
      </w:r>
      <w:r>
        <w:rPr>
          <w:rFonts w:hint="eastAsia" w:ascii="Times New Roman"/>
          <w:i w:val="0"/>
          <w:iCs w:val="0"/>
          <w:sz w:val="24"/>
          <w:szCs w:val="16"/>
          <w:highlight w:val="none"/>
        </w:rPr>
        <w:t>工程区已有通讯信号全面覆盖，可采用移动</w:t>
      </w:r>
      <w:r>
        <w:rPr>
          <w:rFonts w:hint="eastAsia" w:ascii="Times New Roman"/>
          <w:i w:val="0"/>
          <w:iCs w:val="0"/>
          <w:sz w:val="24"/>
          <w:szCs w:val="16"/>
          <w:highlight w:val="none"/>
          <w:lang w:eastAsia="zh-CN"/>
        </w:rPr>
        <w:t>、电信</w:t>
      </w:r>
      <w:r>
        <w:rPr>
          <w:rFonts w:hint="eastAsia" w:ascii="Times New Roman"/>
          <w:i w:val="0"/>
          <w:iCs w:val="0"/>
          <w:sz w:val="24"/>
          <w:szCs w:val="16"/>
          <w:highlight w:val="none"/>
        </w:rPr>
        <w:t>或联通通讯联系。</w:t>
      </w:r>
    </w:p>
    <w:p>
      <w:pPr>
        <w:pStyle w:val="6"/>
        <w:rPr>
          <w:color w:val="000000"/>
        </w:rPr>
      </w:pPr>
      <w:bookmarkStart w:id="119" w:name="_Toc27179"/>
      <w:r>
        <w:rPr>
          <w:rFonts w:hint="eastAsia"/>
          <w:color w:val="000000"/>
        </w:rPr>
        <w:t>2.</w:t>
      </w:r>
      <w:r>
        <w:rPr>
          <w:rFonts w:hint="eastAsia"/>
          <w:color w:val="000000"/>
          <w:lang w:val="en-US" w:eastAsia="zh-CN"/>
        </w:rPr>
        <w:t>3</w:t>
      </w:r>
      <w:r>
        <w:rPr>
          <w:color w:val="000000"/>
        </w:rPr>
        <w:t>.2</w:t>
      </w:r>
      <w:r>
        <w:rPr>
          <w:rFonts w:hint="eastAsia"/>
          <w:color w:val="000000"/>
        </w:rPr>
        <w:t>施工工艺</w:t>
      </w:r>
      <w:bookmarkEnd w:id="119"/>
    </w:p>
    <w:p>
      <w:pPr>
        <w:ind w:firstLine="480"/>
        <w:rPr>
          <w:szCs w:val="24"/>
        </w:rPr>
      </w:pPr>
      <w:r>
        <w:rPr>
          <w:rFonts w:hint="eastAsia"/>
          <w:szCs w:val="24"/>
        </w:rPr>
        <w:t>本项目施工</w:t>
      </w:r>
      <w:r>
        <w:rPr>
          <w:szCs w:val="24"/>
        </w:rPr>
        <w:t>主要包括土石方</w:t>
      </w:r>
      <w:r>
        <w:rPr>
          <w:rFonts w:hint="eastAsia"/>
          <w:szCs w:val="24"/>
        </w:rPr>
        <w:t>挖填</w:t>
      </w:r>
      <w:r>
        <w:rPr>
          <w:szCs w:val="24"/>
        </w:rPr>
        <w:t>、</w:t>
      </w:r>
      <w:r>
        <w:rPr>
          <w:rFonts w:hint="eastAsia"/>
          <w:szCs w:val="24"/>
          <w:lang w:eastAsia="zh-CN"/>
        </w:rPr>
        <w:t>路面工程和</w:t>
      </w:r>
      <w:r>
        <w:rPr>
          <w:szCs w:val="24"/>
        </w:rPr>
        <w:t>绿化工程等</w:t>
      </w:r>
      <w:r>
        <w:rPr>
          <w:rFonts w:hint="eastAsia"/>
          <w:szCs w:val="24"/>
        </w:rPr>
        <w:t>。</w:t>
      </w:r>
      <w:r>
        <w:rPr>
          <w:szCs w:val="24"/>
        </w:rPr>
        <w:t>在施工过程中采用机械施工与人工施工相结合的方法。</w:t>
      </w:r>
    </w:p>
    <w:p>
      <w:pPr>
        <w:ind w:firstLine="480"/>
      </w:pPr>
      <w:r>
        <w:t>（</w:t>
      </w:r>
      <w:r>
        <w:rPr>
          <w:rFonts w:hint="eastAsia"/>
          <w:lang w:val="en-US" w:eastAsia="zh-CN"/>
        </w:rPr>
        <w:t>1</w:t>
      </w:r>
      <w:r>
        <w:t>）土石方开挖</w:t>
      </w:r>
      <w:r>
        <w:rPr>
          <w:rFonts w:hint="eastAsia"/>
        </w:rPr>
        <w:t>及回填</w:t>
      </w:r>
    </w:p>
    <w:p>
      <w:pPr>
        <w:ind w:firstLine="480"/>
        <w:rPr>
          <w:rFonts w:hint="eastAsia"/>
        </w:rPr>
      </w:pPr>
      <w:r>
        <w:rPr>
          <w:rFonts w:hint="eastAsia"/>
        </w:rPr>
        <w:t>土石方施工主要</w:t>
      </w:r>
      <w:r>
        <w:t>采用机械方式进行场平开挖，开挖时从上到下分层分段依次进行，采用</w:t>
      </w:r>
      <w:r>
        <w:rPr>
          <w:rFonts w:hint="eastAsia"/>
        </w:rPr>
        <w:t>“</w:t>
      </w:r>
      <w:r>
        <w:rPr>
          <w:rFonts w:hint="eastAsia"/>
          <w:lang w:eastAsia="zh-CN"/>
        </w:rPr>
        <w:t>高</w:t>
      </w:r>
      <w:r>
        <w:t>挖低填</w:t>
      </w:r>
      <w:r>
        <w:rPr>
          <w:rFonts w:hint="eastAsia"/>
        </w:rPr>
        <w:t>”</w:t>
      </w:r>
      <w:r>
        <w:t>方式作业，先将高出设计标高的土方挖出，然后将低洼处填埋至基础标高，并碾压以满足</w:t>
      </w:r>
      <w:r>
        <w:rPr>
          <w:rFonts w:hint="eastAsia"/>
        </w:rPr>
        <w:t>堆坡</w:t>
      </w:r>
      <w:r>
        <w:t>要求，使场地达到设计标高</w:t>
      </w:r>
      <w:r>
        <w:rPr>
          <w:rFonts w:hint="eastAsia"/>
        </w:rPr>
        <w:t>及</w:t>
      </w:r>
      <w:r>
        <w:t>要求。</w:t>
      </w:r>
    </w:p>
    <w:p>
      <w:pPr>
        <w:ind w:firstLine="480"/>
        <w:rPr>
          <w:rFonts w:hint="eastAsia"/>
        </w:rPr>
      </w:pPr>
      <w:r>
        <w:rPr>
          <w:rFonts w:hint="eastAsia"/>
        </w:rPr>
        <w:t>本项目的土石方施工主要发生在</w:t>
      </w:r>
      <w:r>
        <w:rPr>
          <w:rFonts w:hint="eastAsia"/>
          <w:lang w:val="en-US" w:eastAsia="zh-CN"/>
        </w:rPr>
        <w:t>建筑构物区、</w:t>
      </w:r>
      <w:r>
        <w:rPr>
          <w:rFonts w:hint="eastAsia"/>
        </w:rPr>
        <w:t>排水</w:t>
      </w:r>
      <w:r>
        <w:rPr>
          <w:rFonts w:hint="eastAsia"/>
          <w:lang w:eastAsia="zh-CN"/>
        </w:rPr>
        <w:t>管</w:t>
      </w:r>
      <w:r>
        <w:rPr>
          <w:rFonts w:hint="eastAsia"/>
        </w:rPr>
        <w:t>开挖回填施工以及绿化</w:t>
      </w:r>
      <w:r>
        <w:rPr>
          <w:rFonts w:hint="eastAsia"/>
          <w:lang w:eastAsia="zh-CN"/>
        </w:rPr>
        <w:t>种植土</w:t>
      </w:r>
      <w:r>
        <w:rPr>
          <w:rFonts w:hint="eastAsia"/>
        </w:rPr>
        <w:t>回填施工</w:t>
      </w:r>
      <w:r>
        <w:rPr>
          <w:rFonts w:hint="eastAsia"/>
          <w:lang w:val="en-US" w:eastAsia="zh-CN"/>
        </w:rPr>
        <w:t>等</w:t>
      </w:r>
      <w:r>
        <w:rPr>
          <w:rFonts w:hint="eastAsia"/>
        </w:rPr>
        <w:t>。</w:t>
      </w:r>
    </w:p>
    <w:p>
      <w:pPr>
        <w:ind w:firstLine="480"/>
        <w:rPr>
          <w:rFonts w:hint="eastAsia"/>
        </w:rPr>
      </w:pPr>
      <w:r>
        <w:t>排水管道和排水沟开挖根据管道的不同，开挖断面不同，开挖断面均采用梯形断面，管道沟槽开挖</w:t>
      </w:r>
      <w:r>
        <w:rPr>
          <w:rFonts w:hint="eastAsia"/>
        </w:rPr>
        <w:t>开槽采用1.0</w:t>
      </w:r>
      <w:r>
        <w:rPr>
          <w:rFonts w:hint="eastAsia"/>
          <w:lang w:eastAsia="zh-CN"/>
        </w:rPr>
        <w:t>m³</w:t>
      </w:r>
      <w:r>
        <w:rPr>
          <w:rFonts w:hint="eastAsia" w:ascii="仿宋_GB2312" w:hAnsi="仿宋_GB2312" w:cs="仿宋_GB2312"/>
        </w:rPr>
        <w:t>挖掘机施工，辅以人工掏挖。</w:t>
      </w:r>
      <w:r>
        <w:t>排水沟以机械为主。开挖时结合道路施工时序合理安排。</w:t>
      </w:r>
      <w:r>
        <w:rPr>
          <w:rFonts w:hint="eastAsia"/>
        </w:rPr>
        <w:t>本项目雨水管道为地埋的方式敷设，管道埋深为1.02~2.10m，由于项目区地形较为平坦，根据地形开挖沟槽铺设雨污水管，即可满足将雨水、污水排出项目区的要求。沟槽支撑根据沟槽的土质、地下水位、开槽断面、荷载条件等因素进行设计。管沟开挖出的土方，临时堆存于管沟一侧或两侧，及时回填，不能及时回填的采取挡护及临时遮盖措施。</w:t>
      </w:r>
    </w:p>
    <w:p>
      <w:pPr>
        <w:ind w:firstLine="480"/>
        <w:rPr>
          <w:rFonts w:hint="eastAsia" w:ascii="Times New Roman" w:hAnsi="Times New Roman" w:cs="Times New Roman"/>
          <w:szCs w:val="22"/>
          <w:lang w:val="en-US" w:eastAsia="zh-CN"/>
        </w:rPr>
      </w:pPr>
      <w:r>
        <w:rPr>
          <w:rFonts w:hint="eastAsia"/>
          <w:lang w:val="en-US" w:eastAsia="zh-CN"/>
        </w:rPr>
        <w:t>（2</w:t>
      </w:r>
      <w:r>
        <w:t>）</w:t>
      </w:r>
      <w:r>
        <w:rPr>
          <w:rFonts w:hint="eastAsia" w:ascii="Times New Roman" w:hAnsi="Times New Roman" w:cs="Times New Roman"/>
          <w:szCs w:val="22"/>
          <w:lang w:val="en-US" w:eastAsia="zh-CN"/>
        </w:rPr>
        <w:t>路面工程</w:t>
      </w:r>
    </w:p>
    <w:p>
      <w:pPr>
        <w:bidi w:val="0"/>
        <w:ind w:firstLine="480" w:firstLineChars="200"/>
        <w:rPr>
          <w:rFonts w:hint="eastAsia"/>
          <w:lang w:val="en-US" w:eastAsia="zh-CN"/>
        </w:rPr>
      </w:pPr>
      <w:r>
        <w:rPr>
          <w:rFonts w:hint="eastAsia"/>
          <w:lang w:val="en-US" w:eastAsia="zh-CN"/>
        </w:rPr>
        <w:t>路面最下方进行素土夯实，其上采用100厚的连砂石垫层，再上方采用80厚C25混凝土层和40厚C30彩色混凝土面层，最上部采用无色透明密封。</w:t>
      </w:r>
    </w:p>
    <w:p>
      <w:pPr>
        <w:numPr>
          <w:ilvl w:val="0"/>
          <w:numId w:val="0"/>
        </w:numPr>
        <w:bidi w:val="0"/>
        <w:ind w:leftChars="200"/>
        <w:rPr>
          <w:rFonts w:hint="eastAsia"/>
          <w:lang w:val="en-US" w:eastAsia="zh-CN"/>
        </w:rPr>
      </w:pPr>
      <w:r>
        <w:rPr>
          <w:rFonts w:hint="eastAsia"/>
          <w:lang w:val="en-US" w:eastAsia="zh-CN"/>
        </w:rPr>
        <w:t>（2）景观绿化工程</w:t>
      </w:r>
    </w:p>
    <w:p>
      <w:pPr>
        <w:keepNext w:val="0"/>
        <w:keepLines w:val="0"/>
        <w:pageBreakBefore w:val="0"/>
        <w:widowControl w:val="0"/>
        <w:numPr>
          <w:ilvl w:val="0"/>
          <w:numId w:val="5"/>
        </w:numPr>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场地的平整、构筑与清理：按城市园林绿化规定的平整绿化地面至设计坡度要求，平面绿化地平整坡度控制在2.5-3。</w:t>
      </w:r>
    </w:p>
    <w:p>
      <w:pPr>
        <w:numPr>
          <w:ilvl w:val="0"/>
          <w:numId w:val="5"/>
        </w:numPr>
        <w:bidi w:val="0"/>
        <w:ind w:left="0" w:leftChars="0" w:firstLine="480" w:firstLineChars="200"/>
        <w:rPr>
          <w:rFonts w:hint="eastAsia"/>
          <w:lang w:val="en-US" w:eastAsia="zh-CN"/>
        </w:rPr>
      </w:pPr>
      <w:r>
        <w:rPr>
          <w:rFonts w:hint="eastAsia"/>
          <w:lang w:val="en-US" w:eastAsia="zh-CN"/>
        </w:rPr>
        <w:t>土壤应疏松湿润，排水良好，PH值为5-7，含有机质的肥沃土壤。</w:t>
      </w:r>
    </w:p>
    <w:p>
      <w:pPr>
        <w:numPr>
          <w:ilvl w:val="0"/>
          <w:numId w:val="5"/>
        </w:numPr>
        <w:bidi w:val="0"/>
        <w:ind w:left="0" w:leftChars="0" w:firstLine="480" w:firstLineChars="200"/>
        <w:rPr>
          <w:rFonts w:hint="default"/>
          <w:lang w:val="en-US" w:eastAsia="zh-CN"/>
        </w:rPr>
      </w:pPr>
      <w:r>
        <w:rPr>
          <w:rFonts w:hint="eastAsia"/>
          <w:lang w:val="en-US" w:eastAsia="zh-CN"/>
        </w:rPr>
        <w:t>草坪、花卉种植地应施基肥，翻耕25-30cm，搂平耙细去除杂物，平整度和坡度符合设计要求。</w:t>
      </w:r>
    </w:p>
    <w:p>
      <w:pPr>
        <w:numPr>
          <w:ilvl w:val="0"/>
          <w:numId w:val="5"/>
        </w:numPr>
        <w:bidi w:val="0"/>
        <w:ind w:left="0" w:leftChars="0" w:firstLine="480" w:firstLineChars="200"/>
        <w:rPr>
          <w:rFonts w:hint="eastAsia"/>
          <w:lang w:val="en-US" w:eastAsia="zh-CN"/>
        </w:rPr>
      </w:pPr>
      <w:r>
        <w:rPr>
          <w:rFonts w:hint="eastAsia"/>
          <w:lang w:val="en-US" w:eastAsia="zh-CN"/>
        </w:rPr>
        <w:t>植物生长最低种植土层厚度应符合下列规定：</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198"/>
        <w:gridCol w:w="1271"/>
        <w:gridCol w:w="1350"/>
        <w:gridCol w:w="1247"/>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31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草本花卉</w:t>
            </w:r>
          </w:p>
        </w:tc>
        <w:tc>
          <w:tcPr>
            <w:tcW w:w="119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草坪地被</w:t>
            </w:r>
          </w:p>
        </w:tc>
        <w:tc>
          <w:tcPr>
            <w:tcW w:w="1271"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小灌木</w:t>
            </w:r>
          </w:p>
        </w:tc>
        <w:tc>
          <w:tcPr>
            <w:tcW w:w="135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大灌木</w:t>
            </w:r>
          </w:p>
        </w:tc>
        <w:tc>
          <w:tcPr>
            <w:tcW w:w="1247"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浅根乔木</w:t>
            </w:r>
          </w:p>
        </w:tc>
        <w:tc>
          <w:tcPr>
            <w:tcW w:w="1361"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深根乔木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5"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30cm</w:t>
            </w:r>
          </w:p>
        </w:tc>
        <w:tc>
          <w:tcPr>
            <w:tcW w:w="1198"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30cm</w:t>
            </w:r>
          </w:p>
        </w:tc>
        <w:tc>
          <w:tcPr>
            <w:tcW w:w="1271"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45cm</w:t>
            </w:r>
          </w:p>
        </w:tc>
        <w:tc>
          <w:tcPr>
            <w:tcW w:w="1350"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60cm</w:t>
            </w:r>
          </w:p>
        </w:tc>
        <w:tc>
          <w:tcPr>
            <w:tcW w:w="1247"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120cm</w:t>
            </w:r>
          </w:p>
        </w:tc>
        <w:tc>
          <w:tcPr>
            <w:tcW w:w="1361" w:type="dxa"/>
            <w:noWrap w:val="0"/>
            <w:vAlign w:val="top"/>
          </w:tcPr>
          <w:p>
            <w:pPr>
              <w:bidi w:val="0"/>
              <w:jc w:val="left"/>
              <w:rPr>
                <w:rFonts w:hint="default"/>
                <w:sz w:val="21"/>
                <w:szCs w:val="21"/>
                <w:vertAlign w:val="baseline"/>
                <w:lang w:val="en-US" w:eastAsia="zh-CN"/>
              </w:rPr>
            </w:pPr>
            <w:r>
              <w:rPr>
                <w:rFonts w:hint="eastAsia"/>
                <w:sz w:val="21"/>
                <w:szCs w:val="21"/>
                <w:vertAlign w:val="baseline"/>
                <w:lang w:val="en-US" w:eastAsia="zh-CN"/>
              </w:rPr>
              <w:t>150cm</w:t>
            </w:r>
          </w:p>
        </w:tc>
      </w:tr>
    </w:tbl>
    <w:p>
      <w:pPr>
        <w:numPr>
          <w:ilvl w:val="0"/>
          <w:numId w:val="5"/>
        </w:numPr>
        <w:bidi w:val="0"/>
        <w:ind w:left="0" w:leftChars="0" w:firstLine="480" w:firstLineChars="200"/>
        <w:rPr>
          <w:rFonts w:hint="default"/>
          <w:lang w:val="en-US" w:eastAsia="zh-CN"/>
        </w:rPr>
      </w:pPr>
      <w:r>
        <w:rPr>
          <w:rFonts w:hint="eastAsia"/>
          <w:lang w:val="en-US" w:eastAsia="zh-CN"/>
        </w:rPr>
        <w:t>树木土球直径：普通苗木土球直径应为胸径7倍以上，大苗土球应加大，根据不同情况土球是胸径的7-10倍，土球厚度应是直径的2/3。</w:t>
      </w:r>
    </w:p>
    <w:p>
      <w:pPr>
        <w:numPr>
          <w:ilvl w:val="0"/>
          <w:numId w:val="5"/>
        </w:numPr>
        <w:bidi w:val="0"/>
        <w:ind w:left="0" w:leftChars="0" w:firstLine="480" w:firstLineChars="200"/>
        <w:rPr>
          <w:rFonts w:hint="default"/>
          <w:lang w:val="en-US" w:eastAsia="zh-CN"/>
        </w:rPr>
      </w:pPr>
      <w:r>
        <w:rPr>
          <w:rFonts w:hint="eastAsia"/>
          <w:lang w:val="en-US" w:eastAsia="zh-CN"/>
        </w:rPr>
        <w:t>苗木要求：严格按苗木表规格购苗，应选择枝干健壮。形体优美的苗木，大苗移植尽量减少截枝量，严禁没枝的单干单木，乔木分支点不少于4个；规则式种植的乔灌木，（如广场上列植乔木等）同种苗木的规格大小统一；丛植或群式种植的乔灌木，同种或不同种苗木都应高低错落，充分体现自然生长的特点。植后同种苗木相差；孤植树应选种树形姿态优美、造型奇特、冠形圆整耐看的优质苗木；分层种植的灌木花带边缘轮廓线上种植密度应大于规定密度，平面线形流畅，外缘成弧形，高低层次分明；所有植物须健康、新鲜、无病虫害，无缺乏矿物质症状，生长旺盛；</w:t>
      </w:r>
    </w:p>
    <w:p>
      <w:pPr>
        <w:numPr>
          <w:ilvl w:val="0"/>
          <w:numId w:val="5"/>
        </w:numPr>
        <w:bidi w:val="0"/>
        <w:ind w:left="0" w:leftChars="0" w:firstLine="480" w:firstLineChars="200"/>
        <w:rPr>
          <w:rFonts w:hint="default"/>
          <w:lang w:val="en-US" w:eastAsia="zh-CN"/>
        </w:rPr>
      </w:pPr>
      <w:r>
        <w:rPr>
          <w:rFonts w:hint="default"/>
          <w:lang w:val="en-US" w:eastAsia="zh-CN"/>
        </w:rPr>
        <w:t>植后应每天浇水至少两次，集中养护管理。</w:t>
      </w:r>
    </w:p>
    <w:p>
      <w:pPr>
        <w:numPr>
          <w:ilvl w:val="0"/>
          <w:numId w:val="5"/>
        </w:numPr>
        <w:bidi w:val="0"/>
        <w:ind w:left="0" w:leftChars="0" w:firstLine="480" w:firstLineChars="200"/>
        <w:rPr>
          <w:rFonts w:hint="default"/>
          <w:lang w:val="en-US" w:eastAsia="zh-CN"/>
        </w:rPr>
      </w:pPr>
      <w:r>
        <w:rPr>
          <w:rFonts w:hint="eastAsia"/>
          <w:lang w:val="en-US" w:eastAsia="zh-CN"/>
        </w:rPr>
        <w:t>草皮移植平整度误差≤10cm。</w:t>
      </w:r>
    </w:p>
    <w:p>
      <w:pPr>
        <w:numPr>
          <w:ilvl w:val="0"/>
          <w:numId w:val="5"/>
        </w:numPr>
        <w:bidi w:val="0"/>
        <w:ind w:left="0" w:leftChars="0" w:firstLine="480" w:firstLineChars="200"/>
        <w:rPr>
          <w:rFonts w:hint="eastAsia"/>
          <w:lang w:val="en-US" w:eastAsia="zh-CN"/>
        </w:rPr>
      </w:pPr>
      <w:r>
        <w:rPr>
          <w:rFonts w:hint="eastAsia"/>
          <w:lang w:val="en-US" w:eastAsia="zh-CN"/>
        </w:rPr>
        <w:t>种植定点放线：按施工平面图所标尺寸定点放线，如为不规则造型，应用方格网及图中比例尺定点放线，图中未标明尺寸的种植，按图比例依实放线定点，要求定点放线准确，符合设计要求。</w:t>
      </w:r>
    </w:p>
    <w:p>
      <w:pPr>
        <w:numPr>
          <w:ilvl w:val="0"/>
          <w:numId w:val="5"/>
        </w:numPr>
        <w:bidi w:val="0"/>
        <w:ind w:left="0" w:leftChars="0" w:firstLine="480" w:firstLineChars="200"/>
        <w:rPr>
          <w:rFonts w:hint="default"/>
          <w:lang w:val="en-US" w:eastAsia="zh-CN"/>
        </w:rPr>
      </w:pPr>
      <w:r>
        <w:rPr>
          <w:rFonts w:hint="eastAsia"/>
          <w:lang w:val="en-US" w:eastAsia="zh-CN"/>
        </w:rPr>
        <w:t>种植：按园林绿化常规方法施工，要求基肥应与碎土充分混匀。成列的乔木应按苗木的自然高度依次排列；点植的花草树木应自然种植，高低错落有致。种植土应击碎分层捣实，最后起土圈并淋足定根水。</w:t>
      </w:r>
    </w:p>
    <w:p>
      <w:pPr>
        <w:numPr>
          <w:ilvl w:val="0"/>
          <w:numId w:val="5"/>
        </w:numPr>
        <w:bidi w:val="0"/>
        <w:ind w:left="0" w:leftChars="0" w:firstLine="480" w:firstLineChars="200"/>
        <w:rPr>
          <w:rFonts w:hint="default"/>
          <w:lang w:val="en-US" w:eastAsia="zh-CN"/>
        </w:rPr>
      </w:pPr>
      <w:r>
        <w:rPr>
          <w:rFonts w:hint="eastAsia"/>
          <w:lang w:val="en-US" w:eastAsia="zh-CN"/>
        </w:rPr>
        <w:t>修剪造型</w:t>
      </w:r>
    </w:p>
    <w:p>
      <w:pPr>
        <w:bidi w:val="0"/>
        <w:rPr>
          <w:rFonts w:hint="default"/>
          <w:lang w:val="en-US" w:eastAsia="zh-CN"/>
        </w:rPr>
      </w:pPr>
      <w:r>
        <w:rPr>
          <w:rFonts w:hint="default"/>
          <w:lang w:val="en-US" w:eastAsia="zh-CN"/>
        </w:rPr>
        <w:t>花草树木种植后，应修剪造型，使花草树木种植后初始冠型能有利于将来形成优美冠型，达到理想绿化景观。</w:t>
      </w:r>
    </w:p>
    <w:p>
      <w:pPr>
        <w:numPr>
          <w:ilvl w:val="0"/>
          <w:numId w:val="5"/>
        </w:numPr>
        <w:bidi w:val="0"/>
        <w:ind w:left="0" w:leftChars="0" w:firstLine="480" w:firstLineChars="200"/>
        <w:rPr>
          <w:rFonts w:hint="eastAsia"/>
          <w:lang w:val="en-US" w:eastAsia="zh-CN"/>
        </w:rPr>
      </w:pPr>
      <w:r>
        <w:rPr>
          <w:rFonts w:hint="eastAsia"/>
          <w:lang w:val="en-US" w:eastAsia="zh-CN"/>
        </w:rPr>
        <w:t>灌木球下围可用同品种小株围满，使其看不到灌木球下面枝干为最好效果。</w:t>
      </w:r>
    </w:p>
    <w:p>
      <w:pPr>
        <w:numPr>
          <w:ilvl w:val="0"/>
          <w:numId w:val="5"/>
        </w:numPr>
        <w:bidi w:val="0"/>
        <w:ind w:left="0" w:leftChars="0" w:firstLine="480" w:firstLineChars="200"/>
        <w:rPr>
          <w:rFonts w:hint="default"/>
          <w:lang w:val="en-US" w:eastAsia="zh-CN"/>
        </w:rPr>
      </w:pPr>
      <w:r>
        <w:rPr>
          <w:rFonts w:hint="default"/>
          <w:lang w:val="en-US" w:eastAsia="zh-CN"/>
        </w:rPr>
        <w:t>当乔木靠近道路种植时，可以适当截去下面的枝干，提高分枝点高度，使其不影响视线。</w:t>
      </w:r>
    </w:p>
    <w:p>
      <w:pPr>
        <w:pStyle w:val="6"/>
        <w:rPr>
          <w:color w:val="000000"/>
        </w:rPr>
      </w:pPr>
      <w:bookmarkStart w:id="120" w:name="_Toc28493"/>
      <w:r>
        <w:rPr>
          <w:rFonts w:hint="eastAsia"/>
          <w:color w:val="000000"/>
        </w:rPr>
        <w:t>2.</w:t>
      </w:r>
      <w:r>
        <w:rPr>
          <w:rFonts w:hint="eastAsia"/>
          <w:color w:val="000000"/>
          <w:lang w:val="en-US" w:eastAsia="zh-CN"/>
        </w:rPr>
        <w:t>3</w:t>
      </w:r>
      <w:r>
        <w:rPr>
          <w:color w:val="000000"/>
        </w:rPr>
        <w:t>.3</w:t>
      </w:r>
      <w:r>
        <w:rPr>
          <w:rFonts w:hint="eastAsia"/>
          <w:color w:val="000000"/>
        </w:rPr>
        <w:t>施工管理</w:t>
      </w:r>
      <w:bookmarkEnd w:id="120"/>
    </w:p>
    <w:p>
      <w:pPr>
        <w:ind w:firstLine="480"/>
        <w:rPr>
          <w:rFonts w:hint="eastAsia"/>
          <w:color w:val="000000"/>
        </w:rPr>
      </w:pPr>
      <w:r>
        <w:rPr>
          <w:rFonts w:hint="eastAsia"/>
          <w:color w:val="000000"/>
        </w:rPr>
        <w:t>为确保工程质量和工期，建设单位组建了精干有效的管理机构，严格控制施工进度和质量。项目根据工程数量、施工难易、工期安排等划分施工单元，施工单位采用公开招标方式确定，选择具有相应资质、信誉良好的施工队伍，保证工程质量、进度，顺利完成工程投资。工程实施中认真贯彻“百年大计，质量第一”的方针和国家有关质量法规，实行项目法人责任制、工程招投标制、监理制和合同管理制，强化质量管理，形成一套行之有效的质量管理体系。</w:t>
      </w:r>
    </w:p>
    <w:p>
      <w:pPr>
        <w:pStyle w:val="4"/>
        <w:rPr>
          <w:color w:val="000000"/>
        </w:rPr>
      </w:pPr>
      <w:bookmarkStart w:id="121" w:name="_Toc48656918"/>
      <w:bookmarkStart w:id="122" w:name="_Toc30570"/>
      <w:bookmarkStart w:id="123" w:name="_Toc4206"/>
      <w:bookmarkStart w:id="124" w:name="_Toc3178"/>
      <w:bookmarkStart w:id="125" w:name="_Toc17539"/>
      <w:bookmarkStart w:id="126" w:name="_Toc15635"/>
      <w:r>
        <w:rPr>
          <w:rFonts w:hint="eastAsia"/>
          <w:color w:val="000000"/>
        </w:rPr>
        <w:t>2.</w:t>
      </w:r>
      <w:r>
        <w:rPr>
          <w:rFonts w:hint="eastAsia"/>
          <w:color w:val="000000"/>
          <w:lang w:val="en-US" w:eastAsia="zh-CN"/>
        </w:rPr>
        <w:t>4</w:t>
      </w:r>
      <w:r>
        <w:rPr>
          <w:rFonts w:hint="eastAsia"/>
          <w:color w:val="000000"/>
        </w:rPr>
        <w:t>项目占地</w:t>
      </w:r>
      <w:bookmarkEnd w:id="121"/>
      <w:bookmarkEnd w:id="122"/>
      <w:bookmarkEnd w:id="123"/>
      <w:bookmarkEnd w:id="124"/>
      <w:bookmarkEnd w:id="125"/>
      <w:bookmarkEnd w:id="126"/>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b/>
          <w:color w:val="000000"/>
          <w:sz w:val="21"/>
        </w:rPr>
      </w:pPr>
      <w:r>
        <w:rPr>
          <w:rFonts w:hint="eastAsia"/>
          <w:color w:val="000000"/>
        </w:rPr>
        <w:t>根据现场调查及查阅主体工程资料，本项目建设区</w:t>
      </w:r>
      <w:r>
        <w:rPr>
          <w:rFonts w:hint="eastAsia"/>
          <w:color w:val="000000"/>
          <w:lang w:eastAsia="zh-CN"/>
        </w:rPr>
        <w:t>总</w:t>
      </w:r>
      <w:r>
        <w:rPr>
          <w:rFonts w:hint="eastAsia"/>
          <w:color w:val="000000"/>
        </w:rPr>
        <w:t>占地面积</w:t>
      </w:r>
      <w:r>
        <w:rPr>
          <w:rFonts w:hint="eastAsia"/>
          <w:color w:val="000000"/>
          <w:lang w:val="en-US" w:eastAsia="zh-CN"/>
        </w:rPr>
        <w:t>1.02</w:t>
      </w:r>
      <w:r>
        <w:rPr>
          <w:color w:val="000000"/>
        </w:rPr>
        <w:t>h</w:t>
      </w:r>
      <w:r>
        <w:rPr>
          <w:rFonts w:hint="eastAsia"/>
          <w:color w:val="000000"/>
          <w:lang w:eastAsia="zh-CN"/>
        </w:rPr>
        <w:t>m²</w:t>
      </w:r>
      <w:r>
        <w:rPr>
          <w:rFonts w:hint="eastAsia"/>
          <w:color w:val="000000"/>
        </w:rPr>
        <w:t>，</w:t>
      </w:r>
      <w:r>
        <w:rPr>
          <w:rFonts w:hint="eastAsia"/>
          <w:color w:val="000000"/>
          <w:lang w:val="en-US" w:eastAsia="zh-CN"/>
        </w:rPr>
        <w:t>均为永久占地，</w:t>
      </w:r>
      <w:r>
        <w:rPr>
          <w:rFonts w:hint="eastAsia"/>
          <w:color w:val="000000"/>
        </w:rPr>
        <w:t>占地类型为</w:t>
      </w:r>
      <w:r>
        <w:rPr>
          <w:rFonts w:hint="eastAsia"/>
          <w:color w:val="000000"/>
          <w:lang w:eastAsia="zh-CN"/>
        </w:rPr>
        <w:t>住宅用地</w:t>
      </w:r>
      <w:r>
        <w:rPr>
          <w:rFonts w:hint="eastAsia"/>
          <w:color w:val="000000"/>
        </w:rPr>
        <w:t>。</w:t>
      </w:r>
      <w:r>
        <w:rPr>
          <w:rFonts w:hint="eastAsia"/>
          <w:color w:val="000000"/>
          <w:lang w:eastAsia="zh-CN"/>
        </w:rPr>
        <w:t>永久占地分为建筑构物区、附属设施区和景观绿化区。</w:t>
      </w:r>
      <w:r>
        <w:rPr>
          <w:rFonts w:hint="eastAsia"/>
          <w:color w:val="000000"/>
        </w:rPr>
        <w:t>项目占地汇总表见下表2</w:t>
      </w:r>
      <w:r>
        <w:rPr>
          <w:color w:val="000000"/>
        </w:rPr>
        <w:t>-</w:t>
      </w:r>
      <w:r>
        <w:rPr>
          <w:rFonts w:hint="eastAsia"/>
          <w:color w:val="000000"/>
          <w:lang w:val="en-US" w:eastAsia="zh-CN"/>
        </w:rPr>
        <w:t>5</w:t>
      </w:r>
      <w:r>
        <w:rPr>
          <w:rFonts w:hint="eastAsia"/>
          <w:color w:val="000000"/>
        </w:rPr>
        <w:t>。</w:t>
      </w:r>
    </w:p>
    <w:p>
      <w:pPr>
        <w:keepNext w:val="0"/>
        <w:keepLines w:val="0"/>
        <w:pageBreakBefore w:val="0"/>
        <w:kinsoku/>
        <w:wordWrap/>
        <w:overflowPunct/>
        <w:topLinePunct w:val="0"/>
        <w:autoSpaceDE/>
        <w:autoSpaceDN/>
        <w:bidi w:val="0"/>
        <w:adjustRightInd w:val="0"/>
        <w:snapToGrid w:val="0"/>
        <w:spacing w:line="240" w:lineRule="auto"/>
        <w:ind w:firstLine="2741" w:firstLineChars="1300"/>
        <w:textAlignment w:val="auto"/>
        <w:rPr>
          <w:rFonts w:hint="eastAsia" w:eastAsia="仿宋"/>
          <w:b/>
          <w:color w:val="000000"/>
          <w:sz w:val="21"/>
          <w:vertAlign w:val="superscript"/>
          <w:lang w:eastAsia="zh-CN"/>
        </w:rPr>
      </w:pPr>
      <w:r>
        <w:rPr>
          <w:rFonts w:hint="eastAsia"/>
          <w:b/>
          <w:color w:val="000000"/>
          <w:sz w:val="21"/>
        </w:rPr>
        <w:t xml:space="preserve"> </w:t>
      </w:r>
      <w:r>
        <w:rPr>
          <w:rFonts w:hint="eastAsia"/>
          <w:b/>
          <w:color w:val="000000"/>
          <w:sz w:val="21"/>
          <w:highlight w:val="none"/>
        </w:rPr>
        <w:t>表2-</w:t>
      </w:r>
      <w:r>
        <w:rPr>
          <w:rFonts w:hint="eastAsia"/>
          <w:b/>
          <w:color w:val="000000"/>
          <w:sz w:val="21"/>
          <w:highlight w:val="none"/>
          <w:lang w:val="en-US" w:eastAsia="zh-CN"/>
        </w:rPr>
        <w:t>5</w:t>
      </w:r>
      <w:r>
        <w:rPr>
          <w:b/>
          <w:color w:val="000000"/>
          <w:sz w:val="21"/>
          <w:highlight w:val="none"/>
        </w:rPr>
        <w:t xml:space="preserve"> </w:t>
      </w:r>
      <w:r>
        <w:rPr>
          <w:rFonts w:hint="eastAsia"/>
          <w:b/>
          <w:color w:val="000000"/>
          <w:sz w:val="21"/>
          <w:highlight w:val="none"/>
        </w:rPr>
        <w:t xml:space="preserve">项目占地面积汇总表 </w:t>
      </w:r>
      <w:r>
        <w:rPr>
          <w:rFonts w:hint="eastAsia"/>
          <w:b/>
          <w:color w:val="000000"/>
          <w:sz w:val="21"/>
        </w:rPr>
        <w:t xml:space="preserve">                 单位：h</w:t>
      </w:r>
      <w:r>
        <w:rPr>
          <w:rFonts w:hint="eastAsia"/>
          <w:b/>
          <w:color w:val="000000"/>
          <w:sz w:val="21"/>
          <w:lang w:eastAsia="zh-CN"/>
        </w:rPr>
        <w:t>m²</w:t>
      </w:r>
    </w:p>
    <w:tbl>
      <w:tblPr>
        <w:tblStyle w:val="19"/>
        <w:tblW w:w="497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15" w:type="dxa"/>
          <w:right w:w="0" w:type="dxa"/>
        </w:tblCellMar>
      </w:tblPr>
      <w:tblGrid>
        <w:gridCol w:w="2346"/>
        <w:gridCol w:w="2385"/>
        <w:gridCol w:w="1108"/>
        <w:gridCol w:w="1032"/>
        <w:gridCol w:w="13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15" w:type="dxa"/>
            <w:right w:w="0" w:type="dxa"/>
          </w:tblCellMar>
        </w:tblPrEx>
        <w:trPr>
          <w:trHeight w:val="244" w:hRule="exact"/>
          <w:jc w:val="center"/>
        </w:trPr>
        <w:tc>
          <w:tcPr>
            <w:tcW w:w="14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项目名称</w:t>
            </w:r>
          </w:p>
        </w:tc>
        <w:tc>
          <w:tcPr>
            <w:tcW w:w="144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项目组成</w:t>
            </w:r>
          </w:p>
        </w:tc>
        <w:tc>
          <w:tcPr>
            <w:tcW w:w="670"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永久占地</w:t>
            </w: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小计</w:t>
            </w:r>
          </w:p>
        </w:tc>
        <w:tc>
          <w:tcPr>
            <w:tcW w:w="84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临时占地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15" w:type="dxa"/>
            <w:right w:w="0" w:type="dxa"/>
          </w:tblCellMar>
        </w:tblPrEx>
        <w:trPr>
          <w:trHeight w:val="244" w:hRule="exact"/>
          <w:jc w:val="center"/>
        </w:trPr>
        <w:tc>
          <w:tcPr>
            <w:tcW w:w="141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仪陇县琳琅大道中段棚户区改造项目（五星花园地块）</w:t>
            </w:r>
          </w:p>
        </w:tc>
        <w:tc>
          <w:tcPr>
            <w:tcW w:w="14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建构筑物区</w:t>
            </w:r>
          </w:p>
        </w:tc>
        <w:tc>
          <w:tcPr>
            <w:tcW w:w="670"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0.27</w:t>
            </w:r>
          </w:p>
          <w:p>
            <w:pPr>
              <w:pStyle w:val="9"/>
              <w:spacing w:line="360" w:lineRule="auto"/>
              <w:rPr>
                <w:rFonts w:hint="default" w:ascii="Times New Roman" w:hAnsi="Times New Roman" w:eastAsia="仿宋" w:cs="Times New Roman"/>
                <w:color w:val="000000"/>
                <w:kern w:val="2"/>
                <w:sz w:val="24"/>
                <w:szCs w:val="22"/>
                <w:lang w:val="en-US" w:eastAsia="zh-CN" w:bidi="ar-SA"/>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0.27</w:t>
            </w:r>
          </w:p>
          <w:p>
            <w:pPr>
              <w:pStyle w:val="9"/>
              <w:spacing w:line="360" w:lineRule="auto"/>
              <w:rPr>
                <w:rFonts w:hint="eastAsia" w:ascii="Times New Roman" w:hAnsi="Times New Roman" w:eastAsia="仿宋" w:cs="Times New Roman"/>
                <w:color w:val="000000"/>
                <w:kern w:val="2"/>
                <w:sz w:val="24"/>
                <w:szCs w:val="22"/>
                <w:lang w:val="en-US" w:eastAsia="zh-CN" w:bidi="ar-SA"/>
              </w:rPr>
            </w:pPr>
          </w:p>
        </w:tc>
        <w:tc>
          <w:tcPr>
            <w:tcW w:w="84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15" w:type="dxa"/>
            <w:right w:w="0" w:type="dxa"/>
          </w:tblCellMar>
        </w:tblPrEx>
        <w:trPr>
          <w:trHeight w:val="244" w:hRule="exact"/>
          <w:jc w:val="center"/>
        </w:trPr>
        <w:tc>
          <w:tcPr>
            <w:tcW w:w="141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仿宋" w:cs="Times New Roman"/>
                <w:color w:val="000000"/>
                <w:kern w:val="2"/>
                <w:sz w:val="24"/>
                <w:szCs w:val="22"/>
                <w:lang w:val="en-US" w:eastAsia="zh-CN" w:bidi="ar-SA"/>
              </w:rPr>
            </w:pPr>
          </w:p>
        </w:tc>
        <w:tc>
          <w:tcPr>
            <w:tcW w:w="14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附属设施区</w:t>
            </w:r>
          </w:p>
        </w:tc>
        <w:tc>
          <w:tcPr>
            <w:tcW w:w="670"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0.47</w:t>
            </w:r>
          </w:p>
          <w:p>
            <w:pPr>
              <w:pStyle w:val="9"/>
              <w:spacing w:line="360" w:lineRule="auto"/>
              <w:rPr>
                <w:rFonts w:hint="default" w:ascii="Times New Roman" w:hAnsi="Times New Roman" w:eastAsia="仿宋" w:cs="Times New Roman"/>
                <w:color w:val="000000"/>
                <w:kern w:val="2"/>
                <w:sz w:val="24"/>
                <w:szCs w:val="22"/>
                <w:lang w:val="en-US" w:eastAsia="zh-CN" w:bidi="ar-SA"/>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0.47</w:t>
            </w:r>
          </w:p>
          <w:p>
            <w:pPr>
              <w:pStyle w:val="9"/>
              <w:spacing w:line="360" w:lineRule="auto"/>
              <w:rPr>
                <w:rFonts w:hint="eastAsia" w:ascii="Times New Roman" w:hAnsi="Times New Roman" w:eastAsia="仿宋" w:cs="Times New Roman"/>
                <w:color w:val="000000"/>
                <w:kern w:val="2"/>
                <w:sz w:val="24"/>
                <w:szCs w:val="22"/>
                <w:lang w:val="en-US" w:eastAsia="zh-CN" w:bidi="ar-SA"/>
              </w:rPr>
            </w:pPr>
          </w:p>
        </w:tc>
        <w:tc>
          <w:tcPr>
            <w:tcW w:w="84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15" w:type="dxa"/>
            <w:right w:w="0" w:type="dxa"/>
          </w:tblCellMar>
        </w:tblPrEx>
        <w:trPr>
          <w:trHeight w:val="244" w:hRule="exact"/>
          <w:jc w:val="center"/>
        </w:trPr>
        <w:tc>
          <w:tcPr>
            <w:tcW w:w="141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p>
        </w:tc>
        <w:tc>
          <w:tcPr>
            <w:tcW w:w="14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景观绿化区</w:t>
            </w:r>
          </w:p>
        </w:tc>
        <w:tc>
          <w:tcPr>
            <w:tcW w:w="670"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0.28</w:t>
            </w:r>
          </w:p>
        </w:tc>
        <w:tc>
          <w:tcPr>
            <w:tcW w:w="62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0.28</w:t>
            </w:r>
          </w:p>
        </w:tc>
        <w:tc>
          <w:tcPr>
            <w:tcW w:w="84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15" w:type="dxa"/>
            <w:right w:w="0" w:type="dxa"/>
          </w:tblCellMar>
        </w:tblPrEx>
        <w:trPr>
          <w:trHeight w:val="252" w:hRule="exact"/>
          <w:jc w:val="center"/>
        </w:trPr>
        <w:tc>
          <w:tcPr>
            <w:tcW w:w="141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color w:val="000000"/>
                <w:kern w:val="2"/>
                <w:sz w:val="24"/>
                <w:szCs w:val="22"/>
                <w:lang w:val="en-US" w:eastAsia="zh-CN" w:bidi="ar-SA"/>
              </w:rPr>
            </w:pPr>
          </w:p>
        </w:tc>
        <w:tc>
          <w:tcPr>
            <w:tcW w:w="14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合计</w:t>
            </w:r>
          </w:p>
        </w:tc>
        <w:tc>
          <w:tcPr>
            <w:tcW w:w="670"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1.02</w:t>
            </w:r>
          </w:p>
        </w:tc>
        <w:tc>
          <w:tcPr>
            <w:tcW w:w="62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imes New Roman" w:hAnsi="Times New Roman" w:eastAsia="仿宋"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1.02</w:t>
            </w:r>
          </w:p>
        </w:tc>
        <w:tc>
          <w:tcPr>
            <w:tcW w:w="84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仿宋" w:cs="Times New Roman"/>
                <w:color w:val="000000"/>
                <w:kern w:val="2"/>
                <w:sz w:val="24"/>
                <w:szCs w:val="22"/>
                <w:lang w:val="en-US" w:eastAsia="zh-CN" w:bidi="ar-SA"/>
              </w:rPr>
            </w:pPr>
          </w:p>
        </w:tc>
      </w:tr>
    </w:tbl>
    <w:p>
      <w:pPr>
        <w:pStyle w:val="4"/>
        <w:spacing w:line="360" w:lineRule="auto"/>
      </w:pPr>
      <w:bookmarkStart w:id="127" w:name="_Toc14049"/>
      <w:bookmarkStart w:id="128" w:name="_Toc6854"/>
      <w:r>
        <w:rPr>
          <w:rFonts w:hint="eastAsia"/>
          <w:color w:val="000000"/>
        </w:rPr>
        <w:t>2.</w:t>
      </w:r>
      <w:r>
        <w:rPr>
          <w:rFonts w:hint="eastAsia"/>
          <w:color w:val="000000"/>
          <w:lang w:val="en-US" w:eastAsia="zh-CN"/>
        </w:rPr>
        <w:t>5</w:t>
      </w:r>
      <w:r>
        <w:rPr>
          <w:rFonts w:hint="eastAsia"/>
          <w:color w:val="000000"/>
        </w:rPr>
        <w:t>项目土石方平衡</w:t>
      </w:r>
      <w:bookmarkEnd w:id="127"/>
      <w:bookmarkEnd w:id="128"/>
    </w:p>
    <w:p>
      <w:pPr>
        <w:pStyle w:val="6"/>
        <w:keepNext/>
        <w:spacing w:line="360" w:lineRule="auto"/>
        <w:rPr>
          <w:color w:val="000000"/>
        </w:rPr>
      </w:pPr>
      <w:bookmarkStart w:id="129" w:name="_Toc27987"/>
      <w:r>
        <w:rPr>
          <w:rFonts w:hint="eastAsia"/>
          <w:color w:val="000000"/>
        </w:rPr>
        <w:t>2.</w:t>
      </w:r>
      <w:r>
        <w:rPr>
          <w:rFonts w:hint="eastAsia"/>
          <w:color w:val="000000"/>
          <w:lang w:val="en-US" w:eastAsia="zh-CN"/>
        </w:rPr>
        <w:t>5</w:t>
      </w:r>
      <w:r>
        <w:rPr>
          <w:color w:val="000000"/>
        </w:rPr>
        <w:t>.1</w:t>
      </w:r>
      <w:r>
        <w:rPr>
          <w:rFonts w:hint="eastAsia"/>
          <w:color w:val="000000"/>
        </w:rPr>
        <w:t>表土平衡</w:t>
      </w:r>
      <w:bookmarkEnd w:id="129"/>
    </w:p>
    <w:p>
      <w:pPr>
        <w:bidi w:val="0"/>
        <w:ind w:firstLine="261" w:firstLineChars="0"/>
        <w:jc w:val="left"/>
        <w:rPr>
          <w:rFonts w:hint="eastAsia"/>
          <w:color w:val="000000"/>
        </w:rPr>
      </w:pPr>
      <w:r>
        <w:rPr>
          <w:rFonts w:hint="eastAsia"/>
          <w:color w:val="000000"/>
        </w:rPr>
        <w:t>经现场调查及查阅工程资料，项目表层土主要为</w:t>
      </w:r>
      <w:r>
        <w:rPr>
          <w:rFonts w:hint="eastAsia"/>
          <w:color w:val="000000"/>
          <w:lang w:eastAsia="zh-CN"/>
        </w:rPr>
        <w:t>夯实土和石方，</w:t>
      </w:r>
      <w:r>
        <w:rPr>
          <w:rFonts w:hint="eastAsia"/>
          <w:color w:val="000000"/>
        </w:rPr>
        <w:t>无可用于后期绿化覆土的土质，因此，施工单位施工前未采取表土剥离措施。后期绿化回覆用土采用外购方式，</w:t>
      </w:r>
      <w:r>
        <w:rPr>
          <w:rFonts w:hint="eastAsia"/>
          <w:color w:val="000000"/>
          <w:lang w:val="en-US" w:eastAsia="zh-CN"/>
        </w:rPr>
        <w:t>绿化覆土面积为2785.27m²，平均覆土厚度为0.5m，共计回填种植土1393m³。</w:t>
      </w:r>
      <w:r>
        <w:rPr>
          <w:rFonts w:hint="eastAsia"/>
          <w:color w:val="000000"/>
          <w:highlight w:val="none"/>
        </w:rPr>
        <w:t>故本项目外购</w:t>
      </w:r>
      <w:r>
        <w:rPr>
          <w:rFonts w:hint="eastAsia"/>
          <w:color w:val="000000"/>
          <w:highlight w:val="none"/>
          <w:lang w:val="en-US" w:eastAsia="zh-CN"/>
        </w:rPr>
        <w:t>种植土</w:t>
      </w:r>
      <w:r>
        <w:rPr>
          <w:rFonts w:hint="eastAsia"/>
          <w:color w:val="000000"/>
          <w:highlight w:val="none"/>
        </w:rPr>
        <w:t>0.</w:t>
      </w:r>
      <w:r>
        <w:rPr>
          <w:rFonts w:hint="eastAsia"/>
          <w:color w:val="000000"/>
          <w:highlight w:val="none"/>
          <w:lang w:val="en-US" w:eastAsia="zh-CN"/>
        </w:rPr>
        <w:t>14</w:t>
      </w:r>
      <w:r>
        <w:rPr>
          <w:rFonts w:hint="eastAsia"/>
          <w:color w:val="000000"/>
          <w:highlight w:val="none"/>
        </w:rPr>
        <w:t>万</w:t>
      </w:r>
      <w:r>
        <w:rPr>
          <w:rFonts w:hint="eastAsia"/>
          <w:color w:val="000000"/>
          <w:highlight w:val="none"/>
          <w:lang w:eastAsia="zh-CN"/>
        </w:rPr>
        <w:t>m³</w:t>
      </w:r>
      <w:r>
        <w:rPr>
          <w:rFonts w:hint="eastAsia"/>
          <w:color w:val="000000"/>
        </w:rPr>
        <w:t>。</w:t>
      </w:r>
    </w:p>
    <w:p>
      <w:pPr>
        <w:pStyle w:val="6"/>
        <w:keepNext/>
        <w:rPr>
          <w:color w:val="000000"/>
        </w:rPr>
      </w:pPr>
      <w:bookmarkStart w:id="130" w:name="_Toc19232"/>
      <w:r>
        <w:rPr>
          <w:rFonts w:hint="eastAsia"/>
          <w:color w:val="000000"/>
        </w:rPr>
        <w:t>2.</w:t>
      </w:r>
      <w:r>
        <w:rPr>
          <w:rFonts w:hint="eastAsia"/>
          <w:color w:val="000000"/>
          <w:lang w:val="en-US" w:eastAsia="zh-CN"/>
        </w:rPr>
        <w:t>5</w:t>
      </w:r>
      <w:r>
        <w:rPr>
          <w:color w:val="000000"/>
        </w:rPr>
        <w:t>.2</w:t>
      </w:r>
      <w:r>
        <w:rPr>
          <w:rFonts w:hint="eastAsia"/>
          <w:color w:val="000000"/>
        </w:rPr>
        <w:t>土石方平衡</w:t>
      </w:r>
      <w:bookmarkEnd w:id="130"/>
    </w:p>
    <w:p>
      <w:pPr>
        <w:bidi w:val="0"/>
        <w:rPr>
          <w:rFonts w:hint="eastAsia"/>
          <w:lang w:val="en-US" w:eastAsia="zh-CN"/>
        </w:rPr>
      </w:pPr>
      <w:bookmarkStart w:id="131" w:name="_Toc30421"/>
      <w:bookmarkStart w:id="132" w:name="_Toc19397"/>
      <w:bookmarkStart w:id="133" w:name="_Toc32322"/>
      <w:bookmarkStart w:id="134" w:name="_Toc24678"/>
      <w:bookmarkStart w:id="135" w:name="_Toc8409"/>
      <w:bookmarkStart w:id="136" w:name="_Toc23763"/>
      <w:r>
        <w:rPr>
          <w:rFonts w:hint="eastAsia"/>
          <w:lang w:val="en-US" w:eastAsia="zh-CN"/>
        </w:rPr>
        <w:t>本项目开挖工程主要为建筑构物区基础开挖，土石方回填主要为地下室顶板覆土，基础回填，道路回填和绿化覆土回填。</w:t>
      </w:r>
      <w:bookmarkEnd w:id="131"/>
      <w:bookmarkEnd w:id="132"/>
      <w:bookmarkEnd w:id="133"/>
      <w:bookmarkEnd w:id="134"/>
      <w:bookmarkEnd w:id="135"/>
      <w:bookmarkEnd w:id="136"/>
    </w:p>
    <w:p>
      <w:pPr>
        <w:pStyle w:val="2"/>
        <w:numPr>
          <w:ilvl w:val="0"/>
          <w:numId w:val="6"/>
        </w:numPr>
        <w:spacing w:line="360" w:lineRule="auto"/>
        <w:ind w:left="240" w:leftChars="0" w:firstLine="0" w:firstLineChars="0"/>
        <w:rPr>
          <w:rFonts w:hint="eastAsia" w:ascii="Times New Roman" w:hAnsi="Times New Roman" w:cs="Times New Roman"/>
          <w:color w:val="000000"/>
          <w:kern w:val="2"/>
          <w:sz w:val="24"/>
          <w:szCs w:val="22"/>
          <w:lang w:val="en-US" w:eastAsia="zh-CN" w:bidi="ar-SA"/>
        </w:rPr>
      </w:pPr>
      <w:r>
        <w:rPr>
          <w:rFonts w:hint="eastAsia" w:ascii="Times New Roman" w:hAnsi="Times New Roman" w:cs="Times New Roman"/>
          <w:color w:val="000000"/>
          <w:kern w:val="2"/>
          <w:sz w:val="24"/>
          <w:szCs w:val="22"/>
          <w:lang w:val="en-US" w:eastAsia="zh-CN" w:bidi="ar-SA"/>
        </w:rPr>
        <w:t>建筑构物区</w:t>
      </w:r>
    </w:p>
    <w:p>
      <w:pPr>
        <w:pStyle w:val="2"/>
        <w:numPr>
          <w:ilvl w:val="0"/>
          <w:numId w:val="0"/>
        </w:numPr>
        <w:spacing w:line="360" w:lineRule="auto"/>
        <w:ind w:firstLine="480" w:firstLineChars="200"/>
        <w:rPr>
          <w:rFonts w:hint="eastAsia" w:ascii="Times New Roman" w:hAnsi="Times New Roman"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本项目建筑构物区土石方开挖主要为基础开挖，经查阅工程资料，该部分开挖土石方量为</w:t>
      </w:r>
      <w:r>
        <w:rPr>
          <w:rFonts w:hint="eastAsia" w:cs="Times New Roman"/>
          <w:color w:val="000000"/>
          <w:kern w:val="2"/>
          <w:sz w:val="24"/>
          <w:szCs w:val="22"/>
          <w:lang w:val="en-US" w:eastAsia="zh-CN" w:bidi="ar-SA"/>
        </w:rPr>
        <w:t>0.85</w:t>
      </w:r>
      <w:r>
        <w:rPr>
          <w:rFonts w:hint="eastAsia" w:ascii="Times New Roman" w:hAnsi="Times New Roman" w:eastAsia="仿宋" w:cs="Times New Roman"/>
          <w:color w:val="000000"/>
          <w:kern w:val="2"/>
          <w:sz w:val="24"/>
          <w:szCs w:val="22"/>
          <w:lang w:val="en-US" w:eastAsia="zh-CN" w:bidi="ar-SA"/>
        </w:rPr>
        <w:t>万m³，土石方回填主要为基础回填和地下室顶部垫层，回填总量约为</w:t>
      </w:r>
      <w:r>
        <w:rPr>
          <w:rFonts w:hint="eastAsia" w:ascii="Times New Roman" w:hAnsi="Times New Roman" w:cs="Times New Roman"/>
          <w:color w:val="000000"/>
          <w:kern w:val="2"/>
          <w:sz w:val="24"/>
          <w:szCs w:val="22"/>
          <w:lang w:val="en-US" w:eastAsia="zh-CN" w:bidi="ar-SA"/>
        </w:rPr>
        <w:t>0.44</w:t>
      </w:r>
      <w:r>
        <w:rPr>
          <w:rFonts w:hint="eastAsia" w:ascii="Times New Roman" w:hAnsi="Times New Roman" w:eastAsia="仿宋" w:cs="Times New Roman"/>
          <w:color w:val="000000"/>
          <w:kern w:val="2"/>
          <w:sz w:val="24"/>
          <w:szCs w:val="22"/>
          <w:lang w:val="en-US" w:eastAsia="zh-CN" w:bidi="ar-SA"/>
        </w:rPr>
        <w:t>万m³</w:t>
      </w:r>
      <w:r>
        <w:rPr>
          <w:rFonts w:hint="eastAsia" w:ascii="Times New Roman" w:hAnsi="Times New Roman" w:cs="Times New Roman"/>
          <w:color w:val="000000"/>
          <w:kern w:val="2"/>
          <w:sz w:val="24"/>
          <w:szCs w:val="22"/>
          <w:lang w:val="en-US" w:eastAsia="zh-CN" w:bidi="ar-SA"/>
        </w:rPr>
        <w:t>。</w:t>
      </w:r>
      <w:r>
        <w:rPr>
          <w:rFonts w:hint="eastAsia" w:cs="Times New Roman"/>
          <w:color w:val="000000"/>
          <w:kern w:val="2"/>
          <w:sz w:val="24"/>
          <w:szCs w:val="22"/>
          <w:lang w:val="en-US" w:eastAsia="zh-CN" w:bidi="ar-SA"/>
        </w:rPr>
        <w:t>产生弃方0.41</w:t>
      </w:r>
      <w:r>
        <w:rPr>
          <w:rFonts w:hint="eastAsia" w:ascii="Times New Roman" w:hAnsi="Times New Roman" w:eastAsia="仿宋" w:cs="Times New Roman"/>
          <w:color w:val="000000"/>
          <w:kern w:val="2"/>
          <w:sz w:val="24"/>
          <w:szCs w:val="22"/>
          <w:lang w:val="en-US" w:eastAsia="zh-CN" w:bidi="ar-SA"/>
        </w:rPr>
        <w:t>万m³</w:t>
      </w:r>
      <w:r>
        <w:rPr>
          <w:rFonts w:hint="default" w:ascii="Times New Roman" w:hAnsi="Times New Roman" w:eastAsia="仿宋_GB2312" w:cs="Times New Roman"/>
          <w:color w:val="auto"/>
          <w:kern w:val="1"/>
          <w:sz w:val="24"/>
          <w:szCs w:val="24"/>
        </w:rPr>
        <w:t>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pStyle w:val="2"/>
        <w:numPr>
          <w:ilvl w:val="0"/>
          <w:numId w:val="6"/>
        </w:numPr>
        <w:spacing w:line="360" w:lineRule="auto"/>
        <w:ind w:left="240" w:leftChars="0" w:firstLine="0" w:firstLineChars="0"/>
        <w:rPr>
          <w:rFonts w:hint="eastAsia" w:ascii="Times New Roman" w:hAnsi="Times New Roman" w:cs="Times New Roman"/>
          <w:color w:val="000000"/>
          <w:kern w:val="2"/>
          <w:sz w:val="24"/>
          <w:szCs w:val="22"/>
          <w:lang w:val="en-US" w:eastAsia="zh-CN" w:bidi="ar-SA"/>
        </w:rPr>
      </w:pPr>
      <w:r>
        <w:rPr>
          <w:rFonts w:hint="eastAsia" w:ascii="Times New Roman" w:hAnsi="Times New Roman" w:cs="Times New Roman"/>
          <w:color w:val="000000"/>
          <w:kern w:val="2"/>
          <w:sz w:val="24"/>
          <w:szCs w:val="22"/>
          <w:lang w:val="en-US" w:eastAsia="zh-CN" w:bidi="ar-SA"/>
        </w:rPr>
        <w:t>附属设施区</w:t>
      </w:r>
    </w:p>
    <w:p>
      <w:pPr>
        <w:bidi w:val="0"/>
        <w:ind w:firstLine="480" w:firstLineChars="200"/>
        <w:jc w:val="left"/>
        <w:rPr>
          <w:rFonts w:hint="eastAsia" w:ascii="Times New Roman" w:hAnsi="Times New Roman" w:cs="Times New Roman"/>
          <w:color w:val="000000"/>
          <w:kern w:val="2"/>
          <w:sz w:val="24"/>
          <w:szCs w:val="22"/>
          <w:lang w:val="en-US" w:eastAsia="zh-CN" w:bidi="ar-SA"/>
        </w:rPr>
      </w:pPr>
      <w:r>
        <w:rPr>
          <w:rFonts w:hint="eastAsia" w:ascii="Times New Roman" w:hAnsi="Times New Roman" w:eastAsia="仿宋" w:cs="Times New Roman"/>
          <w:color w:val="000000"/>
          <w:kern w:val="2"/>
          <w:sz w:val="24"/>
          <w:szCs w:val="22"/>
          <w:lang w:val="en-US" w:eastAsia="zh-CN" w:bidi="ar-SA"/>
        </w:rPr>
        <w:t>本项目附属设施区的开挖主要为路基基础开挖</w:t>
      </w:r>
      <w:r>
        <w:rPr>
          <w:rFonts w:hint="eastAsia" w:ascii="Times New Roman" w:hAnsi="Times New Roman" w:cs="Times New Roman"/>
          <w:color w:val="000000"/>
          <w:kern w:val="2"/>
          <w:sz w:val="24"/>
          <w:szCs w:val="22"/>
          <w:lang w:val="en-US" w:eastAsia="zh-CN" w:bidi="ar-SA"/>
        </w:rPr>
        <w:t>、</w:t>
      </w:r>
      <w:r>
        <w:rPr>
          <w:rFonts w:hint="eastAsia" w:ascii="Times New Roman" w:hAnsi="Times New Roman" w:eastAsia="仿宋_GB2312" w:cs="Times New Roman"/>
          <w:kern w:val="2"/>
          <w:sz w:val="24"/>
          <w:highlight w:val="none"/>
          <w:lang w:val="en-US" w:eastAsia="zh-CN" w:bidi="ar-SA"/>
        </w:rPr>
        <w:t>给排水管网开挖</w:t>
      </w:r>
      <w:r>
        <w:rPr>
          <w:rFonts w:hint="eastAsia" w:ascii="Times New Roman" w:hAnsi="Times New Roman" w:eastAsia="仿宋" w:cs="Times New Roman"/>
          <w:color w:val="000000"/>
          <w:kern w:val="2"/>
          <w:sz w:val="24"/>
          <w:szCs w:val="22"/>
          <w:lang w:val="en-US" w:eastAsia="zh-CN" w:bidi="ar-SA"/>
        </w:rPr>
        <w:t>，经查阅工程资料，该部分开挖土石方量为</w:t>
      </w:r>
      <w:r>
        <w:rPr>
          <w:rFonts w:hint="eastAsia" w:ascii="Times New Roman" w:hAnsi="Times New Roman" w:cs="Times New Roman"/>
          <w:color w:val="000000"/>
          <w:kern w:val="2"/>
          <w:sz w:val="24"/>
          <w:szCs w:val="22"/>
          <w:lang w:val="en-US" w:eastAsia="zh-CN" w:bidi="ar-SA"/>
        </w:rPr>
        <w:t>0.24m³，</w:t>
      </w:r>
      <w:r>
        <w:rPr>
          <w:rFonts w:hint="eastAsia" w:ascii="Times New Roman" w:hAnsi="Times New Roman" w:eastAsia="仿宋" w:cs="Times New Roman"/>
          <w:color w:val="000000"/>
          <w:kern w:val="2"/>
          <w:sz w:val="24"/>
          <w:szCs w:val="22"/>
          <w:lang w:val="en-US" w:eastAsia="zh-CN" w:bidi="ar-SA"/>
        </w:rPr>
        <w:t>土石方回填主要为路基回填</w:t>
      </w:r>
      <w:r>
        <w:rPr>
          <w:rFonts w:hint="eastAsia" w:ascii="Times New Roman" w:hAnsi="Times New Roman" w:cs="Times New Roman"/>
          <w:color w:val="000000"/>
          <w:kern w:val="2"/>
          <w:sz w:val="24"/>
          <w:szCs w:val="22"/>
          <w:lang w:val="en-US" w:eastAsia="zh-CN" w:bidi="ar-SA"/>
        </w:rPr>
        <w:t>、</w:t>
      </w:r>
      <w:r>
        <w:rPr>
          <w:rFonts w:hint="eastAsia" w:ascii="Times New Roman" w:hAnsi="Times New Roman" w:eastAsia="仿宋_GB2312" w:cs="Times New Roman"/>
          <w:kern w:val="2"/>
          <w:sz w:val="24"/>
          <w:highlight w:val="none"/>
          <w:lang w:val="en-US" w:eastAsia="zh-CN" w:bidi="ar-SA"/>
        </w:rPr>
        <w:t>给排水管网挖土回填</w:t>
      </w:r>
      <w:r>
        <w:rPr>
          <w:rFonts w:hint="eastAsia" w:ascii="Times New Roman" w:hAnsi="Times New Roman" w:eastAsia="仿宋" w:cs="Times New Roman"/>
          <w:color w:val="000000"/>
          <w:kern w:val="2"/>
          <w:sz w:val="24"/>
          <w:szCs w:val="22"/>
          <w:lang w:val="en-US" w:eastAsia="zh-CN" w:bidi="ar-SA"/>
        </w:rPr>
        <w:t>，回填总量约为</w:t>
      </w:r>
      <w:r>
        <w:rPr>
          <w:rFonts w:hint="eastAsia" w:ascii="Times New Roman" w:hAnsi="Times New Roman" w:cs="Times New Roman"/>
          <w:color w:val="000000"/>
          <w:kern w:val="2"/>
          <w:sz w:val="24"/>
          <w:szCs w:val="22"/>
          <w:lang w:val="en-US" w:eastAsia="zh-CN" w:bidi="ar-SA"/>
        </w:rPr>
        <w:t>0.24m³。</w:t>
      </w:r>
    </w:p>
    <w:p>
      <w:pPr>
        <w:pStyle w:val="2"/>
        <w:numPr>
          <w:ilvl w:val="0"/>
          <w:numId w:val="6"/>
        </w:numPr>
        <w:ind w:left="240" w:leftChars="0" w:firstLine="0" w:firstLineChars="0"/>
        <w:rPr>
          <w:rFonts w:hint="eastAsia" w:ascii="Times New Roman" w:hAnsi="Times New Roman" w:cs="Times New Roman"/>
          <w:color w:val="000000"/>
          <w:kern w:val="2"/>
          <w:sz w:val="24"/>
          <w:szCs w:val="22"/>
          <w:lang w:val="en-US" w:eastAsia="zh-CN" w:bidi="ar-SA"/>
        </w:rPr>
      </w:pPr>
      <w:r>
        <w:rPr>
          <w:rFonts w:hint="eastAsia" w:ascii="Times New Roman" w:hAnsi="Times New Roman" w:cs="Times New Roman"/>
          <w:color w:val="000000"/>
          <w:kern w:val="2"/>
          <w:sz w:val="24"/>
          <w:szCs w:val="22"/>
          <w:lang w:val="en-US" w:eastAsia="zh-CN" w:bidi="ar-SA"/>
        </w:rPr>
        <w:t>景观绿化区</w:t>
      </w:r>
    </w:p>
    <w:p>
      <w:pPr>
        <w:pStyle w:val="2"/>
        <w:numPr>
          <w:ilvl w:val="0"/>
          <w:numId w:val="0"/>
        </w:numPr>
        <w:ind w:firstLine="480" w:firstLineChars="200"/>
        <w:rPr>
          <w:rFonts w:hint="eastAsia" w:ascii="Times New Roman" w:hAnsi="Times New Roman" w:cs="Times New Roman"/>
          <w:color w:val="000000"/>
          <w:kern w:val="2"/>
          <w:sz w:val="24"/>
          <w:szCs w:val="22"/>
          <w:lang w:val="en-US" w:eastAsia="zh-CN" w:bidi="ar-SA"/>
        </w:rPr>
      </w:pPr>
      <w:r>
        <w:rPr>
          <w:rFonts w:hint="eastAsia" w:ascii="Times New Roman" w:hAnsi="Times New Roman" w:cs="Times New Roman"/>
          <w:color w:val="000000"/>
          <w:kern w:val="2"/>
          <w:sz w:val="24"/>
          <w:szCs w:val="22"/>
          <w:lang w:val="en-US" w:eastAsia="zh-CN" w:bidi="ar-SA"/>
        </w:rPr>
        <w:t>本项目景观绿化区的开挖主要为主要为小部分场地的平整，为0.01万m³，本工程区土石方开挖为高挖低填，土石方回填量为0.15万</w:t>
      </w:r>
      <w:r>
        <w:rPr>
          <w:rFonts w:hint="eastAsia"/>
          <w:color w:val="000000"/>
          <w:highlight w:val="none"/>
          <w:lang w:eastAsia="zh-CN"/>
        </w:rPr>
        <w:t>m³</w:t>
      </w:r>
      <w:r>
        <w:rPr>
          <w:rFonts w:hint="eastAsia" w:ascii="Times New Roman" w:hAnsi="Times New Roman" w:cs="Times New Roman"/>
          <w:color w:val="000000"/>
          <w:kern w:val="2"/>
          <w:sz w:val="24"/>
          <w:szCs w:val="22"/>
          <w:lang w:val="en-US" w:eastAsia="zh-CN" w:bidi="ar-SA"/>
        </w:rPr>
        <w:t>（含种植土0.14万</w:t>
      </w:r>
      <w:r>
        <w:rPr>
          <w:rFonts w:hint="eastAsia" w:cs="Times New Roman"/>
          <w:color w:val="000000"/>
          <w:kern w:val="2"/>
          <w:sz w:val="24"/>
          <w:szCs w:val="22"/>
          <w:lang w:val="en-US" w:eastAsia="zh-CN" w:bidi="ar-SA"/>
        </w:rPr>
        <w:t>m³</w:t>
      </w:r>
      <w:r>
        <w:rPr>
          <w:rFonts w:hint="eastAsia" w:ascii="Times New Roman" w:hAnsi="Times New Roman" w:cs="Times New Roman"/>
          <w:color w:val="000000"/>
          <w:kern w:val="2"/>
          <w:sz w:val="24"/>
          <w:szCs w:val="22"/>
          <w:lang w:val="en-US" w:eastAsia="zh-CN" w:bidi="ar-SA"/>
        </w:rPr>
        <w:t>），</w:t>
      </w:r>
      <w:r>
        <w:rPr>
          <w:rFonts w:hint="eastAsia" w:cs="Times New Roman"/>
          <w:color w:val="000000"/>
          <w:kern w:val="2"/>
          <w:sz w:val="24"/>
          <w:szCs w:val="22"/>
          <w:lang w:val="en-US" w:eastAsia="zh-CN" w:bidi="ar-SA"/>
        </w:rPr>
        <w:t>产生借方0.14万m³(含种植土0.14万m³），</w:t>
      </w:r>
      <w:r>
        <w:rPr>
          <w:rFonts w:hint="eastAsia" w:ascii="Times New Roman" w:hAnsi="Times New Roman" w:cs="Times New Roman"/>
          <w:color w:val="000000"/>
          <w:kern w:val="2"/>
          <w:sz w:val="24"/>
          <w:szCs w:val="22"/>
          <w:lang w:val="en-US" w:eastAsia="zh-CN" w:bidi="ar-SA"/>
        </w:rPr>
        <w:t>种植土来源于外购。</w:t>
      </w:r>
    </w:p>
    <w:p>
      <w:pPr>
        <w:spacing w:line="360" w:lineRule="auto"/>
        <w:ind w:firstLine="480" w:firstLineChars="200"/>
        <w:rPr>
          <w:rFonts w:hint="eastAsia"/>
          <w:color w:val="000000"/>
        </w:rPr>
      </w:pPr>
      <w:r>
        <w:rPr>
          <w:rFonts w:hint="eastAsia"/>
          <w:color w:val="000000"/>
        </w:rPr>
        <w:t>工程土石方平衡详见表2</w:t>
      </w:r>
      <w:r>
        <w:rPr>
          <w:color w:val="000000"/>
        </w:rPr>
        <w:t>-</w:t>
      </w:r>
      <w:r>
        <w:rPr>
          <w:rFonts w:hint="eastAsia"/>
          <w:color w:val="000000"/>
          <w:lang w:val="en-US" w:eastAsia="zh-CN"/>
        </w:rPr>
        <w:t>6</w:t>
      </w:r>
      <w:r>
        <w:rPr>
          <w:rFonts w:hint="eastAsia"/>
          <w:color w:val="000000"/>
        </w:rPr>
        <w:t>，土石方流向框图详见图2</w:t>
      </w:r>
      <w:r>
        <w:rPr>
          <w:color w:val="000000"/>
        </w:rPr>
        <w:t>-</w:t>
      </w:r>
      <w:r>
        <w:rPr>
          <w:rFonts w:hint="eastAsia"/>
          <w:color w:val="000000"/>
          <w:lang w:val="en-US" w:eastAsia="zh-CN"/>
        </w:rPr>
        <w:t>3</w:t>
      </w:r>
      <w:r>
        <w:rPr>
          <w:rFonts w:hint="eastAsia"/>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32"/>
          <w:rFonts w:hint="eastAsia"/>
          <w:lang w:val="en-US" w:eastAsia="zh-CN"/>
        </w:rPr>
      </w:pPr>
      <w:r>
        <w:rPr>
          <w:rFonts w:hint="eastAsia"/>
          <w:b/>
          <w:color w:val="000000"/>
          <w:sz w:val="21"/>
        </w:rPr>
        <w:t>表2-</w:t>
      </w:r>
      <w:r>
        <w:rPr>
          <w:rFonts w:hint="eastAsia"/>
          <w:b/>
          <w:color w:val="000000"/>
          <w:sz w:val="21"/>
          <w:lang w:val="en-US" w:eastAsia="zh-CN"/>
        </w:rPr>
        <w:t xml:space="preserve">6 </w:t>
      </w:r>
      <w:r>
        <w:rPr>
          <w:rFonts w:hint="eastAsia"/>
          <w:b/>
          <w:color w:val="000000"/>
          <w:sz w:val="21"/>
        </w:rPr>
        <w:t>土石方平衡表                  （单位：万</w:t>
      </w:r>
      <w:r>
        <w:rPr>
          <w:rFonts w:hint="eastAsia"/>
          <w:b/>
          <w:color w:val="000000"/>
          <w:sz w:val="21"/>
          <w:lang w:eastAsia="zh-CN"/>
        </w:rPr>
        <w:t>m³</w:t>
      </w:r>
      <w:r>
        <w:rPr>
          <w:rFonts w:hint="eastAsia"/>
          <w:b/>
          <w:color w:val="000000"/>
          <w:sz w:val="21"/>
        </w:rPr>
        <w:t>）</w:t>
      </w:r>
    </w:p>
    <w:tbl>
      <w:tblPr>
        <w:tblStyle w:val="19"/>
        <w:tblW w:w="5273"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80"/>
        <w:gridCol w:w="472"/>
        <w:gridCol w:w="730"/>
        <w:gridCol w:w="550"/>
        <w:gridCol w:w="546"/>
        <w:gridCol w:w="642"/>
        <w:gridCol w:w="687"/>
        <w:gridCol w:w="603"/>
        <w:gridCol w:w="640"/>
        <w:gridCol w:w="612"/>
        <w:gridCol w:w="607"/>
        <w:gridCol w:w="537"/>
        <w:gridCol w:w="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项目组成</w:t>
            </w:r>
          </w:p>
        </w:tc>
        <w:tc>
          <w:tcPr>
            <w:tcW w:w="269"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仿宋_GB2312"/>
                <w:color w:val="000000"/>
                <w:lang w:val="en-US" w:eastAsia="zh-CN"/>
              </w:rPr>
            </w:pPr>
            <w:r>
              <w:rPr>
                <w:rFonts w:hint="eastAsia"/>
                <w:color w:val="000000"/>
                <w:lang w:val="en-US" w:eastAsia="zh-CN"/>
              </w:rPr>
              <w:t>编号</w:t>
            </w:r>
          </w:p>
        </w:tc>
        <w:tc>
          <w:tcPr>
            <w:tcW w:w="416"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rPr>
            </w:pPr>
            <w:r>
              <w:rPr>
                <w:rFonts w:hint="eastAsia"/>
                <w:color w:val="000000"/>
              </w:rPr>
              <w:t>分类</w:t>
            </w:r>
          </w:p>
        </w:tc>
        <w:tc>
          <w:tcPr>
            <w:tcW w:w="313"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开挖</w:t>
            </w:r>
          </w:p>
        </w:tc>
        <w:tc>
          <w:tcPr>
            <w:tcW w:w="311"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回填</w:t>
            </w:r>
          </w:p>
        </w:tc>
        <w:tc>
          <w:tcPr>
            <w:tcW w:w="757"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调入</w:t>
            </w:r>
          </w:p>
        </w:tc>
        <w:tc>
          <w:tcPr>
            <w:tcW w:w="708"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调出</w:t>
            </w:r>
          </w:p>
        </w:tc>
        <w:tc>
          <w:tcPr>
            <w:tcW w:w="694"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借方</w:t>
            </w:r>
          </w:p>
        </w:tc>
        <w:tc>
          <w:tcPr>
            <w:tcW w:w="685"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269"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416"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313"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311"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数量</w:t>
            </w: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来源</w:t>
            </w: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数量</w:t>
            </w: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去向</w:t>
            </w: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数量</w:t>
            </w: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来源</w:t>
            </w: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数量</w:t>
            </w: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color w:val="000000"/>
                <w:lang w:val="en-US" w:eastAsia="zh-CN"/>
              </w:rPr>
            </w:pPr>
            <w:r>
              <w:rPr>
                <w:rFonts w:hint="eastAsia"/>
                <w:color w:val="000000"/>
                <w:lang w:val="en-US" w:eastAsia="zh-CN"/>
              </w:rPr>
              <w:t>建筑构物工程</w:t>
            </w:r>
          </w:p>
        </w:tc>
        <w:tc>
          <w:tcPr>
            <w:tcW w:w="269"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lang w:val="en-US" w:eastAsia="zh-CN"/>
              </w:rPr>
            </w:pPr>
            <w:r>
              <w:rPr>
                <w:rFonts w:hint="eastAsia"/>
                <w:color w:val="000000"/>
                <w:lang w:val="en-US" w:eastAsia="zh-CN"/>
              </w:rPr>
              <w:t>①</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rPr>
            </w:pPr>
            <w:r>
              <w:rPr>
                <w:rFonts w:hint="eastAsia"/>
                <w:color w:val="000000"/>
              </w:rPr>
              <w:t>表土</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仿宋_GB2312"/>
                <w:color w:val="000000"/>
                <w:lang w:val="en-US" w:eastAsia="zh-CN"/>
              </w:rPr>
            </w:pP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79" w:type="pc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color w:val="00000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269"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r>
              <w:rPr>
                <w:rFonts w:hint="eastAsia"/>
                <w:color w:val="000000"/>
              </w:rPr>
              <w:t>土石方</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0.85</w:t>
            </w: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0.44</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宋体"/>
                <w:color w:val="000000"/>
                <w:kern w:val="2"/>
                <w:sz w:val="21"/>
                <w:szCs w:val="21"/>
                <w:lang w:val="en-US" w:eastAsia="zh-CN" w:bidi="ar-SA"/>
              </w:rPr>
            </w:pPr>
            <w:r>
              <w:rPr>
                <w:rFonts w:hint="eastAsia" w:eastAsia="宋体"/>
                <w:color w:val="000000"/>
                <w:lang w:val="en-US" w:eastAsia="zh-CN"/>
              </w:rPr>
              <w:t>0.41</w:t>
            </w:r>
          </w:p>
        </w:tc>
        <w:tc>
          <w:tcPr>
            <w:tcW w:w="379" w:type="pct"/>
            <w:tcBorders>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宋体"/>
                <w:color w:val="000000"/>
                <w:kern w:val="2"/>
                <w:sz w:val="20"/>
                <w:szCs w:val="20"/>
                <w:lang w:val="en-US" w:eastAsia="zh-CN" w:bidi="ar-SA"/>
              </w:rPr>
            </w:pPr>
            <w:r>
              <w:rPr>
                <w:rFonts w:hint="eastAsia" w:ascii="Times New Roman" w:hAnsi="Times New Roman"/>
                <w:color w:val="000000"/>
                <w:lang w:val="en-US" w:eastAsia="zh-CN"/>
              </w:rPr>
              <w:t>弃渣场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00"/>
                <w:lang w:val="en-US" w:eastAsia="zh-CN"/>
              </w:rPr>
            </w:pPr>
            <w:r>
              <w:rPr>
                <w:rFonts w:hint="eastAsia"/>
                <w:color w:val="000000"/>
                <w:lang w:val="en-US" w:eastAsia="zh-CN"/>
              </w:rPr>
              <w:t>附属设施工程</w:t>
            </w:r>
          </w:p>
        </w:tc>
        <w:tc>
          <w:tcPr>
            <w:tcW w:w="269"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r>
              <w:rPr>
                <w:rFonts w:hint="eastAsia"/>
                <w:color w:val="000000"/>
                <w:lang w:val="en-US" w:eastAsia="zh-CN"/>
              </w:rPr>
              <w:t>②</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仿宋_GB2312"/>
                <w:color w:val="000000"/>
                <w:lang w:val="en-US" w:eastAsia="zh-CN"/>
              </w:rPr>
            </w:pPr>
            <w:r>
              <w:rPr>
                <w:rFonts w:hint="eastAsia"/>
                <w:color w:val="000000"/>
                <w:lang w:val="en-US" w:eastAsia="zh-CN"/>
              </w:rPr>
              <w:t>表土</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79" w:type="pct"/>
            <w:tcBorders>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269"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color w:val="000000"/>
              </w:rPr>
            </w:pP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仿宋_GB2312"/>
                <w:color w:val="000000"/>
                <w:lang w:val="en-US" w:eastAsia="zh-CN"/>
              </w:rPr>
            </w:pPr>
            <w:r>
              <w:rPr>
                <w:rFonts w:hint="eastAsia"/>
                <w:color w:val="000000"/>
                <w:lang w:val="en-US" w:eastAsia="zh-CN"/>
              </w:rPr>
              <w:t>土石方</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0.24</w:t>
            </w: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0.24</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lang w:val="en-US" w:eastAsia="zh-CN"/>
              </w:rPr>
            </w:pP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lang w:val="en-US" w:eastAsia="zh-CN"/>
              </w:rPr>
            </w:pP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79" w:type="pct"/>
            <w:tcBorders>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00"/>
                <w:lang w:val="en-US" w:eastAsia="zh-CN"/>
              </w:rPr>
            </w:pPr>
            <w:r>
              <w:rPr>
                <w:rFonts w:hint="eastAsia"/>
                <w:color w:val="000000"/>
                <w:lang w:val="en-US" w:eastAsia="zh-CN"/>
              </w:rPr>
              <w:t>景观绿化工程</w:t>
            </w:r>
          </w:p>
        </w:tc>
        <w:tc>
          <w:tcPr>
            <w:tcW w:w="269" w:type="pct"/>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r>
              <w:rPr>
                <w:rFonts w:hint="eastAsia"/>
                <w:color w:val="000000"/>
                <w:lang w:val="en-US" w:eastAsia="zh-CN"/>
              </w:rPr>
              <w:t>③</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00"/>
                <w:lang w:val="en-US" w:eastAsia="zh-CN"/>
              </w:rPr>
            </w:pPr>
            <w:r>
              <w:rPr>
                <w:rFonts w:hint="eastAsia"/>
                <w:color w:val="000000"/>
                <w:lang w:val="en-US" w:eastAsia="zh-CN"/>
              </w:rPr>
              <w:t>表土</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0.14</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0.14</w:t>
            </w: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r>
              <w:rPr>
                <w:rFonts w:hint="eastAsia"/>
                <w:color w:val="000000"/>
                <w:lang w:val="en-US" w:eastAsia="zh-CN"/>
              </w:rPr>
              <w:t>外购</w:t>
            </w: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79" w:type="pct"/>
            <w:tcBorders>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44"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00"/>
                <w:lang w:val="en-US" w:eastAsia="zh-CN"/>
              </w:rPr>
            </w:pPr>
          </w:p>
        </w:tc>
        <w:tc>
          <w:tcPr>
            <w:tcW w:w="269" w:type="pct"/>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00"/>
                <w:lang w:val="en-US" w:eastAsia="zh-CN"/>
              </w:rPr>
            </w:pP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r>
              <w:rPr>
                <w:rFonts w:hint="eastAsia"/>
                <w:color w:val="000000"/>
                <w:lang w:val="en-US" w:eastAsia="zh-CN"/>
              </w:rPr>
              <w:t>土石方</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0.01</w:t>
            </w: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0.01</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lang w:val="en-US" w:eastAsia="zh-CN"/>
              </w:rPr>
            </w:pP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color w:val="000000"/>
                <w:lang w:val="en-US" w:eastAsia="zh-CN"/>
              </w:rPr>
            </w:pPr>
          </w:p>
        </w:tc>
        <w:tc>
          <w:tcPr>
            <w:tcW w:w="30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rPr>
            </w:pPr>
          </w:p>
        </w:tc>
        <w:tc>
          <w:tcPr>
            <w:tcW w:w="379" w:type="pct"/>
            <w:tcBorders>
              <w:left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30" w:type="pct"/>
            <w:gridSpan w:val="3"/>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lang w:val="en-US" w:eastAsia="zh-CN"/>
              </w:rPr>
            </w:pPr>
            <w:r>
              <w:rPr>
                <w:rFonts w:hint="eastAsia"/>
                <w:color w:val="000000"/>
                <w:lang w:val="en-US" w:eastAsia="zh-CN"/>
              </w:rPr>
              <w:t>合计</w:t>
            </w:r>
          </w:p>
        </w:tc>
        <w:tc>
          <w:tcPr>
            <w:tcW w:w="31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lang w:val="en-US" w:eastAsia="zh-CN"/>
              </w:rPr>
            </w:pPr>
            <w:r>
              <w:rPr>
                <w:rFonts w:hint="eastAsia" w:eastAsia="宋体"/>
                <w:color w:val="000000"/>
                <w:lang w:val="en-US" w:eastAsia="zh-CN"/>
              </w:rPr>
              <w:t>1.1</w:t>
            </w:r>
          </w:p>
        </w:tc>
        <w:tc>
          <w:tcPr>
            <w:tcW w:w="31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000000"/>
                <w:lang w:val="en-US" w:eastAsia="zh-CN"/>
              </w:rPr>
            </w:pPr>
            <w:r>
              <w:rPr>
                <w:rFonts w:hint="eastAsia" w:eastAsia="宋体"/>
                <w:color w:val="000000"/>
                <w:lang w:val="en-US" w:eastAsia="zh-CN"/>
              </w:rPr>
              <w:t xml:space="preserve"> 0.83</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eastAsia="宋体"/>
                <w:color w:val="000000"/>
                <w:sz w:val="20"/>
                <w:szCs w:val="20"/>
              </w:rPr>
            </w:pPr>
          </w:p>
        </w:tc>
        <w:tc>
          <w:tcPr>
            <w:tcW w:w="343"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000000"/>
                <w:sz w:val="20"/>
                <w:szCs w:val="20"/>
                <w:lang w:val="en-US" w:eastAsia="zh-CN"/>
              </w:rPr>
            </w:pPr>
          </w:p>
        </w:tc>
        <w:tc>
          <w:tcPr>
            <w:tcW w:w="36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sz w:val="20"/>
                <w:szCs w:val="20"/>
                <w:lang w:val="en-US" w:eastAsia="zh-CN"/>
              </w:rPr>
            </w:pPr>
          </w:p>
        </w:tc>
        <w:tc>
          <w:tcPr>
            <w:tcW w:w="34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eastAsia="宋体"/>
                <w:color w:val="000000"/>
                <w:lang w:val="en-US" w:eastAsia="zh-CN"/>
              </w:rPr>
            </w:pPr>
            <w:r>
              <w:rPr>
                <w:rFonts w:hint="eastAsia" w:eastAsia="宋体"/>
                <w:color w:val="000000"/>
                <w:lang w:val="en-US" w:eastAsia="zh-CN"/>
              </w:rPr>
              <w:t>0.14</w:t>
            </w:r>
          </w:p>
        </w:tc>
        <w:tc>
          <w:tcPr>
            <w:tcW w:w="34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000000"/>
                <w:lang w:val="en-US" w:eastAsia="zh-CN"/>
              </w:rPr>
            </w:pPr>
            <w:r>
              <w:rPr>
                <w:rFonts w:hint="eastAsia"/>
                <w:color w:val="000000"/>
                <w:lang w:val="en-US" w:eastAsia="zh-CN"/>
              </w:rPr>
              <w:t>外购</w:t>
            </w:r>
          </w:p>
        </w:tc>
        <w:tc>
          <w:tcPr>
            <w:tcW w:w="537"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eastAsia="宋体"/>
                <w:color w:val="000000"/>
                <w:lang w:val="en-US" w:eastAsia="zh-CN"/>
              </w:rPr>
            </w:pPr>
            <w:r>
              <w:rPr>
                <w:rFonts w:hint="eastAsia" w:eastAsia="宋体"/>
                <w:color w:val="000000"/>
                <w:lang w:val="en-US" w:eastAsia="zh-CN"/>
              </w:rPr>
              <w:t>0.41</w:t>
            </w:r>
          </w:p>
        </w:tc>
        <w:tc>
          <w:tcPr>
            <w:tcW w:w="379" w:type="pct"/>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sz w:val="20"/>
                <w:szCs w:val="20"/>
                <w:lang w:eastAsia="zh-CN"/>
              </w:rPr>
            </w:pPr>
            <w:r>
              <w:rPr>
                <w:rFonts w:hint="eastAsia" w:ascii="Times New Roman" w:hAnsi="Times New Roman"/>
                <w:color w:val="000000"/>
                <w:lang w:val="en-US" w:eastAsia="zh-CN"/>
              </w:rPr>
              <w:t>弃渣场</w:t>
            </w:r>
          </w:p>
        </w:tc>
      </w:tr>
    </w:tbl>
    <w:p>
      <w:pPr>
        <w:ind w:firstLine="0" w:firstLineChars="0"/>
        <w:rPr>
          <w:color w:val="auto"/>
        </w:rPr>
      </w:pPr>
      <w:r>
        <w:rPr>
          <w:rFonts w:hint="eastAsia"/>
          <w:lang w:val="en-US" w:eastAsia="zh-CN"/>
        </w:rPr>
        <w:t xml:space="preserve">  </w:t>
      </w:r>
      <w:r>
        <w:rPr>
          <w:color w:val="auto"/>
        </w:rPr>
        <w:t>说明：各行按“开挖+调入+</w:t>
      </w:r>
      <w:r>
        <w:rPr>
          <w:rFonts w:hint="eastAsia"/>
          <w:color w:val="auto"/>
        </w:rPr>
        <w:t>借方</w:t>
      </w:r>
      <w:r>
        <w:rPr>
          <w:color w:val="auto"/>
        </w:rPr>
        <w:t>=回填+调出+</w:t>
      </w:r>
      <w:r>
        <w:rPr>
          <w:rFonts w:hint="eastAsia"/>
          <w:color w:val="auto"/>
        </w:rPr>
        <w:t>弃方</w:t>
      </w:r>
      <w:r>
        <w:rPr>
          <w:color w:val="auto"/>
        </w:rPr>
        <w:t>”进行校核。</w:t>
      </w:r>
    </w:p>
    <w:p>
      <w:pPr>
        <w:pStyle w:val="25"/>
        <w:rPr>
          <w:rFonts w:hint="eastAsia"/>
        </w:rPr>
      </w:pPr>
      <w:r>
        <w:rPr>
          <w:rFonts w:hint="eastAsia"/>
        </w:rPr>
        <w:drawing>
          <wp:inline distT="0" distB="0" distL="114300" distR="114300">
            <wp:extent cx="5263515" cy="2475865"/>
            <wp:effectExtent l="0" t="0" r="0" b="0"/>
            <wp:docPr id="6"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qt_temp"/>
                    <pic:cNvPicPr>
                      <a:picLocks noChangeAspect="1"/>
                    </pic:cNvPicPr>
                  </pic:nvPicPr>
                  <pic:blipFill>
                    <a:blip r:embed="rId14"/>
                    <a:stretch>
                      <a:fillRect/>
                    </a:stretch>
                  </pic:blipFill>
                  <pic:spPr>
                    <a:xfrm>
                      <a:off x="0" y="0"/>
                      <a:ext cx="5263515" cy="2475865"/>
                    </a:xfrm>
                    <a:prstGeom prst="rect">
                      <a:avLst/>
                    </a:prstGeom>
                  </pic:spPr>
                </pic:pic>
              </a:graphicData>
            </a:graphic>
          </wp:inline>
        </w:drawing>
      </w:r>
      <w:r>
        <w:rPr>
          <w:rFonts w:hint="eastAsia"/>
        </w:rPr>
        <w:t>图2</w:t>
      </w:r>
      <w:r>
        <w:t>-</w:t>
      </w:r>
      <w:r>
        <w:rPr>
          <w:rFonts w:hint="eastAsia"/>
          <w:lang w:val="en-US" w:eastAsia="zh-CN"/>
        </w:rPr>
        <w:t>3</w:t>
      </w:r>
      <w:r>
        <w:rPr>
          <w:rFonts w:hint="eastAsia"/>
        </w:rPr>
        <w:t>土石方流向框图</w:t>
      </w:r>
    </w:p>
    <w:p>
      <w:pPr>
        <w:pStyle w:val="6"/>
        <w:keepNext/>
        <w:rPr>
          <w:rFonts w:hint="default" w:ascii="Times New Roman" w:hAnsi="Times New Roman" w:cs="Times New Roman"/>
          <w:b/>
          <w:bCs/>
          <w:color w:val="auto"/>
        </w:rPr>
      </w:pPr>
      <w:r>
        <w:rPr>
          <w:rFonts w:hint="eastAsia"/>
          <w:color w:val="000000"/>
        </w:rPr>
        <w:t>2.</w:t>
      </w:r>
      <w:r>
        <w:rPr>
          <w:rFonts w:hint="eastAsia"/>
          <w:color w:val="000000"/>
          <w:lang w:val="en-US" w:eastAsia="zh-CN"/>
        </w:rPr>
        <w:t>5</w:t>
      </w:r>
      <w:r>
        <w:rPr>
          <w:color w:val="000000"/>
        </w:rPr>
        <w:t>.</w:t>
      </w:r>
      <w:r>
        <w:rPr>
          <w:rFonts w:hint="eastAsia"/>
          <w:color w:val="000000"/>
          <w:lang w:val="en-US" w:eastAsia="zh-CN"/>
        </w:rPr>
        <w:t>3</w:t>
      </w:r>
      <w:r>
        <w:rPr>
          <w:rFonts w:hint="default" w:ascii="Times New Roman" w:hAnsi="Times New Roman" w:cs="Times New Roman"/>
          <w:b/>
          <w:bCs/>
          <w:color w:val="auto"/>
        </w:rPr>
        <w:t>弃方处置方案</w:t>
      </w:r>
    </w:p>
    <w:p>
      <w:pPr>
        <w:ind w:firstLine="480"/>
        <w:rPr>
          <w:rFonts w:hint="default" w:ascii="Times New Roman" w:hAnsi="Times New Roman" w:cs="Times New Roman"/>
          <w:color w:val="auto"/>
        </w:rPr>
      </w:pPr>
      <w:r>
        <w:rPr>
          <w:rFonts w:hint="default" w:ascii="Times New Roman" w:hAnsi="Times New Roman" w:cs="Times New Roman"/>
          <w:color w:val="auto"/>
        </w:rPr>
        <w:t>经土石方平衡后，项目弃方为</w:t>
      </w:r>
      <w:r>
        <w:rPr>
          <w:rFonts w:hint="eastAsia" w:cs="Times New Roman"/>
          <w:color w:val="auto"/>
          <w:lang w:val="en-US" w:eastAsia="zh-CN"/>
        </w:rPr>
        <w:t>0.41万m³，</w:t>
      </w:r>
      <w:r>
        <w:rPr>
          <w:rFonts w:hint="default" w:ascii="Times New Roman" w:hAnsi="Times New Roman" w:cs="Times New Roman"/>
          <w:color w:val="auto"/>
        </w:rPr>
        <w:t>均为一般土石方，弃方已于</w:t>
      </w:r>
      <w:r>
        <w:rPr>
          <w:rFonts w:hint="eastAsia" w:cs="Times New Roman"/>
          <w:color w:val="auto"/>
          <w:lang w:val="en-US" w:eastAsia="zh-CN"/>
        </w:rPr>
        <w:t>2020年11月</w:t>
      </w:r>
      <w:r>
        <w:rPr>
          <w:rFonts w:hint="default" w:ascii="Times New Roman" w:hAnsi="Times New Roman" w:cs="Times New Roman"/>
          <w:color w:val="auto"/>
        </w:rPr>
        <w:t>运至</w:t>
      </w:r>
      <w:r>
        <w:rPr>
          <w:rFonts w:hint="eastAsia" w:cs="Times New Roman"/>
          <w:color w:val="auto"/>
          <w:lang w:eastAsia="zh-CN"/>
        </w:rPr>
        <w:t>秦家岸弃土场集中堆放，</w:t>
      </w:r>
      <w:r>
        <w:rPr>
          <w:rFonts w:hint="default" w:ascii="Times New Roman" w:hAnsi="Times New Roman" w:cs="Times New Roman"/>
          <w:color w:val="auto"/>
        </w:rPr>
        <w:t>根据建设单位提供资料，</w:t>
      </w:r>
      <w:r>
        <w:rPr>
          <w:rFonts w:hint="eastAsia" w:cs="Times New Roman"/>
          <w:color w:val="auto"/>
          <w:lang w:eastAsia="zh-CN"/>
        </w:rPr>
        <w:t>秦家岸弃土场位于仪陇县秦家岸，</w:t>
      </w:r>
      <w:r>
        <w:rPr>
          <w:rFonts w:hint="eastAsia" w:cs="Times New Roman"/>
          <w:color w:val="auto"/>
          <w:szCs w:val="22"/>
          <w:lang w:eastAsia="zh-CN"/>
        </w:rPr>
        <w:t>属于</w:t>
      </w:r>
      <w:r>
        <w:rPr>
          <w:rFonts w:hint="eastAsia" w:cs="Times New Roman"/>
          <w:color w:val="auto"/>
          <w:szCs w:val="22"/>
          <w:lang w:val="en-US" w:eastAsia="zh-CN"/>
        </w:rPr>
        <w:t>仪陇县经开德朴实业有限公司，双方已于开工前签订弃土协议</w:t>
      </w:r>
      <w:r>
        <w:rPr>
          <w:rFonts w:hint="eastAsia" w:cs="Times New Roman"/>
          <w:color w:val="auto"/>
          <w:lang w:eastAsia="zh-CN"/>
        </w:rPr>
        <w:t>。秦家岸弃土场</w:t>
      </w:r>
      <w:r>
        <w:rPr>
          <w:rFonts w:hint="default" w:ascii="Times New Roman" w:hAnsi="Times New Roman" w:cs="Times New Roman"/>
          <w:color w:val="auto"/>
        </w:rPr>
        <w:t>总用地约200亩，弃土场主要用于收集容纳城市建筑弃渣及一般土石方，可容纳土石方总量约300万m</w:t>
      </w:r>
      <w:r>
        <w:rPr>
          <w:rFonts w:hint="default" w:ascii="Times New Roman" w:hAnsi="Times New Roman" w:cs="Times New Roman"/>
          <w:color w:val="auto"/>
          <w:vertAlign w:val="superscript"/>
        </w:rPr>
        <w:t>3</w:t>
      </w:r>
      <w:r>
        <w:rPr>
          <w:rFonts w:hint="default" w:ascii="Times New Roman" w:hAnsi="Times New Roman" w:cs="Times New Roman"/>
          <w:color w:val="auto"/>
        </w:rPr>
        <w:t>（截至202</w:t>
      </w:r>
      <w:r>
        <w:rPr>
          <w:rFonts w:hint="eastAsia" w:cs="Times New Roman"/>
          <w:color w:val="auto"/>
          <w:lang w:val="en-US" w:eastAsia="zh-CN"/>
        </w:rPr>
        <w:t>0</w:t>
      </w:r>
      <w:r>
        <w:rPr>
          <w:rFonts w:hint="default" w:ascii="Times New Roman" w:hAnsi="Times New Roman" w:cs="Times New Roman"/>
          <w:color w:val="auto"/>
        </w:rPr>
        <w:t>年1</w:t>
      </w:r>
      <w:r>
        <w:rPr>
          <w:rFonts w:hint="eastAsia" w:cs="Times New Roman"/>
          <w:color w:val="auto"/>
          <w:lang w:val="en-US" w:eastAsia="zh-CN"/>
        </w:rPr>
        <w:t>2</w:t>
      </w:r>
      <w:r>
        <w:rPr>
          <w:rFonts w:hint="default" w:ascii="Times New Roman" w:hAnsi="Times New Roman" w:cs="Times New Roman"/>
          <w:color w:val="auto"/>
        </w:rPr>
        <w:t>月，渣场剩余容量约120万m</w:t>
      </w:r>
      <w:r>
        <w:rPr>
          <w:rFonts w:hint="default" w:ascii="Times New Roman" w:hAnsi="Times New Roman" w:cs="Times New Roman"/>
          <w:color w:val="auto"/>
          <w:vertAlign w:val="superscript"/>
        </w:rPr>
        <w:t>3</w:t>
      </w:r>
      <w:r>
        <w:rPr>
          <w:rFonts w:hint="default" w:ascii="Times New Roman" w:hAnsi="Times New Roman" w:cs="Times New Roman"/>
          <w:color w:val="auto"/>
        </w:rPr>
        <w:t>）弃土场现状已布设的措施包括洗车池、临时排水沟、沉沙池及撒播草籽绿化等，场内现状无水土流失隐患，弃土场距本项目直线距离约</w:t>
      </w:r>
      <w:r>
        <w:rPr>
          <w:rFonts w:hint="eastAsia" w:cs="Times New Roman"/>
          <w:color w:val="auto"/>
          <w:lang w:val="en-US" w:eastAsia="zh-CN"/>
        </w:rPr>
        <w:t>10km，</w:t>
      </w:r>
      <w:r>
        <w:rPr>
          <w:rFonts w:hint="default" w:ascii="Times New Roman" w:hAnsi="Times New Roman" w:cs="Times New Roman"/>
          <w:color w:val="auto"/>
        </w:rPr>
        <w:t>有多条市政道路连通，为土方调运创造了便利的交通条件。</w:t>
      </w:r>
    </w:p>
    <w:p>
      <w:pPr>
        <w:ind w:firstLine="480"/>
        <w:rPr>
          <w:rFonts w:hint="default" w:ascii="Times New Roman" w:hAnsi="Times New Roman" w:cs="Times New Roman"/>
          <w:color w:val="auto"/>
        </w:rPr>
      </w:pPr>
      <w:r>
        <w:rPr>
          <w:rFonts w:hint="default" w:ascii="Times New Roman" w:hAnsi="Times New Roman" w:cs="Times New Roman"/>
          <w:color w:val="auto"/>
        </w:rPr>
        <w:t>本项目运输弃方时间</w:t>
      </w:r>
      <w:r>
        <w:rPr>
          <w:rFonts w:hint="eastAsia" w:cs="Times New Roman"/>
          <w:color w:val="auto"/>
          <w:lang w:eastAsia="zh-CN"/>
        </w:rPr>
        <w:t>为</w:t>
      </w:r>
      <w:r>
        <w:rPr>
          <w:rFonts w:hint="eastAsia" w:cs="Times New Roman"/>
          <w:color w:val="auto"/>
          <w:lang w:val="en-US" w:eastAsia="zh-CN"/>
        </w:rPr>
        <w:t>2020年11月，弃方量0.41万m³，</w:t>
      </w:r>
      <w:r>
        <w:rPr>
          <w:rFonts w:hint="default" w:ascii="Times New Roman" w:hAnsi="Times New Roman" w:cs="Times New Roman"/>
          <w:color w:val="auto"/>
        </w:rPr>
        <w:t>弃方由</w:t>
      </w:r>
      <w:r>
        <w:rPr>
          <w:rFonts w:hint="eastAsia" w:cs="Times New Roman"/>
          <w:color w:val="auto"/>
          <w:lang w:eastAsia="zh-CN"/>
        </w:rPr>
        <w:t>建设单位统一</w:t>
      </w:r>
      <w:r>
        <w:rPr>
          <w:rFonts w:hint="default" w:ascii="Times New Roman" w:hAnsi="Times New Roman" w:cs="Times New Roman"/>
          <w:color w:val="auto"/>
        </w:rPr>
        <w:t>运往</w:t>
      </w:r>
      <w:r>
        <w:rPr>
          <w:rFonts w:hint="eastAsia" w:cs="Times New Roman"/>
          <w:color w:val="auto"/>
          <w:lang w:eastAsia="zh-CN"/>
        </w:rPr>
        <w:t>秦家岸弃土场</w:t>
      </w:r>
      <w:r>
        <w:rPr>
          <w:rFonts w:hint="default" w:ascii="Times New Roman" w:hAnsi="Times New Roman" w:cs="Times New Roman"/>
          <w:color w:val="auto"/>
        </w:rPr>
        <w:t>集中堆放</w:t>
      </w:r>
      <w:r>
        <w:rPr>
          <w:rFonts w:hint="eastAsia" w:cs="Times New Roman"/>
          <w:color w:val="auto"/>
          <w:lang w:eastAsia="zh-CN"/>
        </w:rPr>
        <w:t>，</w:t>
      </w:r>
      <w:r>
        <w:rPr>
          <w:rFonts w:hint="default" w:ascii="Times New Roman" w:hAnsi="Times New Roman" w:cs="Times New Roman"/>
          <w:color w:val="auto"/>
        </w:rPr>
        <w:t>土石方到达协议约定地点后由</w:t>
      </w:r>
      <w:r>
        <w:rPr>
          <w:rFonts w:hint="eastAsia" w:cs="Times New Roman"/>
          <w:color w:val="auto"/>
          <w:lang w:eastAsia="zh-CN"/>
        </w:rPr>
        <w:t>秦家岸</w:t>
      </w:r>
      <w:r>
        <w:rPr>
          <w:rFonts w:hint="default" w:ascii="Times New Roman" w:hAnsi="Times New Roman" w:cs="Times New Roman"/>
          <w:color w:val="auto"/>
        </w:rPr>
        <w:t>弃土场建设单位负责接收，土石方运输车辆到达弃土场后水土流失责任由</w:t>
      </w:r>
      <w:r>
        <w:rPr>
          <w:rFonts w:hint="eastAsia" w:cs="Times New Roman"/>
          <w:color w:val="auto"/>
          <w:lang w:eastAsia="zh-CN"/>
        </w:rPr>
        <w:t>秦家岸</w:t>
      </w:r>
      <w:r>
        <w:rPr>
          <w:rFonts w:hint="default" w:ascii="Times New Roman" w:hAnsi="Times New Roman" w:cs="Times New Roman"/>
          <w:color w:val="auto"/>
        </w:rPr>
        <w:t>弃土场建设单位承担。</w:t>
      </w:r>
    </w:p>
    <w:p>
      <w:pPr>
        <w:ind w:firstLine="480"/>
        <w:rPr>
          <w:rFonts w:hint="eastAsia" w:ascii="Times New Roman" w:hAnsi="Times New Roman" w:eastAsia="仿宋" w:cs="Times New Roman"/>
          <w:color w:val="auto"/>
          <w:lang w:eastAsia="zh-CN"/>
        </w:rPr>
      </w:pPr>
      <w:r>
        <w:rPr>
          <w:rFonts w:hint="default" w:ascii="Times New Roman" w:hAnsi="Times New Roman" w:cs="Times New Roman"/>
          <w:color w:val="auto"/>
        </w:rPr>
        <w:t>由于两项目相距较远，主体工程车辆出场前已经过洗车池，车身、车轮无泥土出场、弃方外运时已做好运输车辆具备密闭或覆盖装置，沿途无遗漏、遗撒等。</w:t>
      </w:r>
      <w:r>
        <w:rPr>
          <w:rFonts w:hint="eastAsia" w:cs="Times New Roman"/>
          <w:color w:val="auto"/>
          <w:lang w:eastAsia="zh-CN"/>
        </w:rPr>
        <w:t>符合水土保持要求。</w:t>
      </w:r>
    </w:p>
    <w:p>
      <w:pPr>
        <w:pStyle w:val="50"/>
        <w:spacing w:line="240" w:lineRule="auto"/>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rPr>
        <w:drawing>
          <wp:inline distT="0" distB="0" distL="114300" distR="114300">
            <wp:extent cx="2498090" cy="1614805"/>
            <wp:effectExtent l="0" t="0" r="16510" b="4445"/>
            <wp:docPr id="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56"/>
                    <pic:cNvPicPr>
                      <a:picLocks noChangeAspect="1"/>
                    </pic:cNvPicPr>
                  </pic:nvPicPr>
                  <pic:blipFill>
                    <a:blip r:embed="rId15"/>
                    <a:stretch>
                      <a:fillRect/>
                    </a:stretch>
                  </pic:blipFill>
                  <pic:spPr>
                    <a:xfrm>
                      <a:off x="0" y="0"/>
                      <a:ext cx="2498090" cy="1614805"/>
                    </a:xfrm>
                    <a:prstGeom prst="rect">
                      <a:avLst/>
                    </a:prstGeom>
                    <a:noFill/>
                    <a:ln>
                      <a:noFill/>
                    </a:ln>
                  </pic:spPr>
                </pic:pic>
              </a:graphicData>
            </a:graphic>
          </wp:inline>
        </w:drawing>
      </w:r>
      <w:r>
        <w:drawing>
          <wp:inline distT="0" distB="0" distL="114300" distR="114300">
            <wp:extent cx="2522220" cy="1576070"/>
            <wp:effectExtent l="0" t="0" r="11430" b="508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6"/>
                    <a:stretch>
                      <a:fillRect/>
                    </a:stretch>
                  </pic:blipFill>
                  <pic:spPr>
                    <a:xfrm>
                      <a:off x="0" y="0"/>
                      <a:ext cx="2522220" cy="1576070"/>
                    </a:xfrm>
                    <a:prstGeom prst="rect">
                      <a:avLst/>
                    </a:prstGeom>
                    <a:noFill/>
                    <a:ln>
                      <a:noFill/>
                    </a:ln>
                  </pic:spPr>
                </pic:pic>
              </a:graphicData>
            </a:graphic>
          </wp:inline>
        </w:drawing>
      </w:r>
    </w:p>
    <w:p>
      <w:pPr>
        <w:pStyle w:val="50"/>
        <w:spacing w:line="240" w:lineRule="auto"/>
        <w:ind w:firstLine="1446" w:firstLineChars="6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余土</w:t>
      </w:r>
      <w:r>
        <w:rPr>
          <w:rFonts w:hint="default" w:ascii="Times New Roman" w:hAnsi="Times New Roman" w:eastAsia="仿宋_GB2312" w:cs="Times New Roman"/>
          <w:color w:val="auto"/>
          <w:lang w:eastAsia="zh-CN"/>
        </w:rPr>
        <w:t>运输照片</w:t>
      </w:r>
      <w:r>
        <w:rPr>
          <w:rFonts w:hint="default" w:ascii="Times New Roman" w:hAnsi="Times New Roman" w:eastAsia="仿宋_GB2312" w:cs="Times New Roman"/>
          <w:color w:val="auto"/>
          <w:lang w:val="en-US" w:eastAsia="zh-CN"/>
        </w:rPr>
        <w:t xml:space="preserve">                    </w:t>
      </w:r>
      <w:r>
        <w:rPr>
          <w:rFonts w:hint="default" w:ascii="Times New Roman" w:hAnsi="Times New Roman" w:eastAsia="仿宋_GB2312" w:cs="Times New Roman"/>
          <w:color w:val="auto"/>
          <w:sz w:val="24"/>
          <w:szCs w:val="24"/>
          <w:lang w:eastAsia="zh-CN"/>
        </w:rPr>
        <w:t>余方</w:t>
      </w:r>
      <w:r>
        <w:rPr>
          <w:rFonts w:hint="default" w:ascii="Times New Roman" w:hAnsi="Times New Roman" w:eastAsia="仿宋_GB2312" w:cs="Times New Roman"/>
          <w:color w:val="auto"/>
          <w:sz w:val="24"/>
          <w:szCs w:val="24"/>
        </w:rPr>
        <w:t>填埋点现状</w:t>
      </w:r>
    </w:p>
    <w:p>
      <w:pPr>
        <w:pStyle w:val="4"/>
        <w:rPr>
          <w:rFonts w:hint="eastAsia"/>
          <w:color w:val="000000"/>
        </w:rPr>
      </w:pPr>
      <w:bookmarkStart w:id="137" w:name="_Toc1769"/>
      <w:bookmarkStart w:id="138" w:name="_Toc31140"/>
      <w:r>
        <w:rPr>
          <w:rFonts w:hint="eastAsia"/>
          <w:color w:val="000000"/>
        </w:rPr>
        <w:t>2</w:t>
      </w:r>
      <w:r>
        <w:rPr>
          <w:color w:val="000000"/>
        </w:rPr>
        <w:t>.</w:t>
      </w:r>
      <w:r>
        <w:rPr>
          <w:rFonts w:hint="eastAsia"/>
          <w:color w:val="000000"/>
          <w:lang w:val="en-US" w:eastAsia="zh-CN"/>
        </w:rPr>
        <w:t>6</w:t>
      </w:r>
      <w:r>
        <w:rPr>
          <w:rFonts w:hint="eastAsia"/>
          <w:color w:val="000000"/>
        </w:rPr>
        <w:t>拆迁（移民）安置与专项设施改（迁）建</w:t>
      </w:r>
      <w:bookmarkEnd w:id="137"/>
      <w:bookmarkEnd w:id="138"/>
    </w:p>
    <w:p>
      <w:pPr>
        <w:pStyle w:val="24"/>
        <w:rPr>
          <w:rFonts w:hint="eastAsia"/>
        </w:rPr>
      </w:pPr>
      <w:bookmarkStart w:id="139" w:name="_Toc28652"/>
      <w:bookmarkStart w:id="140" w:name="_Toc28989"/>
      <w:bookmarkStart w:id="141" w:name="_Toc32481"/>
      <w:bookmarkStart w:id="142" w:name="_Toc48656921"/>
      <w:r>
        <w:rPr>
          <w:rFonts w:hint="eastAsia"/>
          <w:color w:val="000000"/>
        </w:rPr>
        <w:t>本工程建设占地为</w:t>
      </w:r>
      <w:r>
        <w:rPr>
          <w:rFonts w:hint="eastAsia"/>
          <w:color w:val="000000"/>
          <w:lang w:val="en-US" w:eastAsia="zh-CN"/>
        </w:rPr>
        <w:t>住宅用地</w:t>
      </w:r>
      <w:r>
        <w:rPr>
          <w:rFonts w:hint="eastAsia"/>
          <w:color w:val="000000"/>
        </w:rPr>
        <w:t>，不涉及拆迁安置和专项设施改迁建。</w:t>
      </w:r>
    </w:p>
    <w:p>
      <w:pPr>
        <w:pStyle w:val="4"/>
        <w:rPr>
          <w:color w:val="000000"/>
        </w:rPr>
      </w:pPr>
      <w:bookmarkStart w:id="143" w:name="_Toc7016"/>
      <w:r>
        <w:rPr>
          <w:rFonts w:hint="eastAsia"/>
          <w:color w:val="000000"/>
        </w:rPr>
        <w:t>2.</w:t>
      </w:r>
      <w:r>
        <w:rPr>
          <w:rFonts w:hint="eastAsia"/>
          <w:color w:val="000000"/>
          <w:lang w:val="en-US" w:eastAsia="zh-CN"/>
        </w:rPr>
        <w:t>7</w:t>
      </w:r>
      <w:r>
        <w:rPr>
          <w:rFonts w:hint="eastAsia"/>
          <w:color w:val="000000"/>
        </w:rPr>
        <w:t>主体工程施工进度</w:t>
      </w:r>
      <w:bookmarkEnd w:id="139"/>
      <w:bookmarkEnd w:id="140"/>
      <w:bookmarkEnd w:id="141"/>
      <w:bookmarkEnd w:id="142"/>
      <w:bookmarkEnd w:id="143"/>
    </w:p>
    <w:p>
      <w:pPr>
        <w:bidi w:val="0"/>
        <w:ind w:firstLine="480" w:firstLineChars="200"/>
        <w:rPr>
          <w:rFonts w:hint="eastAsia"/>
        </w:rPr>
      </w:pPr>
      <w:bookmarkStart w:id="144" w:name="_Toc1104"/>
      <w:bookmarkStart w:id="145" w:name="_Toc16105"/>
      <w:bookmarkStart w:id="146" w:name="_Toc19837"/>
      <w:bookmarkStart w:id="147" w:name="_Toc25046"/>
      <w:bookmarkStart w:id="148" w:name="_Toc31708"/>
      <w:bookmarkStart w:id="149" w:name="_Toc20482"/>
      <w:r>
        <w:rPr>
          <w:rFonts w:hint="eastAsia"/>
        </w:rPr>
        <w:t>本工程</w:t>
      </w:r>
      <w:r>
        <w:rPr>
          <w:rFonts w:hint="eastAsia"/>
          <w:lang w:eastAsia="zh-CN"/>
        </w:rPr>
        <w:t>已</w:t>
      </w:r>
      <w:r>
        <w:rPr>
          <w:rFonts w:hint="eastAsia"/>
        </w:rPr>
        <w:t>于</w:t>
      </w:r>
      <w:r>
        <w:rPr>
          <w:rFonts w:hint="eastAsia"/>
          <w:lang w:eastAsia="zh-CN"/>
        </w:rPr>
        <w:t>2020年10月</w:t>
      </w:r>
      <w:r>
        <w:rPr>
          <w:rFonts w:hint="eastAsia"/>
        </w:rPr>
        <w:t>开工，</w:t>
      </w:r>
      <w:r>
        <w:rPr>
          <w:rFonts w:hint="eastAsia"/>
          <w:lang w:eastAsia="zh-CN"/>
        </w:rPr>
        <w:t>计划于</w:t>
      </w:r>
      <w:r>
        <w:rPr>
          <w:rFonts w:hint="eastAsia"/>
          <w:lang w:val="en-US" w:eastAsia="zh-CN"/>
        </w:rPr>
        <w:t>2022年10月完工，总工期25个月</w:t>
      </w:r>
      <w:r>
        <w:rPr>
          <w:rFonts w:hint="eastAsia"/>
        </w:rPr>
        <w:t>。根据主体工程的施工安排，以土建工程为先，</w:t>
      </w:r>
      <w:r>
        <w:rPr>
          <w:rFonts w:hint="eastAsia"/>
          <w:lang w:val="en-US" w:eastAsia="zh-CN"/>
        </w:rPr>
        <w:t>绿化、</w:t>
      </w:r>
      <w:r>
        <w:rPr>
          <w:rFonts w:hint="eastAsia"/>
        </w:rPr>
        <w:t>附属</w:t>
      </w:r>
      <w:r>
        <w:rPr>
          <w:rFonts w:hint="eastAsia"/>
          <w:lang w:val="en-US" w:eastAsia="zh-CN"/>
        </w:rPr>
        <w:t>等</w:t>
      </w:r>
      <w:r>
        <w:rPr>
          <w:rFonts w:hint="eastAsia"/>
        </w:rPr>
        <w:t>工程随后，各项工程施工进度相互衔接，互相协调，有序进行。主体工程施工进度表详见表2</w:t>
      </w:r>
      <w:r>
        <w:t>-</w:t>
      </w:r>
      <w:r>
        <w:rPr>
          <w:rFonts w:hint="eastAsia"/>
          <w:lang w:val="en-US" w:eastAsia="zh-CN"/>
        </w:rPr>
        <w:t>7</w:t>
      </w:r>
      <w:r>
        <w:rPr>
          <w:rFonts w:hint="eastAsia"/>
        </w:rPr>
        <w:t>。</w:t>
      </w:r>
      <w:bookmarkEnd w:id="144"/>
      <w:bookmarkEnd w:id="145"/>
      <w:bookmarkEnd w:id="146"/>
      <w:bookmarkEnd w:id="147"/>
      <w:bookmarkEnd w:id="148"/>
      <w:bookmarkEnd w:id="149"/>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color w:val="000000"/>
          <w:sz w:val="21"/>
          <w:szCs w:val="22"/>
          <w:highlight w:val="none"/>
        </w:rPr>
      </w:pPr>
      <w:r>
        <w:rPr>
          <w:rFonts w:hint="eastAsia" w:ascii="Times New Roman" w:hAnsi="Times New Roman" w:cs="Times New Roman"/>
          <w:b/>
          <w:color w:val="000000"/>
          <w:sz w:val="21"/>
          <w:szCs w:val="22"/>
          <w:highlight w:val="none"/>
        </w:rPr>
        <w:t>表2-</w:t>
      </w:r>
      <w:r>
        <w:rPr>
          <w:rFonts w:hint="eastAsia" w:ascii="Times New Roman" w:hAnsi="Times New Roman" w:cs="Times New Roman"/>
          <w:b/>
          <w:color w:val="000000"/>
          <w:sz w:val="21"/>
          <w:szCs w:val="22"/>
          <w:highlight w:val="none"/>
          <w:lang w:val="en-US" w:eastAsia="zh-CN"/>
        </w:rPr>
        <w:t>7</w:t>
      </w:r>
      <w:r>
        <w:rPr>
          <w:rFonts w:hint="eastAsia" w:ascii="Times New Roman" w:hAnsi="Times New Roman" w:cs="Times New Roman"/>
          <w:b/>
          <w:color w:val="000000"/>
          <w:sz w:val="21"/>
          <w:szCs w:val="22"/>
          <w:highlight w:val="none"/>
        </w:rPr>
        <w:t xml:space="preserve"> 主体工程施工进度表</w:t>
      </w:r>
    </w:p>
    <w:tbl>
      <w:tblPr>
        <w:tblStyle w:val="19"/>
        <w:tblW w:w="5263" w:type="pct"/>
        <w:tblInd w:w="-219"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870"/>
        <w:gridCol w:w="1299"/>
        <w:gridCol w:w="538"/>
        <w:gridCol w:w="493"/>
        <w:gridCol w:w="394"/>
        <w:gridCol w:w="360"/>
        <w:gridCol w:w="522"/>
        <w:gridCol w:w="519"/>
        <w:gridCol w:w="505"/>
        <w:gridCol w:w="551"/>
        <w:gridCol w:w="568"/>
        <w:gridCol w:w="510"/>
        <w:gridCol w:w="574"/>
        <w:gridCol w:w="501"/>
        <w:gridCol w:w="55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cs="Times New Roman"/>
                <w:color w:val="000000"/>
                <w:szCs w:val="18"/>
                <w:highlight w:val="none"/>
              </w:rPr>
            </w:pPr>
            <w:r>
              <w:rPr>
                <w:rFonts w:hint="eastAsia" w:cs="Times New Roman"/>
                <w:color w:val="000000"/>
                <w:szCs w:val="18"/>
                <w:highlight w:val="none"/>
              </w:rPr>
              <w:t>项目名称</w:t>
            </w:r>
          </w:p>
        </w:tc>
        <w:tc>
          <w:tcPr>
            <w:tcW w:w="742"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cs="Times New Roman"/>
                <w:color w:val="000000"/>
                <w:szCs w:val="18"/>
                <w:highlight w:val="none"/>
              </w:rPr>
            </w:pPr>
            <w:r>
              <w:rPr>
                <w:rFonts w:hint="eastAsia" w:cs="Times New Roman"/>
                <w:color w:val="000000"/>
                <w:szCs w:val="18"/>
                <w:highlight w:val="none"/>
              </w:rPr>
              <w:t>项目组成</w:t>
            </w:r>
          </w:p>
        </w:tc>
        <w:tc>
          <w:tcPr>
            <w:tcW w:w="588"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cs="Times New Roman"/>
                <w:color w:val="000000"/>
                <w:szCs w:val="18"/>
                <w:highlight w:val="none"/>
                <w:lang w:val="en-US" w:eastAsia="zh-CN"/>
              </w:rPr>
            </w:pPr>
            <w:r>
              <w:rPr>
                <w:rFonts w:hint="eastAsia" w:ascii="Times New Roman" w:hAnsi="Times New Roman" w:cs="Times New Roman"/>
                <w:color w:val="000000"/>
                <w:szCs w:val="18"/>
                <w:highlight w:val="none"/>
                <w:lang w:val="en-US" w:eastAsia="zh-CN"/>
              </w:rPr>
              <w:t>2020年</w:t>
            </w:r>
          </w:p>
        </w:tc>
        <w:tc>
          <w:tcPr>
            <w:tcW w:w="1628" w:type="pct"/>
            <w:gridSpan w:val="6"/>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lang w:val="en-US" w:eastAsia="zh-CN"/>
              </w:rPr>
            </w:pPr>
            <w:r>
              <w:rPr>
                <w:rFonts w:hint="eastAsia" w:cs="Times New Roman"/>
                <w:color w:val="000000"/>
                <w:szCs w:val="18"/>
                <w:highlight w:val="none"/>
                <w:lang w:val="en-US" w:eastAsia="zh-CN"/>
              </w:rPr>
              <w:t>2021年</w:t>
            </w:r>
          </w:p>
        </w:tc>
        <w:tc>
          <w:tcPr>
            <w:tcW w:w="1544" w:type="pct"/>
            <w:gridSpan w:val="5"/>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lang w:val="en-US" w:eastAsia="zh-CN"/>
              </w:rPr>
            </w:pPr>
            <w:r>
              <w:rPr>
                <w:rFonts w:hint="eastAsia" w:cs="Times New Roman"/>
                <w:color w:val="000000"/>
                <w:szCs w:val="18"/>
                <w:highlight w:val="none"/>
                <w:lang w:val="en-US" w:eastAsia="zh-CN"/>
              </w:rPr>
              <w:t>2022年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610" w:hRule="atLeast"/>
        </w:trPr>
        <w:tc>
          <w:tcPr>
            <w:tcW w:w="496"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highlight w:val="none"/>
              </w:rPr>
            </w:pPr>
          </w:p>
        </w:tc>
        <w:tc>
          <w:tcPr>
            <w:tcW w:w="742"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highlight w:val="none"/>
              </w:rPr>
            </w:pPr>
          </w:p>
        </w:tc>
        <w:tc>
          <w:tcPr>
            <w:tcW w:w="30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10月</w:t>
            </w:r>
          </w:p>
        </w:tc>
        <w:tc>
          <w:tcPr>
            <w:tcW w:w="28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12月</w:t>
            </w:r>
          </w:p>
        </w:tc>
        <w:tc>
          <w:tcPr>
            <w:tcW w:w="22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2月</w:t>
            </w:r>
          </w:p>
        </w:tc>
        <w:tc>
          <w:tcPr>
            <w:tcW w:w="20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4月</w:t>
            </w:r>
          </w:p>
        </w:tc>
        <w:tc>
          <w:tcPr>
            <w:tcW w:w="29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6月</w:t>
            </w:r>
          </w:p>
        </w:tc>
        <w:tc>
          <w:tcPr>
            <w:tcW w:w="29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8月</w:t>
            </w: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10月</w:t>
            </w:r>
          </w:p>
        </w:tc>
        <w:tc>
          <w:tcPr>
            <w:tcW w:w="31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12月</w:t>
            </w:r>
          </w:p>
        </w:tc>
        <w:tc>
          <w:tcPr>
            <w:tcW w:w="32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2月</w:t>
            </w:r>
          </w:p>
        </w:tc>
        <w:tc>
          <w:tcPr>
            <w:tcW w:w="29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4月</w:t>
            </w:r>
          </w:p>
        </w:tc>
        <w:tc>
          <w:tcPr>
            <w:tcW w:w="32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6月</w:t>
            </w: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8月</w:t>
            </w: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cs="Times New Roman"/>
                <w:color w:val="000000"/>
                <w:szCs w:val="18"/>
                <w:highlight w:val="none"/>
                <w:lang w:val="en-US" w:eastAsia="zh-CN"/>
              </w:rPr>
            </w:pPr>
            <w:r>
              <w:rPr>
                <w:rFonts w:hint="eastAsia" w:cs="Times New Roman"/>
                <w:color w:val="000000"/>
                <w:szCs w:val="18"/>
                <w:highlight w:val="none"/>
                <w:lang w:val="en-US" w:eastAsia="zh-CN"/>
              </w:rPr>
              <w:t>10月</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56" w:hRule="atLeast"/>
        </w:trPr>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i w:val="0"/>
                <w:iCs w:val="0"/>
                <w:kern w:val="0"/>
                <w:sz w:val="21"/>
                <w:szCs w:val="21"/>
                <w:highlight w:val="none"/>
              </w:rPr>
              <w:t>仪陇县琳琅大道中段棚户区改造项目</w:t>
            </w:r>
            <w:r>
              <w:rPr>
                <w:rFonts w:hint="eastAsia"/>
                <w:i w:val="0"/>
                <w:iCs w:val="0"/>
                <w:kern w:val="0"/>
                <w:sz w:val="21"/>
                <w:szCs w:val="21"/>
                <w:highlight w:val="none"/>
                <w:lang w:eastAsia="zh-CN"/>
              </w:rPr>
              <w:t>（五星花园</w:t>
            </w:r>
            <w:r>
              <w:rPr>
                <w:rFonts w:hint="eastAsia"/>
                <w:i w:val="0"/>
                <w:iCs w:val="0"/>
                <w:kern w:val="0"/>
                <w:sz w:val="21"/>
                <w:szCs w:val="21"/>
                <w:highlight w:val="none"/>
              </w:rPr>
              <w:t>地块</w:t>
            </w:r>
            <w:r>
              <w:rPr>
                <w:rFonts w:hint="eastAsia"/>
                <w:i w:val="0"/>
                <w:iCs w:val="0"/>
                <w:kern w:val="0"/>
                <w:sz w:val="21"/>
                <w:szCs w:val="21"/>
                <w:highlight w:val="none"/>
                <w:lang w:eastAsia="zh-CN"/>
              </w:rPr>
              <w:t>）</w:t>
            </w:r>
          </w:p>
        </w:tc>
        <w:tc>
          <w:tcPr>
            <w:tcW w:w="74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建筑构物工程</w:t>
            </w:r>
          </w:p>
        </w:tc>
        <w:tc>
          <w:tcPr>
            <w:tcW w:w="30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r>
              <w:rPr>
                <w:sz w:val="30"/>
                <w:highlight w:val="none"/>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162560</wp:posOffset>
                      </wp:positionV>
                      <wp:extent cx="2474595" cy="381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2474595" cy="381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12.8pt;height:0.3pt;width:194.85pt;z-index:251660288;mso-width-relative:page;mso-height-relative:page;" filled="f" stroked="t" coordsize="21600,21600" o:gfxdata="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dQqPUAAAABgEAAA8AAAAAAAAAAQAgAAAAIgAAAGRycy9kb3ducmV2Lnht&#10;bFBLAQIUABQAAAAIAIdO4kC6FqBj/QEAAOoDAAAOAAAAAAAAAAEAIAAAACMBAABkcnMvZTJvRG9j&#10;LnhtbFBLBQYAAAAABgAGAFkBAACSBQAAAAA=&#10;">
                      <v:fill on="f" focussize="0,0"/>
                      <v:stroke weight="1.5pt" color="#000000" joinstyle="round"/>
                      <v:imagedata o:title=""/>
                      <o:lock v:ext="edit" aspectratio="f"/>
                    </v:line>
                  </w:pict>
                </mc:Fallback>
              </mc:AlternateContent>
            </w:r>
          </w:p>
        </w:tc>
        <w:tc>
          <w:tcPr>
            <w:tcW w:w="28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2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0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1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2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2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56" w:hRule="atLeast"/>
        </w:trPr>
        <w:tc>
          <w:tcPr>
            <w:tcW w:w="496"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74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附属设施工程</w:t>
            </w:r>
          </w:p>
        </w:tc>
        <w:tc>
          <w:tcPr>
            <w:tcW w:w="30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8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2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0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r>
              <w:rPr>
                <w:sz w:val="30"/>
                <w:highlight w:val="none"/>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189230</wp:posOffset>
                      </wp:positionV>
                      <wp:extent cx="1966595" cy="9525"/>
                      <wp:effectExtent l="0" t="9525" r="14605" b="9525"/>
                      <wp:wrapNone/>
                      <wp:docPr id="10" name="直接连接符 10"/>
                      <wp:cNvGraphicFramePr/>
                      <a:graphic xmlns:a="http://schemas.openxmlformats.org/drawingml/2006/main">
                        <a:graphicData uri="http://schemas.microsoft.com/office/word/2010/wordprocessingShape">
                          <wps:wsp>
                            <wps:cNvCnPr/>
                            <wps:spPr>
                              <a:xfrm flipV="1">
                                <a:off x="0" y="0"/>
                                <a:ext cx="1966595" cy="952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5pt;margin-top:14.9pt;height:0.75pt;width:154.85pt;z-index:251661312;mso-width-relative:page;mso-height-relative:page;" filled="f" stroked="t" coordsize="21600,21600" o:gfxdata="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eq3dbVAAAABwEAAA8AAAAAAAAAAQAgAAAAIgAAAGRycy9kb3ducmV2Lnht&#10;bFBLAQIUABQAAAAIAIdO4kAJox2r/AEAAPQDAAAOAAAAAAAAAAEAIAAAACQBAABkcnMvZTJvRG9j&#10;LnhtbFBLBQYAAAAABgAGAFkBAACSBQAAAAA=&#10;">
                      <v:fill on="f" focussize="0,0"/>
                      <v:stroke weight="1.5pt" color="#000000" joinstyle="round"/>
                      <v:imagedata o:title=""/>
                      <o:lock v:ext="edit" aspectratio="f"/>
                    </v:line>
                  </w:pict>
                </mc:Fallback>
              </mc:AlternateContent>
            </w:r>
          </w:p>
        </w:tc>
        <w:tc>
          <w:tcPr>
            <w:tcW w:w="31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2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9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2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66" w:hRule="atLeast"/>
        </w:trPr>
        <w:tc>
          <w:tcPr>
            <w:tcW w:w="496"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highlight w:val="none"/>
              </w:rPr>
            </w:pPr>
          </w:p>
        </w:tc>
        <w:tc>
          <w:tcPr>
            <w:tcW w:w="74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highlight w:val="none"/>
                <w:lang w:val="en-US" w:eastAsia="zh-CN"/>
              </w:rPr>
            </w:pPr>
            <w:r>
              <w:rPr>
                <w:rFonts w:hint="eastAsia" w:cs="Times New Roman"/>
                <w:color w:val="000000"/>
                <w:szCs w:val="18"/>
                <w:highlight w:val="none"/>
                <w:lang w:val="en-US" w:eastAsia="zh-CN"/>
              </w:rPr>
              <w:t>景观绿化工程</w:t>
            </w:r>
          </w:p>
        </w:tc>
        <w:tc>
          <w:tcPr>
            <w:tcW w:w="30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8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2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0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9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9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31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324"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r>
              <w:rPr>
                <w:sz w:val="30"/>
                <w:highlight w:val="none"/>
              </w:rPr>
              <mc:AlternateContent>
                <mc:Choice Requires="wps">
                  <w:drawing>
                    <wp:anchor distT="0" distB="0" distL="114300" distR="114300" simplePos="0" relativeHeight="251662336" behindDoc="0" locked="0" layoutInCell="1" allowOverlap="1">
                      <wp:simplePos x="0" y="0"/>
                      <wp:positionH relativeFrom="column">
                        <wp:posOffset>350520</wp:posOffset>
                      </wp:positionH>
                      <wp:positionV relativeFrom="paragraph">
                        <wp:posOffset>146050</wp:posOffset>
                      </wp:positionV>
                      <wp:extent cx="1397635" cy="8255"/>
                      <wp:effectExtent l="0" t="0" r="0" b="0"/>
                      <wp:wrapNone/>
                      <wp:docPr id="11" name="直接连接符 11"/>
                      <wp:cNvGraphicFramePr/>
                      <a:graphic xmlns:a="http://schemas.openxmlformats.org/drawingml/2006/main">
                        <a:graphicData uri="http://schemas.microsoft.com/office/word/2010/wordprocessingShape">
                          <wps:wsp>
                            <wps:cNvCnPr/>
                            <wps:spPr>
                              <a:xfrm>
                                <a:off x="0" y="0"/>
                                <a:ext cx="1397635" cy="825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11.5pt;height:0.65pt;width:110.05pt;z-index:251662336;mso-width-relative:page;mso-height-relative:page;" filled="f" stroked="t" coordsize="21600,21600" o:gfxdata="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6qHVTWAAAACAEAAA8AAAAAAAAAAQAgAAAAIgAAAGRycy9kb3ducmV2LnhtbFBL&#10;AQIUABQAAAAIAIdO4kCyA4AY+AEAAOoDAAAOAAAAAAAAAAEAIAAAACUBAABkcnMvZTJvRG9jLnht&#10;bFBLBQYAAAAABgAGAFkBAACPBQAAAAA=&#10;">
                      <v:fill on="f" focussize="0,0"/>
                      <v:stroke weight="1.5pt" color="#000000" joinstyle="round"/>
                      <v:imagedata o:title=""/>
                      <o:lock v:ext="edit" aspectratio="f"/>
                    </v:line>
                  </w:pict>
                </mc:Fallback>
              </mc:AlternateContent>
            </w:r>
          </w:p>
        </w:tc>
        <w:tc>
          <w:tcPr>
            <w:tcW w:w="291"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327"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highlight w:val="none"/>
              </w:rPr>
            </w:pPr>
          </w:p>
        </w:tc>
      </w:tr>
    </w:tbl>
    <w:p>
      <w:pPr>
        <w:pStyle w:val="4"/>
        <w:outlineLvl w:val="9"/>
        <w:rPr>
          <w:rFonts w:hint="default"/>
        </w:rPr>
      </w:pPr>
    </w:p>
    <w:p>
      <w:pPr>
        <w:pStyle w:val="4"/>
        <w:keepNext/>
        <w:keepLines/>
        <w:pageBreakBefore w:val="0"/>
        <w:widowControl w:val="0"/>
        <w:kinsoku/>
        <w:wordWrap/>
        <w:overflowPunct/>
        <w:topLinePunct w:val="0"/>
        <w:autoSpaceDE/>
        <w:autoSpaceDN/>
        <w:bidi w:val="0"/>
        <w:adjustRightInd w:val="0"/>
        <w:snapToGrid w:val="0"/>
        <w:textAlignment w:val="auto"/>
        <w:rPr>
          <w:rFonts w:hint="eastAsia"/>
          <w:color w:val="000000"/>
        </w:rPr>
      </w:pPr>
      <w:bookmarkStart w:id="150" w:name="_Toc8742"/>
      <w:bookmarkStart w:id="151" w:name="_Toc11936"/>
      <w:r>
        <w:rPr>
          <w:rFonts w:hint="eastAsia"/>
          <w:color w:val="000000"/>
        </w:rPr>
        <w:t>2.</w:t>
      </w:r>
      <w:r>
        <w:rPr>
          <w:rFonts w:hint="eastAsia"/>
          <w:color w:val="000000"/>
          <w:lang w:val="en-US" w:eastAsia="zh-CN"/>
        </w:rPr>
        <w:t>8</w:t>
      </w:r>
      <w:r>
        <w:rPr>
          <w:rFonts w:hint="eastAsia"/>
          <w:color w:val="000000"/>
        </w:rPr>
        <w:t>自然简况</w:t>
      </w:r>
      <w:bookmarkEnd w:id="150"/>
      <w:bookmarkEnd w:id="151"/>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val="en-US" w:eastAsia="zh-CN"/>
        </w:rPr>
      </w:pPr>
      <w:r>
        <w:rPr>
          <w:rFonts w:hint="eastAsia"/>
          <w:lang w:val="en-US" w:eastAsia="zh-CN"/>
        </w:rPr>
        <w:t>2.8.1 地形地貌</w:t>
      </w:r>
    </w:p>
    <w:p>
      <w:pPr>
        <w:pStyle w:val="23"/>
        <w:spacing w:before="0" w:beforeLines="0" w:after="0" w:afterLines="0" w:line="360" w:lineRule="auto"/>
        <w:ind w:firstLine="480"/>
        <w:rPr>
          <w:rFonts w:hint="eastAsia" w:ascii="Times New Roman" w:eastAsia="仿宋_GB2312"/>
          <w:sz w:val="24"/>
          <w:szCs w:val="16"/>
          <w:lang w:eastAsia="zh-CN"/>
        </w:rPr>
      </w:pPr>
      <w:r>
        <w:rPr>
          <w:rFonts w:hint="default" w:ascii="Times New Roman" w:hAnsi="Times New Roman" w:eastAsia="仿宋_GB2312" w:cs="Times New Roman"/>
          <w:color w:val="auto"/>
          <w:kern w:val="1"/>
          <w:sz w:val="24"/>
          <w:szCs w:val="24"/>
          <w:lang w:val="en-US" w:eastAsia="zh-CN" w:bidi="ar-SA"/>
        </w:rPr>
        <w:t>本项目场地位于</w:t>
      </w:r>
      <w:r>
        <w:rPr>
          <w:rFonts w:hint="eastAsia" w:ascii="Times New Roman" w:eastAsia="仿宋_GB2312" w:cs="Times New Roman"/>
          <w:color w:val="auto"/>
          <w:kern w:val="1"/>
          <w:sz w:val="24"/>
          <w:szCs w:val="24"/>
          <w:lang w:val="en-US" w:eastAsia="zh-CN" w:bidi="ar-SA"/>
        </w:rPr>
        <w:t>南充市仪陇县新政镇琳琅大道中段</w:t>
      </w:r>
      <w:r>
        <w:rPr>
          <w:rFonts w:hint="eastAsia" w:ascii="Times New Roman" w:hAnsi="Times New Roman" w:eastAsia="仿宋_GB2312" w:cs="Times New Roman"/>
          <w:color w:val="auto"/>
          <w:kern w:val="1"/>
          <w:sz w:val="24"/>
          <w:szCs w:val="24"/>
          <w:lang w:val="en-US" w:eastAsia="zh-CN" w:bidi="ar-SA"/>
        </w:rPr>
        <w:t>，该区域大地构造位置位于川中褶皱带北，米仓山褶皱带南，仪陇~巴中莲花状构造，深部构造表现为莲花状旋扭构造。</w:t>
      </w:r>
      <w:r>
        <w:rPr>
          <w:rFonts w:hint="eastAsia" w:ascii="Times New Roman" w:eastAsia="仿宋_GB2312" w:cs="Times New Roman"/>
          <w:color w:val="auto"/>
          <w:kern w:val="1"/>
          <w:sz w:val="24"/>
          <w:szCs w:val="24"/>
          <w:lang w:val="en-US" w:eastAsia="zh-CN" w:bidi="ar-SA"/>
        </w:rPr>
        <w:t>仪陇</w:t>
      </w:r>
      <w:r>
        <w:rPr>
          <w:rFonts w:hint="eastAsia" w:ascii="Times New Roman"/>
          <w:sz w:val="24"/>
          <w:szCs w:val="16"/>
        </w:rPr>
        <w:t>境内大部为深丘，地势略为西高东低、南高北低，地面高程一般在海拔</w:t>
      </w:r>
      <w:r>
        <w:rPr>
          <w:rFonts w:ascii="Times New Roman"/>
          <w:sz w:val="24"/>
          <w:szCs w:val="16"/>
        </w:rPr>
        <w:t>450</w:t>
      </w:r>
      <w:r>
        <w:rPr>
          <w:rFonts w:hint="eastAsia" w:ascii="Times New Roman"/>
          <w:sz w:val="24"/>
          <w:szCs w:val="16"/>
        </w:rPr>
        <w:t>～</w:t>
      </w:r>
      <w:r>
        <w:rPr>
          <w:rFonts w:ascii="Times New Roman"/>
          <w:sz w:val="24"/>
          <w:szCs w:val="16"/>
        </w:rPr>
        <w:t>550</w:t>
      </w:r>
      <w:r>
        <w:rPr>
          <w:rFonts w:hint="eastAsia" w:ascii="Times New Roman"/>
          <w:sz w:val="24"/>
          <w:szCs w:val="16"/>
        </w:rPr>
        <w:t>米，最高点迎春村摩天山顶海拔</w:t>
      </w:r>
      <w:r>
        <w:rPr>
          <w:rFonts w:ascii="Times New Roman"/>
          <w:sz w:val="24"/>
          <w:szCs w:val="16"/>
        </w:rPr>
        <w:t>650</w:t>
      </w:r>
      <w:r>
        <w:rPr>
          <w:rFonts w:hint="eastAsia" w:ascii="Times New Roman"/>
          <w:sz w:val="24"/>
          <w:szCs w:val="16"/>
        </w:rPr>
        <w:t>米，最低点明灯村八角庙海拔</w:t>
      </w:r>
      <w:r>
        <w:rPr>
          <w:rFonts w:ascii="Times New Roman"/>
          <w:sz w:val="24"/>
          <w:szCs w:val="16"/>
        </w:rPr>
        <w:t>450</w:t>
      </w:r>
      <w:r>
        <w:rPr>
          <w:rFonts w:hint="eastAsia" w:ascii="Times New Roman"/>
          <w:sz w:val="24"/>
          <w:szCs w:val="16"/>
        </w:rPr>
        <w:t>米。</w:t>
      </w:r>
    </w:p>
    <w:p>
      <w:pPr>
        <w:pStyle w:val="6"/>
        <w:bidi w:val="0"/>
        <w:rPr>
          <w:rFonts w:hint="eastAsia"/>
          <w:lang w:val="en-US" w:eastAsia="zh-CN"/>
        </w:rPr>
      </w:pPr>
      <w:r>
        <w:rPr>
          <w:rFonts w:hint="eastAsia"/>
          <w:lang w:val="en-US" w:eastAsia="zh-CN"/>
        </w:rPr>
        <w:t>2.8.2地质</w:t>
      </w:r>
    </w:p>
    <w:p>
      <w:pPr>
        <w:pStyle w:val="7"/>
        <w:bidi w:val="0"/>
        <w:ind w:left="0" w:leftChars="0" w:firstLine="0" w:firstLineChars="0"/>
        <w:rPr>
          <w:rFonts w:hint="eastAsia"/>
          <w:sz w:val="24"/>
          <w:szCs w:val="24"/>
          <w:lang w:val="en-US" w:eastAsia="zh-CN"/>
        </w:rPr>
      </w:pPr>
      <w:r>
        <w:rPr>
          <w:rFonts w:hint="eastAsia"/>
          <w:lang w:val="en-US" w:eastAsia="zh-CN"/>
        </w:rPr>
        <w:t>2.8.2.1地层岩性</w:t>
      </w:r>
    </w:p>
    <w:p>
      <w:pPr>
        <w:pStyle w:val="23"/>
        <w:spacing w:before="0" w:beforeLines="0" w:after="0" w:afterLines="0" w:line="360" w:lineRule="auto"/>
        <w:ind w:firstLine="480"/>
        <w:rPr>
          <w:rFonts w:ascii="Times New Roman"/>
          <w:sz w:val="24"/>
          <w:szCs w:val="16"/>
        </w:rPr>
      </w:pPr>
      <w:r>
        <w:rPr>
          <w:rFonts w:hint="eastAsia" w:ascii="Times New Roman"/>
          <w:sz w:val="24"/>
          <w:szCs w:val="16"/>
        </w:rPr>
        <w:t>在拟建场地勘探深度范围内的地层主要由第四系全新统人工填土层(Q4ml)的素填土，第四系全新统冲洪积层（Q4al+pl）的粉质黏土及圆砾，侏罗系上统蓬莱镇组泥岩（J3p)的泥岩组成。</w:t>
      </w:r>
    </w:p>
    <w:p>
      <w:pPr>
        <w:pStyle w:val="7"/>
        <w:bidi w:val="0"/>
        <w:ind w:left="0" w:leftChars="0" w:firstLine="0" w:firstLineChars="0"/>
        <w:rPr>
          <w:rFonts w:hint="default"/>
          <w:lang w:val="en-US" w:eastAsia="zh-CN"/>
        </w:rPr>
      </w:pPr>
      <w:r>
        <w:rPr>
          <w:rFonts w:hint="eastAsia"/>
          <w:lang w:val="en-US" w:eastAsia="zh-CN"/>
        </w:rPr>
        <w:t>2.8.2.2地质构造与地震</w:t>
      </w:r>
    </w:p>
    <w:p>
      <w:pPr>
        <w:pStyle w:val="23"/>
        <w:spacing w:before="0" w:beforeLines="0" w:after="0" w:afterLines="0" w:line="360" w:lineRule="auto"/>
        <w:ind w:firstLine="480"/>
        <w:rPr>
          <w:rFonts w:hint="eastAsia" w:ascii="Times New Roman"/>
          <w:sz w:val="24"/>
          <w:szCs w:val="16"/>
        </w:rPr>
      </w:pPr>
      <w:r>
        <w:rPr>
          <w:rFonts w:hint="eastAsia" w:ascii="Times New Roman"/>
          <w:sz w:val="24"/>
          <w:szCs w:val="16"/>
          <w:lang w:eastAsia="zh-CN"/>
        </w:rPr>
        <w:t>仪</w:t>
      </w:r>
      <w:r>
        <w:rPr>
          <w:rFonts w:hint="eastAsia" w:ascii="Times New Roman"/>
          <w:sz w:val="24"/>
          <w:szCs w:val="16"/>
        </w:rPr>
        <w:t>陇县在地质构造上位于新华夏系四川沉降带川北台坳内，巴中-龙泉山断裂带与华蓥山断裂带之间，该两条断裂带呈北东-南西走向，延伸较长。工程区内构造变动微弱，岩层产状平缓，近于水平，区内晚近期构造活动微弱，无深大断裂与褶皱构造存在，区内构造简单，构造裂隙不发育，主要受外围地震波及的影响，影响烈度较小，未见破坏性地震。</w:t>
      </w:r>
    </w:p>
    <w:p>
      <w:pPr>
        <w:keepNext w:val="0"/>
        <w:keepLines w:val="0"/>
        <w:widowControl/>
        <w:suppressLineNumbers w:val="0"/>
        <w:ind w:firstLine="480" w:firstLineChars="200"/>
        <w:jc w:val="left"/>
        <w:rPr>
          <w:rFonts w:hint="eastAsia" w:ascii="Times New Roman"/>
          <w:sz w:val="24"/>
          <w:szCs w:val="16"/>
        </w:rPr>
      </w:pPr>
      <w:r>
        <w:rPr>
          <w:rFonts w:hint="eastAsia" w:ascii="Times New Roman" w:hAnsi="Times New Roman" w:eastAsia="仿宋" w:cs="Times New Roman"/>
          <w:kern w:val="2"/>
          <w:sz w:val="24"/>
          <w:szCs w:val="16"/>
          <w:lang w:val="en-US" w:eastAsia="zh-CN" w:bidi="ar-SA"/>
        </w:rPr>
        <w:t>拟建场地未见断层通过，地质构造简单，场地区域稳定性好。</w:t>
      </w:r>
    </w:p>
    <w:p>
      <w:pPr>
        <w:pStyle w:val="23"/>
        <w:spacing w:before="0" w:beforeLines="0" w:after="0" w:afterLines="0" w:line="360" w:lineRule="auto"/>
        <w:ind w:firstLine="480"/>
        <w:rPr>
          <w:rFonts w:ascii="Times New Roman"/>
          <w:sz w:val="24"/>
          <w:szCs w:val="16"/>
        </w:rPr>
      </w:pPr>
      <w:r>
        <w:rPr>
          <w:rFonts w:hint="eastAsia" w:ascii="Times New Roman"/>
          <w:sz w:val="24"/>
          <w:szCs w:val="16"/>
        </w:rPr>
        <w:t>根据《建筑抗震设计规范》(GB50011-2010)2016版附录A及第5.1.4条和《中国地震动参数区划图》(GB18306-2015)表C内容的的划分，南充市仪陇县抗震设防烈度为</w:t>
      </w:r>
      <w:r>
        <w:rPr>
          <w:rFonts w:hint="eastAsia" w:ascii="Times New Roman"/>
          <w:sz w:val="24"/>
          <w:szCs w:val="16"/>
          <w:lang w:val="en-US" w:eastAsia="zh-CN"/>
        </w:rPr>
        <w:t>VI</w:t>
      </w:r>
      <w:r>
        <w:rPr>
          <w:rFonts w:hint="eastAsia" w:ascii="Times New Roman"/>
          <w:sz w:val="24"/>
          <w:szCs w:val="16"/>
        </w:rPr>
        <w:t>度，设计基本地震加速度值0.05g，设计地震分组为第一组，场地为Ⅱ类的特征周期值为0.35s。</w:t>
      </w:r>
    </w:p>
    <w:p>
      <w:pPr>
        <w:pStyle w:val="7"/>
        <w:ind w:left="0" w:leftChars="0" w:firstLine="0" w:firstLineChars="0"/>
        <w:rPr>
          <w:rFonts w:hint="eastAsia" w:ascii="仿宋" w:hAnsi="仿宋" w:eastAsia="仿宋"/>
        </w:rPr>
      </w:pPr>
      <w:r>
        <w:rPr>
          <w:rFonts w:hint="eastAsia" w:ascii="仿宋" w:hAnsi="仿宋" w:eastAsia="仿宋"/>
        </w:rPr>
        <w:t>2.8.2.3水文地质条件</w:t>
      </w:r>
    </w:p>
    <w:p>
      <w:pPr>
        <w:keepNext w:val="0"/>
        <w:keepLines w:val="0"/>
        <w:widowControl/>
        <w:suppressLineNumbers w:val="0"/>
        <w:ind w:firstLine="480" w:firstLineChars="200"/>
        <w:jc w:val="left"/>
        <w:rPr>
          <w:rFonts w:hint="eastAsia" w:ascii="Times New Roman" w:hAnsi="Times New Roman" w:eastAsia="仿宋" w:cs="Times New Roman"/>
          <w:kern w:val="2"/>
          <w:sz w:val="24"/>
          <w:szCs w:val="16"/>
          <w:lang w:val="en-US" w:eastAsia="zh-CN" w:bidi="ar-SA"/>
        </w:rPr>
      </w:pPr>
      <w:r>
        <w:rPr>
          <w:rFonts w:hint="eastAsia" w:cs="Times New Roman"/>
          <w:kern w:val="2"/>
          <w:sz w:val="24"/>
          <w:szCs w:val="16"/>
          <w:lang w:val="en-US" w:eastAsia="zh-CN" w:bidi="ar-SA"/>
        </w:rPr>
        <w:t>根据该项目勘察报告，</w:t>
      </w:r>
      <w:r>
        <w:rPr>
          <w:rFonts w:hint="eastAsia" w:ascii="Times New Roman" w:hAnsi="Times New Roman" w:eastAsia="仿宋" w:cs="Times New Roman"/>
          <w:kern w:val="2"/>
          <w:sz w:val="24"/>
          <w:szCs w:val="16"/>
          <w:lang w:val="en-US" w:eastAsia="zh-CN" w:bidi="ar-SA"/>
        </w:rPr>
        <w:t xml:space="preserve">场地内地表水主要为场地局部低洼地段积水，主要靠大气降水、地表水渗水补给，以蒸发排泄为主，水量较小。 </w:t>
      </w:r>
    </w:p>
    <w:p>
      <w:pPr>
        <w:keepNext w:val="0"/>
        <w:keepLines w:val="0"/>
        <w:widowControl/>
        <w:suppressLineNumbers w:val="0"/>
        <w:ind w:firstLine="480" w:firstLineChars="200"/>
        <w:jc w:val="left"/>
        <w:rPr>
          <w:rFonts w:hint="eastAsia" w:ascii="Times New Roman" w:hAnsi="Times New Roman" w:eastAsia="仿宋" w:cs="Times New Roman"/>
          <w:kern w:val="2"/>
          <w:sz w:val="24"/>
          <w:szCs w:val="16"/>
          <w:lang w:val="en-US" w:eastAsia="zh-CN" w:bidi="ar-SA"/>
        </w:rPr>
      </w:pPr>
      <w:r>
        <w:rPr>
          <w:rFonts w:hint="eastAsia" w:ascii="Times New Roman" w:hAnsi="Times New Roman" w:eastAsia="仿宋" w:cs="Times New Roman"/>
          <w:kern w:val="2"/>
          <w:sz w:val="24"/>
          <w:szCs w:val="16"/>
          <w:lang w:val="en-US" w:eastAsia="zh-CN" w:bidi="ar-SA"/>
        </w:rPr>
        <w:t xml:space="preserve">本场地的地下水主要为上层滞水和基岩裂隙水，上层滞水主要赋存于素填土中，其水量变化受季节影响，丰水期水量增加，枯水期水量减少，水量一般较小，水位无规律，无统一的自由水面，主要受地表水及大气降水补给，通过地表蒸发或地下径流等方式排泄。基岩裂隙水主要赋存于下部岩石裂隙中，水量主要受裂隙发育程度、连通性及隙面充填特征等因素的控制，各地段富水性不一，无统一 </w:t>
      </w:r>
    </w:p>
    <w:p>
      <w:pPr>
        <w:keepNext w:val="0"/>
        <w:keepLines w:val="0"/>
        <w:widowControl/>
        <w:suppressLineNumbers w:val="0"/>
        <w:jc w:val="left"/>
        <w:rPr>
          <w:rFonts w:hint="eastAsia" w:ascii="Times New Roman" w:hAnsi="Times New Roman" w:eastAsia="仿宋" w:cs="Times New Roman"/>
          <w:kern w:val="2"/>
          <w:sz w:val="24"/>
          <w:szCs w:val="16"/>
          <w:lang w:val="en-US" w:eastAsia="zh-CN" w:bidi="ar-SA"/>
        </w:rPr>
      </w:pPr>
      <w:r>
        <w:rPr>
          <w:rFonts w:hint="eastAsia" w:ascii="Times New Roman" w:hAnsi="Times New Roman" w:eastAsia="仿宋" w:cs="Times New Roman"/>
          <w:kern w:val="2"/>
          <w:sz w:val="24"/>
          <w:szCs w:val="16"/>
          <w:lang w:val="en-US" w:eastAsia="zh-CN" w:bidi="ar-SA"/>
        </w:rPr>
        <w:t xml:space="preserve">的自由水面，勘察时未发现基岩裂隙水。 </w:t>
      </w:r>
    </w:p>
    <w:p>
      <w:pPr>
        <w:keepNext w:val="0"/>
        <w:keepLines w:val="0"/>
        <w:widowControl/>
        <w:suppressLineNumbers w:val="0"/>
        <w:ind w:firstLine="480" w:firstLineChars="200"/>
        <w:jc w:val="left"/>
        <w:rPr>
          <w:rFonts w:hint="eastAsia"/>
          <w:color w:val="auto"/>
        </w:rPr>
      </w:pPr>
      <w:r>
        <w:rPr>
          <w:rFonts w:hint="eastAsia" w:ascii="Times New Roman" w:hAnsi="Times New Roman" w:eastAsia="仿宋" w:cs="Times New Roman"/>
          <w:kern w:val="2"/>
          <w:sz w:val="24"/>
          <w:szCs w:val="16"/>
          <w:lang w:val="en-US" w:eastAsia="zh-CN" w:bidi="ar-SA"/>
        </w:rPr>
        <w:t xml:space="preserve">勘察时仅测得上层滞水，埋深为 </w:t>
      </w:r>
      <w:r>
        <w:rPr>
          <w:rFonts w:hint="default" w:ascii="Times New Roman" w:hAnsi="Times New Roman" w:eastAsia="仿宋" w:cs="Times New Roman"/>
          <w:kern w:val="2"/>
          <w:sz w:val="24"/>
          <w:szCs w:val="16"/>
          <w:lang w:val="en-US" w:eastAsia="zh-CN" w:bidi="ar-SA"/>
        </w:rPr>
        <w:t>1.70</w:t>
      </w:r>
      <w:r>
        <w:rPr>
          <w:rFonts w:hint="eastAsia" w:ascii="Times New Roman" w:hAnsi="Times New Roman" w:eastAsia="仿宋" w:cs="Times New Roman"/>
          <w:kern w:val="2"/>
          <w:sz w:val="24"/>
          <w:szCs w:val="16"/>
          <w:lang w:val="en-US" w:eastAsia="zh-CN" w:bidi="ar-SA"/>
        </w:rPr>
        <w:t>～</w:t>
      </w:r>
      <w:r>
        <w:rPr>
          <w:rFonts w:hint="default" w:ascii="Times New Roman" w:hAnsi="Times New Roman" w:eastAsia="仿宋" w:cs="Times New Roman"/>
          <w:kern w:val="2"/>
          <w:sz w:val="24"/>
          <w:szCs w:val="16"/>
          <w:lang w:val="en-US" w:eastAsia="zh-CN" w:bidi="ar-SA"/>
        </w:rPr>
        <w:t>9.10m</w:t>
      </w:r>
      <w:r>
        <w:rPr>
          <w:rFonts w:hint="eastAsia" w:ascii="Times New Roman" w:hAnsi="Times New Roman" w:eastAsia="仿宋" w:cs="Times New Roman"/>
          <w:kern w:val="2"/>
          <w:sz w:val="24"/>
          <w:szCs w:val="16"/>
          <w:lang w:val="en-US" w:eastAsia="zh-CN" w:bidi="ar-SA"/>
        </w:rPr>
        <w:t xml:space="preserve">，绝对高程为 </w:t>
      </w:r>
      <w:r>
        <w:rPr>
          <w:rFonts w:hint="default" w:ascii="Times New Roman" w:hAnsi="Times New Roman" w:eastAsia="仿宋" w:cs="Times New Roman"/>
          <w:kern w:val="2"/>
          <w:sz w:val="24"/>
          <w:szCs w:val="16"/>
          <w:lang w:val="en-US" w:eastAsia="zh-CN" w:bidi="ar-SA"/>
        </w:rPr>
        <w:t>321.54~323.52m</w:t>
      </w:r>
      <w:r>
        <w:rPr>
          <w:rFonts w:hint="eastAsia" w:ascii="Times New Roman" w:hAnsi="Times New Roman" w:eastAsia="仿宋" w:cs="Times New Roman"/>
          <w:kern w:val="2"/>
          <w:sz w:val="24"/>
          <w:szCs w:val="16"/>
          <w:lang w:val="en-US" w:eastAsia="zh-CN" w:bidi="ar-SA"/>
        </w:rPr>
        <w:t>。根据区域水文地质资料，地下水位年变化幅度约为 2.0m，其中 12、1、2 月为枯水期，7、8、9 月为丰水期。无统一的自由水面，具非均匀性。勘察区场地整平后，应做好地下水降水引排措施。建议抗浮水位按室外场坪标高考虑。</w:t>
      </w:r>
    </w:p>
    <w:p>
      <w:pPr>
        <w:pStyle w:val="6"/>
        <w:rPr>
          <w:color w:val="auto"/>
        </w:rPr>
      </w:pPr>
      <w:r>
        <w:rPr>
          <w:rFonts w:hint="eastAsia"/>
          <w:color w:val="auto"/>
        </w:rPr>
        <w:t>2.</w:t>
      </w:r>
      <w:r>
        <w:rPr>
          <w:rFonts w:hint="eastAsia"/>
          <w:color w:val="auto"/>
          <w:lang w:val="en-US" w:eastAsia="zh-CN"/>
        </w:rPr>
        <w:t>8</w:t>
      </w:r>
      <w:r>
        <w:rPr>
          <w:rFonts w:hint="eastAsia"/>
          <w:color w:val="auto"/>
        </w:rPr>
        <w:t>.3气象</w:t>
      </w:r>
    </w:p>
    <w:p>
      <w:pPr>
        <w:pStyle w:val="23"/>
        <w:spacing w:before="0" w:beforeLines="0" w:after="0" w:afterLines="0" w:line="360" w:lineRule="auto"/>
        <w:ind w:firstLine="480"/>
        <w:rPr>
          <w:rFonts w:ascii="Times New Roman"/>
          <w:sz w:val="24"/>
          <w:szCs w:val="16"/>
        </w:rPr>
      </w:pPr>
      <w:r>
        <w:rPr>
          <w:rFonts w:hint="eastAsia" w:ascii="Times New Roman"/>
          <w:sz w:val="24"/>
          <w:szCs w:val="16"/>
        </w:rPr>
        <w:t>仪陇属亚热带湿润季风气候，夏热冬温，无霜期长，阴雾天多。多年平均日照时数1191.7小时；年平均气温 16℃左右，年平均降雨985.5mm，无霜期300天以上，多年平均蒸发量1033.8mm，相对湿度76－86%</w:t>
      </w:r>
      <w:r>
        <w:rPr>
          <w:rFonts w:hint="eastAsia" w:ascii="Times New Roman"/>
          <w:sz w:val="24"/>
          <w:szCs w:val="16"/>
          <w:lang w:eastAsia="zh-CN"/>
        </w:rPr>
        <w:t>。</w:t>
      </w:r>
      <w:r>
        <w:rPr>
          <w:rFonts w:hint="eastAsia" w:ascii="Times New Roman"/>
          <w:sz w:val="24"/>
          <w:szCs w:val="16"/>
        </w:rPr>
        <w:t>受大气环流控制，降雨分配季节不均，冬春（11月-次年4月）降水量少，多年平均降水量仅占全年的18.5%，降雨不能满足蒸发需要，因此，春旱常常发生。夏秋两季降雨量（5-10月）偏多，多年平均降水量占全年的81.5%。从多年平均降水量逐月变化及典型站各代表年看，降水时空分布不均，8月份雨量偏少， 1972年8月份仅为21.7mm，仅占全年的2.5%，说明区内伏旱发生较频繁。5年一遇1h最大暴雨量为55.5mm，10年一遇1h最大降雨量为73.6mm，10年一遇1h最大降雨量为84.8mm。</w:t>
      </w:r>
    </w:p>
    <w:p>
      <w:pPr>
        <w:pStyle w:val="6"/>
        <w:rPr>
          <w:color w:val="auto"/>
        </w:rPr>
      </w:pPr>
      <w:r>
        <w:rPr>
          <w:rFonts w:hint="eastAsia"/>
          <w:color w:val="auto"/>
        </w:rPr>
        <w:t>2.</w:t>
      </w:r>
      <w:r>
        <w:rPr>
          <w:rFonts w:hint="eastAsia"/>
          <w:color w:val="auto"/>
          <w:lang w:val="en-US" w:eastAsia="zh-CN"/>
        </w:rPr>
        <w:t>8</w:t>
      </w:r>
      <w:r>
        <w:rPr>
          <w:rFonts w:hint="eastAsia"/>
          <w:color w:val="auto"/>
        </w:rPr>
        <w:t>.4水文</w:t>
      </w:r>
    </w:p>
    <w:p>
      <w:pPr>
        <w:pStyle w:val="23"/>
        <w:spacing w:before="0" w:beforeLines="0" w:after="0" w:afterLines="0" w:line="360" w:lineRule="auto"/>
        <w:ind w:firstLine="480"/>
        <w:rPr>
          <w:rFonts w:hint="eastAsia" w:ascii="Times New Roman" w:hAnsi="Times New Roman" w:eastAsia="仿宋_GB2312" w:cs="Times New Roman"/>
          <w:color w:val="auto"/>
          <w:kern w:val="1"/>
          <w:sz w:val="24"/>
          <w:szCs w:val="24"/>
          <w:lang w:val="en-US" w:eastAsia="zh-CN" w:bidi="ar-SA"/>
        </w:rPr>
      </w:pPr>
      <w:r>
        <w:rPr>
          <w:rFonts w:ascii="Times New Roman"/>
          <w:sz w:val="24"/>
          <w:szCs w:val="16"/>
        </w:rPr>
        <w:t>仪陇县的水系简单，四条河流（</w:t>
      </w:r>
      <w:r>
        <w:rPr>
          <w:rFonts w:hint="eastAsia" w:ascii="Times New Roman"/>
          <w:sz w:val="24"/>
          <w:szCs w:val="16"/>
        </w:rPr>
        <w:t>流江</w:t>
      </w:r>
      <w:r>
        <w:rPr>
          <w:rFonts w:ascii="Times New Roman"/>
          <w:sz w:val="24"/>
          <w:szCs w:val="16"/>
        </w:rPr>
        <w:t>河、</w:t>
      </w:r>
      <w:r>
        <w:rPr>
          <w:rFonts w:hint="eastAsia" w:ascii="Times New Roman"/>
          <w:sz w:val="24"/>
          <w:szCs w:val="16"/>
        </w:rPr>
        <w:t>绿水</w:t>
      </w:r>
      <w:r>
        <w:rPr>
          <w:rFonts w:ascii="Times New Roman"/>
          <w:sz w:val="24"/>
          <w:szCs w:val="16"/>
        </w:rPr>
        <w:t>河、</w:t>
      </w:r>
      <w:r>
        <w:rPr>
          <w:rFonts w:hint="eastAsia" w:ascii="Times New Roman"/>
          <w:sz w:val="24"/>
          <w:szCs w:val="16"/>
        </w:rPr>
        <w:t>思凤溪</w:t>
      </w:r>
      <w:r>
        <w:rPr>
          <w:rFonts w:ascii="Times New Roman"/>
          <w:sz w:val="24"/>
          <w:szCs w:val="16"/>
        </w:rPr>
        <w:t>、</w:t>
      </w:r>
      <w:r>
        <w:rPr>
          <w:rFonts w:hint="eastAsia" w:ascii="Times New Roman"/>
          <w:sz w:val="24"/>
          <w:szCs w:val="16"/>
        </w:rPr>
        <w:t>环山</w:t>
      </w:r>
      <w:r>
        <w:rPr>
          <w:rFonts w:ascii="Times New Roman"/>
          <w:sz w:val="24"/>
          <w:szCs w:val="16"/>
        </w:rPr>
        <w:t>河）纵贯全境，以渠江水系为主，其面积占幅员面积的90%。渠江水系的河流有</w:t>
      </w:r>
      <w:r>
        <w:rPr>
          <w:rFonts w:hint="eastAsia" w:ascii="Times New Roman"/>
          <w:sz w:val="24"/>
          <w:szCs w:val="16"/>
        </w:rPr>
        <w:t>流江</w:t>
      </w:r>
      <w:r>
        <w:rPr>
          <w:rFonts w:ascii="Times New Roman"/>
          <w:sz w:val="24"/>
          <w:szCs w:val="16"/>
        </w:rPr>
        <w:t>河、</w:t>
      </w:r>
      <w:r>
        <w:rPr>
          <w:rFonts w:hint="eastAsia" w:ascii="Times New Roman"/>
          <w:sz w:val="24"/>
          <w:szCs w:val="16"/>
        </w:rPr>
        <w:t>绿水</w:t>
      </w:r>
      <w:r>
        <w:rPr>
          <w:rFonts w:ascii="Times New Roman"/>
          <w:sz w:val="24"/>
          <w:szCs w:val="16"/>
        </w:rPr>
        <w:t>河、</w:t>
      </w:r>
      <w:r>
        <w:rPr>
          <w:rFonts w:hint="eastAsia" w:ascii="Times New Roman"/>
          <w:sz w:val="24"/>
          <w:szCs w:val="16"/>
        </w:rPr>
        <w:t>思凤溪</w:t>
      </w:r>
      <w:r>
        <w:rPr>
          <w:rFonts w:ascii="Times New Roman"/>
          <w:sz w:val="24"/>
          <w:szCs w:val="16"/>
        </w:rPr>
        <w:t>，其中</w:t>
      </w:r>
      <w:r>
        <w:rPr>
          <w:rFonts w:hint="eastAsia" w:ascii="Times New Roman"/>
          <w:sz w:val="24"/>
          <w:szCs w:val="16"/>
        </w:rPr>
        <w:t>流江河</w:t>
      </w:r>
      <w:r>
        <w:rPr>
          <w:rFonts w:ascii="Times New Roman"/>
          <w:sz w:val="24"/>
          <w:szCs w:val="16"/>
        </w:rPr>
        <w:t>发源于仪陇与巴中县交界的檬垭，在仪陇县境又称绿水河，河源段又称中坝河。</w:t>
      </w:r>
      <w:r>
        <w:rPr>
          <w:rFonts w:hint="eastAsia" w:ascii="Times New Roman"/>
          <w:sz w:val="24"/>
          <w:szCs w:val="16"/>
        </w:rPr>
        <w:t>流江河</w:t>
      </w:r>
      <w:r>
        <w:rPr>
          <w:rFonts w:ascii="Times New Roman"/>
          <w:sz w:val="24"/>
          <w:szCs w:val="16"/>
        </w:rPr>
        <w:t>东南流经日兴、绿水、新店、骆市、小桥等地，于黄渡与</w:t>
      </w:r>
      <w:r>
        <w:rPr>
          <w:rFonts w:hint="eastAsia" w:ascii="Times New Roman"/>
          <w:sz w:val="24"/>
          <w:szCs w:val="16"/>
        </w:rPr>
        <w:t>思凤溪</w:t>
      </w:r>
      <w:r>
        <w:rPr>
          <w:rFonts w:ascii="Times New Roman"/>
          <w:sz w:val="24"/>
          <w:szCs w:val="16"/>
        </w:rPr>
        <w:t>汇合，流域面积597平方公里，境内面积543.9平方公里；</w:t>
      </w:r>
      <w:r>
        <w:rPr>
          <w:rFonts w:hint="eastAsia" w:ascii="Times New Roman"/>
          <w:sz w:val="24"/>
          <w:szCs w:val="16"/>
        </w:rPr>
        <w:t>绿水河</w:t>
      </w:r>
      <w:r>
        <w:rPr>
          <w:rFonts w:ascii="Times New Roman"/>
          <w:sz w:val="24"/>
          <w:szCs w:val="16"/>
        </w:rPr>
        <w:t>流域面积335.6平方公里；</w:t>
      </w:r>
      <w:r>
        <w:rPr>
          <w:rFonts w:hint="eastAsia" w:ascii="Times New Roman"/>
          <w:sz w:val="24"/>
          <w:szCs w:val="16"/>
        </w:rPr>
        <w:t>思凤溪</w:t>
      </w:r>
      <w:r>
        <w:rPr>
          <w:rFonts w:ascii="Times New Roman"/>
          <w:sz w:val="24"/>
          <w:szCs w:val="16"/>
        </w:rPr>
        <w:t>发源于巴中县群乐乡大沙坪，在仪陇县境内又称梯子河，自北向南流，入仪陇县境后，至义路乡折向南流。穿思德水库，曲折南流。至行锋村，左纳玉桥河，至龙桥乡，左纳龙桥河，至三河乡右纳骑龙河、灯塔河，过板桥乡出仪陇入营山县境。过三元、消水、二龙，于黄渡与西来的</w:t>
      </w:r>
      <w:r>
        <w:rPr>
          <w:rFonts w:hint="eastAsia" w:ascii="Times New Roman"/>
          <w:sz w:val="24"/>
          <w:szCs w:val="16"/>
        </w:rPr>
        <w:t>流江河</w:t>
      </w:r>
      <w:r>
        <w:rPr>
          <w:rFonts w:ascii="Times New Roman"/>
          <w:sz w:val="24"/>
          <w:szCs w:val="16"/>
        </w:rPr>
        <w:t>汇合，流域面积511.8平方公里，境内面积457.1平方公里。嘉陵江水系的河流只有</w:t>
      </w:r>
      <w:r>
        <w:rPr>
          <w:rFonts w:hint="eastAsia" w:ascii="Times New Roman"/>
          <w:sz w:val="24"/>
          <w:szCs w:val="16"/>
        </w:rPr>
        <w:t>环山河</w:t>
      </w:r>
      <w:r>
        <w:rPr>
          <w:rFonts w:ascii="Times New Roman"/>
          <w:sz w:val="24"/>
          <w:szCs w:val="16"/>
        </w:rPr>
        <w:t>，该河贯穿于新政镇，其流域面积246.6平方公里。</w:t>
      </w:r>
    </w:p>
    <w:p>
      <w:pPr>
        <w:pStyle w:val="6"/>
        <w:bidi w:val="0"/>
        <w:rPr>
          <w:rFonts w:hint="eastAsia"/>
          <w:lang w:val="en-US" w:eastAsia="zh-CN"/>
        </w:rPr>
      </w:pPr>
      <w:r>
        <w:rPr>
          <w:rFonts w:hint="eastAsia"/>
          <w:lang w:val="en-US" w:eastAsia="zh-CN"/>
        </w:rPr>
        <w:t xml:space="preserve">2.8.5土壤 </w:t>
      </w:r>
    </w:p>
    <w:p>
      <w:pPr>
        <w:pStyle w:val="23"/>
        <w:spacing w:before="0" w:beforeLines="0" w:after="0" w:afterLines="0" w:line="360" w:lineRule="auto"/>
        <w:ind w:firstLine="480"/>
        <w:rPr>
          <w:rFonts w:hint="eastAsia" w:ascii="Times New Roman"/>
          <w:sz w:val="24"/>
          <w:szCs w:val="16"/>
        </w:rPr>
      </w:pPr>
      <w:bookmarkStart w:id="152" w:name="_Toc371412992"/>
      <w:bookmarkStart w:id="153" w:name="_Toc7818"/>
      <w:bookmarkStart w:id="154" w:name="_Toc12564"/>
      <w:r>
        <w:rPr>
          <w:rFonts w:hint="eastAsia" w:ascii="Times New Roman"/>
          <w:sz w:val="24"/>
          <w:szCs w:val="16"/>
        </w:rPr>
        <w:t>仪陇县境内土壤深受成土母岩影响。在特定的气候环境下，形成了以紫色土（石灰紫色土）、水稻土为主的土壤系列，紫色土约占全县耕地面积50%；水稻土约占全县耕地面积49.24%；潮土约占全县耕地面积0.2%；黄壤土约占全县耕地面积的0.56%。紫色土壤结构良好、疏松透气好、微生物多、宜种性广。</w:t>
      </w:r>
    </w:p>
    <w:p>
      <w:pPr>
        <w:pStyle w:val="23"/>
        <w:spacing w:before="0" w:beforeLines="0" w:after="0" w:afterLines="0" w:line="360" w:lineRule="auto"/>
        <w:ind w:firstLine="480"/>
        <w:rPr>
          <w:rFonts w:hint="eastAsia" w:ascii="Times New Roman" w:eastAsia="仿宋"/>
          <w:sz w:val="24"/>
          <w:szCs w:val="16"/>
          <w:lang w:eastAsia="zh-CN"/>
        </w:rPr>
      </w:pPr>
      <w:r>
        <w:rPr>
          <w:rFonts w:hint="eastAsia"/>
          <w:color w:val="auto"/>
          <w:sz w:val="24"/>
        </w:rPr>
        <w:t>根据施工资料</w:t>
      </w:r>
      <w:r>
        <w:rPr>
          <w:rFonts w:hint="eastAsia"/>
          <w:color w:val="auto"/>
          <w:sz w:val="24"/>
          <w:lang w:eastAsia="zh-CN"/>
        </w:rPr>
        <w:t>，</w:t>
      </w:r>
      <w:r>
        <w:rPr>
          <w:rFonts w:hint="eastAsia"/>
          <w:color w:val="auto"/>
          <w:sz w:val="24"/>
        </w:rPr>
        <w:t>项目区</w:t>
      </w:r>
      <w:r>
        <w:rPr>
          <w:rFonts w:hint="eastAsia"/>
          <w:color w:val="auto"/>
          <w:sz w:val="24"/>
          <w:lang w:eastAsia="zh-CN"/>
        </w:rPr>
        <w:t>原始地貌表层土基本为夯实土和石方，因此无可剥离表土。</w:t>
      </w:r>
    </w:p>
    <w:bookmarkEnd w:id="152"/>
    <w:bookmarkEnd w:id="153"/>
    <w:bookmarkEnd w:id="154"/>
    <w:p>
      <w:pPr>
        <w:pStyle w:val="6"/>
        <w:keepNext w:val="0"/>
        <w:keepLines w:val="0"/>
        <w:pageBreakBefore w:val="0"/>
        <w:widowControl w:val="0"/>
        <w:kinsoku/>
        <w:wordWrap/>
        <w:overflowPunct/>
        <w:topLinePunct w:val="0"/>
        <w:autoSpaceDE/>
        <w:autoSpaceDN/>
        <w:bidi w:val="0"/>
        <w:adjustRightInd w:val="0"/>
        <w:snapToGrid w:val="0"/>
        <w:spacing w:beforeLines="0" w:afterLines="0"/>
        <w:textAlignment w:val="auto"/>
        <w:rPr>
          <w:color w:val="auto"/>
        </w:rPr>
      </w:pPr>
      <w:r>
        <w:rPr>
          <w:rFonts w:hint="eastAsia"/>
          <w:color w:val="auto"/>
        </w:rPr>
        <w:t>2.7.6植被</w:t>
      </w:r>
    </w:p>
    <w:p>
      <w:pPr>
        <w:bidi w:val="0"/>
        <w:ind w:firstLine="480" w:firstLineChars="200"/>
        <w:rPr>
          <w:rFonts w:hint="eastAsia"/>
        </w:rPr>
      </w:pPr>
      <w:r>
        <w:rPr>
          <w:rFonts w:hint="eastAsia"/>
        </w:rPr>
        <w:t>仪陇县植被类型属于亚热带常绿阔叶林，50年代初仪陇县人口稀少，山川秀美，林草覆盖率为30.3%，三河、板桥、立山、茶房乡等地森林茂密，覆盖率达40%。目前，仪陇县的林草覆盖率为35%左右，主要用材林树种有松、柏、桤、桉、槐、柳树等，灌木树种主要有黄荆、马桑等，东部立山区一带的植被较好。</w:t>
      </w:r>
    </w:p>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eastAsia="仿宋" w:cs="Times New Roman"/>
          <w:kern w:val="2"/>
          <w:sz w:val="24"/>
          <w:szCs w:val="22"/>
          <w:lang w:val="en-US" w:eastAsia="zh-CN" w:bidi="ar-SA"/>
        </w:rPr>
      </w:pPr>
      <w:r>
        <w:rPr>
          <w:rFonts w:hint="eastAsia"/>
          <w:color w:val="auto"/>
          <w:sz w:val="24"/>
        </w:rPr>
        <w:t>根据施工资料</w:t>
      </w:r>
      <w:r>
        <w:rPr>
          <w:rFonts w:hint="eastAsia"/>
          <w:color w:val="auto"/>
          <w:sz w:val="24"/>
          <w:lang w:eastAsia="zh-CN"/>
        </w:rPr>
        <w:t>，</w:t>
      </w:r>
      <w:r>
        <w:rPr>
          <w:rFonts w:hint="eastAsia"/>
          <w:color w:val="auto"/>
          <w:sz w:val="24"/>
        </w:rPr>
        <w:t>项目区</w:t>
      </w:r>
      <w:r>
        <w:rPr>
          <w:rFonts w:hint="eastAsia"/>
          <w:color w:val="auto"/>
          <w:sz w:val="24"/>
          <w:lang w:eastAsia="zh-CN"/>
        </w:rPr>
        <w:t>原地貌为住宅用地，表层土基本为夯实土和石方，无植被覆盖</w:t>
      </w:r>
      <w:r>
        <w:rPr>
          <w:rFonts w:hint="eastAsia"/>
          <w:color w:val="auto"/>
          <w:sz w:val="24"/>
        </w:rPr>
        <w:t>。</w:t>
      </w:r>
    </w:p>
    <w:p>
      <w:pPr>
        <w:pStyle w:val="6"/>
        <w:bidi w:val="0"/>
        <w:rPr>
          <w:rFonts w:hint="default"/>
          <w:sz w:val="24"/>
          <w:lang w:val="en-US" w:eastAsia="zh-CN"/>
        </w:rPr>
      </w:pPr>
      <w:r>
        <w:rPr>
          <w:rFonts w:hint="eastAsia"/>
          <w:lang w:val="en-US" w:eastAsia="zh-CN"/>
        </w:rPr>
        <w:t>2.8.7水土保持敏感区</w:t>
      </w:r>
    </w:p>
    <w:p>
      <w:pPr>
        <w:bidi w:val="0"/>
        <w:ind w:firstLine="480" w:firstLineChars="200"/>
        <w:rPr>
          <w:rFonts w:hint="eastAsia"/>
          <w:lang w:eastAsia="zh-CN"/>
        </w:rPr>
      </w:pPr>
      <w:bookmarkStart w:id="155" w:name="_Toc17801"/>
      <w:bookmarkStart w:id="156" w:name="_Toc5551"/>
      <w:bookmarkStart w:id="157" w:name="_Toc12643"/>
      <w:bookmarkStart w:id="158" w:name="_Toc27086"/>
      <w:bookmarkStart w:id="159" w:name="_Toc482"/>
      <w:bookmarkStart w:id="160" w:name="_Toc31658"/>
      <w:r>
        <w:rPr>
          <w:rFonts w:hint="eastAsia"/>
          <w:lang w:val="en-US" w:eastAsia="zh-CN"/>
        </w:rPr>
        <w:t>根据</w:t>
      </w:r>
      <w:r>
        <w:t>《全国水土保持规划国家级水土流失重点预防区和重点治理区复核划分成果》（水利部办公厅，办水保[2013]188号）</w:t>
      </w:r>
      <w:r>
        <w:rPr>
          <w:rFonts w:hint="eastAsia"/>
          <w:lang w:eastAsia="zh-CN"/>
        </w:rPr>
        <w:t>，</w:t>
      </w:r>
      <w:r>
        <w:t>工程所在的</w:t>
      </w:r>
      <w:r>
        <w:rPr>
          <w:rFonts w:hint="eastAsia"/>
        </w:rPr>
        <w:t>南充市仪陇县属于嘉陵江及沱江中下游国家级水土流失重点治理区</w:t>
      </w:r>
      <w:r>
        <w:t>，</w:t>
      </w:r>
      <w:r>
        <w:rPr>
          <w:rFonts w:hint="eastAsia"/>
        </w:rPr>
        <w:t>本项目不涉及饮用水源保护区、水功能一级区的保护区和保留区、自然保护区、世界文化和自然遗产地、风景名胜区、地质公园、森林公园、重要湿地等区域内</w:t>
      </w:r>
      <w:r>
        <w:rPr>
          <w:rFonts w:hint="eastAsia"/>
          <w:lang w:eastAsia="zh-CN"/>
        </w:rPr>
        <w:t>。</w:t>
      </w:r>
      <w:bookmarkEnd w:id="155"/>
      <w:bookmarkEnd w:id="156"/>
      <w:bookmarkEnd w:id="157"/>
      <w:bookmarkEnd w:id="158"/>
      <w:bookmarkEnd w:id="159"/>
      <w:bookmarkEnd w:id="160"/>
    </w:p>
    <w:p>
      <w:pPr>
        <w:bidi w:val="0"/>
        <w:rPr>
          <w:rFonts w:hint="eastAsia" w:ascii="Times New Roman" w:hAnsi="Times New Roman" w:eastAsia="仿宋" w:cs="Times New Roman"/>
          <w:kern w:val="2"/>
          <w:sz w:val="24"/>
          <w:lang w:val="en-US" w:eastAsia="zh-CN" w:bidi="ar-SA"/>
        </w:rPr>
      </w:pPr>
    </w:p>
    <w:p>
      <w:pPr>
        <w:tabs>
          <w:tab w:val="left" w:pos="951"/>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spacing w:line="360" w:lineRule="auto"/>
        <w:jc w:val="center"/>
        <w:outlineLvl w:val="0"/>
        <w:rPr>
          <w:rFonts w:hint="eastAsia" w:ascii="Times New Roman" w:hAnsi="Times New Roman" w:eastAsia="仿宋_GB2312" w:cs="Times New Roman"/>
          <w:kern w:val="2"/>
          <w:sz w:val="24"/>
          <w:lang w:val="en-US" w:eastAsia="zh-CN" w:bidi="ar-SA"/>
        </w:rPr>
      </w:pPr>
      <w:bookmarkStart w:id="161" w:name="_Toc5226"/>
      <w:bookmarkStart w:id="162" w:name="_Toc13059"/>
      <w:r>
        <w:rPr>
          <w:rStyle w:val="32"/>
          <w:rFonts w:hint="eastAsia"/>
          <w:lang w:val="en-US" w:eastAsia="zh-CN"/>
        </w:rPr>
        <w:t>3项目水土保持评价</w:t>
      </w:r>
      <w:bookmarkEnd w:id="161"/>
      <w:bookmarkEnd w:id="162"/>
    </w:p>
    <w:p>
      <w:pPr>
        <w:pStyle w:val="4"/>
        <w:bidi w:val="0"/>
        <w:spacing w:line="360" w:lineRule="auto"/>
        <w:outlineLvl w:val="0"/>
        <w:rPr>
          <w:rFonts w:hint="eastAsia"/>
          <w:lang w:val="en-US" w:eastAsia="zh-CN"/>
        </w:rPr>
      </w:pPr>
      <w:bookmarkStart w:id="163" w:name="_Toc18332"/>
      <w:bookmarkStart w:id="164" w:name="_Toc31262"/>
      <w:bookmarkStart w:id="165" w:name="_Toc28819"/>
      <w:r>
        <w:rPr>
          <w:rFonts w:hint="eastAsia"/>
          <w:lang w:val="en-US" w:eastAsia="zh-CN"/>
        </w:rPr>
        <w:t>3.1主体工程选址（线）水土保持评价</w:t>
      </w:r>
      <w:bookmarkEnd w:id="163"/>
      <w:bookmarkEnd w:id="164"/>
      <w:bookmarkEnd w:id="165"/>
    </w:p>
    <w:p>
      <w:pPr>
        <w:pStyle w:val="6"/>
        <w:outlineLvl w:val="1"/>
        <w:rPr>
          <w:rFonts w:hint="default" w:ascii="Times New Roman" w:hAnsi="Times New Roman" w:cs="Times New Roman"/>
          <w:color w:val="auto"/>
        </w:rPr>
      </w:pPr>
      <w:bookmarkStart w:id="166" w:name="_Toc12269"/>
      <w:bookmarkStart w:id="167" w:name="_Toc16171"/>
      <w:bookmarkStart w:id="168" w:name="_Toc21719"/>
      <w:bookmarkStart w:id="169" w:name="_Toc24882"/>
      <w:bookmarkStart w:id="170" w:name="_Toc22489"/>
      <w:bookmarkStart w:id="171" w:name="_Toc17571"/>
      <w:bookmarkStart w:id="172" w:name="_Toc8021"/>
      <w:bookmarkStart w:id="173" w:name="_Toc22889"/>
      <w:bookmarkStart w:id="174" w:name="_Toc15014"/>
      <w:r>
        <w:rPr>
          <w:rFonts w:hint="default" w:ascii="Times New Roman" w:hAnsi="Times New Roman" w:cs="Times New Roman"/>
          <w:color w:val="auto"/>
        </w:rPr>
        <w:t>3.1.1主体工程选线评价</w:t>
      </w:r>
      <w:bookmarkEnd w:id="166"/>
      <w:bookmarkEnd w:id="167"/>
      <w:bookmarkEnd w:id="168"/>
      <w:bookmarkEnd w:id="169"/>
      <w:bookmarkEnd w:id="170"/>
      <w:bookmarkEnd w:id="171"/>
      <w:bookmarkEnd w:id="172"/>
      <w:bookmarkEnd w:id="173"/>
      <w:bookmarkEnd w:id="174"/>
    </w:p>
    <w:p>
      <w:pPr>
        <w:ind w:firstLine="480"/>
        <w:rPr>
          <w:rFonts w:hint="default" w:ascii="Times New Roman" w:hAnsi="Times New Roman" w:cs="Times New Roman"/>
          <w:color w:val="auto"/>
        </w:rPr>
      </w:pPr>
      <w:r>
        <w:rPr>
          <w:rFonts w:hint="default" w:ascii="Times New Roman" w:hAnsi="Times New Roman" w:cs="Times New Roman"/>
          <w:color w:val="auto"/>
          <w:kern w:val="0"/>
        </w:rPr>
        <w:t>区内地质构造相对稳定，无滑坡、泥石流、地下洞室、岩溶（洞）等不良地质现象，场地稳定，工程地质条件较好，适宜该工程建设。建设区内没有全国水土保持监测网络中的水土保持监测站点和重点试验区。项目原占地类型为</w:t>
      </w:r>
      <w:r>
        <w:rPr>
          <w:rFonts w:hint="eastAsia" w:cs="Times New Roman"/>
          <w:color w:val="auto"/>
          <w:lang w:eastAsia="zh-CN"/>
        </w:rPr>
        <w:t>住宅用地</w:t>
      </w:r>
      <w:r>
        <w:rPr>
          <w:rFonts w:hint="default" w:ascii="Times New Roman" w:hAnsi="Times New Roman" w:cs="Times New Roman"/>
          <w:color w:val="auto"/>
        </w:rPr>
        <w:t>，项目建设符合《生产建设项目水土保持技术标准》的约束性规定</w:t>
      </w:r>
      <w:r>
        <w:rPr>
          <w:rFonts w:hint="default" w:ascii="Times New Roman" w:hAnsi="Times New Roman" w:cs="Times New Roman"/>
          <w:color w:val="auto"/>
          <w:kern w:val="0"/>
        </w:rPr>
        <w:t>。</w:t>
      </w:r>
      <w:r>
        <w:rPr>
          <w:rFonts w:hint="default" w:ascii="Times New Roman" w:hAnsi="Times New Roman" w:cs="Times New Roman"/>
          <w:color w:val="auto"/>
        </w:rPr>
        <w:t>本项目的建设仅对项目区的土壤和自然植被造成扰动和不利影响，通过前期采取</w:t>
      </w:r>
      <w:r>
        <w:rPr>
          <w:rFonts w:hint="eastAsia" w:cs="Times New Roman"/>
          <w:color w:val="auto"/>
          <w:lang w:eastAsia="zh-CN"/>
        </w:rPr>
        <w:t>临时</w:t>
      </w:r>
      <w:r>
        <w:rPr>
          <w:rFonts w:hint="default" w:ascii="Times New Roman" w:hAnsi="Times New Roman" w:cs="Times New Roman"/>
          <w:color w:val="auto"/>
        </w:rPr>
        <w:t>排水、</w:t>
      </w:r>
      <w:r>
        <w:rPr>
          <w:rFonts w:hint="eastAsia" w:cs="Times New Roman"/>
          <w:color w:val="auto"/>
          <w:lang w:eastAsia="zh-CN"/>
        </w:rPr>
        <w:t>遮盖</w:t>
      </w:r>
      <w:r>
        <w:rPr>
          <w:rFonts w:hint="default" w:ascii="Times New Roman" w:hAnsi="Times New Roman" w:cs="Times New Roman"/>
          <w:color w:val="auto"/>
        </w:rPr>
        <w:t>等措施，后期采取地面及道路硬化等水土流失防治措施，可有效预防、治理因项目建设造成的新增水土流失。</w:t>
      </w:r>
    </w:p>
    <w:p>
      <w:pPr>
        <w:ind w:firstLine="480"/>
        <w:rPr>
          <w:rFonts w:ascii="Times New Roman"/>
          <w:sz w:val="22"/>
        </w:rPr>
      </w:pPr>
      <w:r>
        <w:rPr>
          <w:rFonts w:hint="default" w:ascii="Times New Roman" w:hAnsi="Times New Roman" w:cs="Times New Roman"/>
          <w:color w:val="auto"/>
          <w:kern w:val="0"/>
        </w:rPr>
        <w:t>主体工程选址及总体布局、施工工艺、施工组织等不涉及《生产建设项目水土保持技术标准》（GB50433-2018）规定的绝对限制行为，通过落实主体工程设计中已有的和新增的各项水土保持措施后，可以实现工程建设期和试运行期的水土流失防治目标。项目施工组织设计较为合理，基础施工等土建工程施工工艺基本符合规范要求。从水土保持角度分析，</w:t>
      </w:r>
      <w:r>
        <w:rPr>
          <w:rFonts w:hint="default" w:ascii="Times New Roman" w:hAnsi="Times New Roman" w:cs="Times New Roman"/>
          <w:color w:val="auto"/>
        </w:rPr>
        <w:t>本项目无限制项目建设的制约因素。</w:t>
      </w:r>
    </w:p>
    <w:p>
      <w:pPr>
        <w:pStyle w:val="4"/>
        <w:bidi w:val="0"/>
        <w:outlineLvl w:val="0"/>
        <w:rPr>
          <w:rFonts w:hint="default"/>
          <w:lang w:val="en-US" w:eastAsia="zh-CN"/>
        </w:rPr>
      </w:pPr>
      <w:bookmarkStart w:id="175" w:name="_Toc55801825"/>
      <w:bookmarkStart w:id="176" w:name="_Toc28749"/>
      <w:bookmarkStart w:id="177" w:name="_Toc14512"/>
      <w:bookmarkStart w:id="178" w:name="_Toc8441"/>
      <w:r>
        <w:rPr>
          <w:rFonts w:hint="default"/>
          <w:lang w:val="en-US" w:eastAsia="zh-CN"/>
        </w:rPr>
        <w:t>3.2建设方案与布局水土保持评价</w:t>
      </w:r>
      <w:bookmarkEnd w:id="175"/>
      <w:bookmarkEnd w:id="176"/>
      <w:bookmarkEnd w:id="177"/>
      <w:bookmarkEnd w:id="178"/>
    </w:p>
    <w:p>
      <w:pPr>
        <w:pStyle w:val="6"/>
        <w:outlineLvl w:val="1"/>
        <w:rPr>
          <w:rFonts w:hint="default" w:ascii="Times New Roman" w:hAnsi="Times New Roman" w:cs="Times New Roman"/>
          <w:color w:val="auto"/>
        </w:rPr>
      </w:pPr>
      <w:bookmarkStart w:id="179" w:name="_Toc451242968"/>
      <w:bookmarkStart w:id="180" w:name="_Toc26539"/>
      <w:bookmarkStart w:id="181" w:name="_Toc514"/>
      <w:bookmarkStart w:id="182" w:name="_Toc24721"/>
      <w:bookmarkStart w:id="183" w:name="_Toc26380"/>
      <w:bookmarkStart w:id="184" w:name="_Toc23056"/>
      <w:bookmarkStart w:id="185" w:name="_Toc27715"/>
      <w:bookmarkStart w:id="186" w:name="_Toc20843"/>
      <w:bookmarkStart w:id="187" w:name="_Toc1553"/>
      <w:bookmarkStart w:id="188" w:name="_Toc8657"/>
      <w:bookmarkStart w:id="189" w:name="_Toc29108"/>
      <w:r>
        <w:rPr>
          <w:rFonts w:hint="default" w:ascii="Times New Roman" w:hAnsi="Times New Roman" w:cs="Times New Roman"/>
          <w:color w:val="auto"/>
        </w:rPr>
        <w:t>3.2.1</w:t>
      </w:r>
      <w:bookmarkEnd w:id="179"/>
      <w:r>
        <w:rPr>
          <w:rFonts w:hint="default" w:ascii="Times New Roman" w:hAnsi="Times New Roman" w:cs="Times New Roman"/>
          <w:color w:val="auto"/>
        </w:rPr>
        <w:t>建设方案评价</w:t>
      </w:r>
      <w:bookmarkEnd w:id="180"/>
      <w:bookmarkEnd w:id="181"/>
      <w:bookmarkEnd w:id="182"/>
      <w:bookmarkEnd w:id="183"/>
      <w:bookmarkEnd w:id="184"/>
      <w:bookmarkEnd w:id="185"/>
      <w:bookmarkEnd w:id="186"/>
      <w:bookmarkEnd w:id="187"/>
      <w:bookmarkEnd w:id="188"/>
      <w:bookmarkEnd w:id="189"/>
    </w:p>
    <w:p>
      <w:pPr>
        <w:ind w:firstLine="480"/>
        <w:rPr>
          <w:rFonts w:hint="default" w:ascii="Times New Roman" w:hAnsi="Times New Roman" w:cs="Times New Roman"/>
          <w:color w:val="auto"/>
        </w:rPr>
      </w:pPr>
      <w:r>
        <w:rPr>
          <w:rFonts w:hint="default" w:ascii="Times New Roman" w:hAnsi="Times New Roman" w:cs="Times New Roman"/>
          <w:color w:val="auto"/>
        </w:rPr>
        <w:t>根据主体设计，本项目建设总占地面积</w:t>
      </w:r>
      <w:r>
        <w:rPr>
          <w:rFonts w:hint="eastAsia" w:cs="Times New Roman"/>
          <w:color w:val="auto"/>
          <w:lang w:val="en-US" w:eastAsia="zh-CN"/>
        </w:rPr>
        <w:t>1.02</w:t>
      </w:r>
      <w:r>
        <w:rPr>
          <w:rFonts w:hint="default" w:ascii="Times New Roman" w:hAnsi="Times New Roman" w:cs="Times New Roman"/>
          <w:color w:val="auto"/>
        </w:rPr>
        <w:t>h</w:t>
      </w:r>
      <w:r>
        <w:rPr>
          <w:rFonts w:hint="eastAsia" w:cs="Times New Roman"/>
          <w:color w:val="auto"/>
          <w:lang w:eastAsia="zh-CN"/>
        </w:rPr>
        <w:t>m²</w:t>
      </w:r>
      <w:r>
        <w:rPr>
          <w:rFonts w:hint="default" w:ascii="Times New Roman" w:hAnsi="Times New Roman" w:cs="Times New Roman"/>
          <w:color w:val="auto"/>
        </w:rPr>
        <w:t>，均为永久占地，</w:t>
      </w:r>
      <w:r>
        <w:rPr>
          <w:rFonts w:hint="default" w:ascii="Times New Roman" w:hAnsi="Times New Roman" w:cs="Times New Roman"/>
          <w:color w:val="auto"/>
          <w:kern w:val="1"/>
          <w:szCs w:val="24"/>
        </w:rPr>
        <w:t>本项目建设开挖土石方量</w:t>
      </w:r>
      <w:r>
        <w:rPr>
          <w:rFonts w:hint="eastAsia" w:cs="Times New Roman"/>
          <w:color w:val="auto"/>
          <w:kern w:val="1"/>
          <w:szCs w:val="24"/>
          <w:lang w:val="en-US" w:eastAsia="zh-CN"/>
        </w:rPr>
        <w:t>1.1</w:t>
      </w:r>
      <w:r>
        <w:rPr>
          <w:rFonts w:hint="default" w:ascii="Times New Roman" w:hAnsi="Times New Roman" w:cs="Times New Roman"/>
          <w:color w:val="auto"/>
          <w:kern w:val="1"/>
          <w:szCs w:val="24"/>
        </w:rPr>
        <w:t>万</w:t>
      </w:r>
      <w:r>
        <w:rPr>
          <w:rFonts w:hint="eastAsia" w:cs="Times New Roman"/>
          <w:color w:val="auto"/>
          <w:kern w:val="1"/>
          <w:szCs w:val="24"/>
          <w:lang w:eastAsia="zh-CN"/>
        </w:rPr>
        <w:t>m³</w:t>
      </w:r>
      <w:r>
        <w:rPr>
          <w:rFonts w:hint="default" w:ascii="Times New Roman" w:hAnsi="Times New Roman" w:cs="Times New Roman"/>
          <w:color w:val="auto"/>
          <w:kern w:val="1"/>
          <w:szCs w:val="24"/>
        </w:rPr>
        <w:t>，回填土石方量</w:t>
      </w:r>
      <w:r>
        <w:rPr>
          <w:rFonts w:hint="eastAsia" w:cs="Times New Roman"/>
          <w:color w:val="auto"/>
          <w:kern w:val="1"/>
          <w:szCs w:val="24"/>
          <w:lang w:val="en-US" w:eastAsia="zh-CN"/>
        </w:rPr>
        <w:t>0.83</w:t>
      </w:r>
      <w:r>
        <w:rPr>
          <w:rFonts w:hint="default" w:ascii="Times New Roman" w:hAnsi="Times New Roman" w:cs="Times New Roman"/>
          <w:color w:val="auto"/>
          <w:kern w:val="1"/>
          <w:szCs w:val="24"/>
        </w:rPr>
        <w:t>万</w:t>
      </w:r>
      <w:r>
        <w:rPr>
          <w:rFonts w:hint="eastAsia" w:cs="Times New Roman"/>
          <w:color w:val="auto"/>
          <w:kern w:val="1"/>
          <w:szCs w:val="24"/>
          <w:lang w:eastAsia="zh-CN"/>
        </w:rPr>
        <w:t>m³</w:t>
      </w:r>
      <w:r>
        <w:rPr>
          <w:rFonts w:hint="default" w:ascii="Times New Roman" w:hAnsi="Times New Roman" w:cs="Times New Roman"/>
          <w:color w:val="auto"/>
          <w:kern w:val="1"/>
          <w:szCs w:val="24"/>
        </w:rPr>
        <w:t>（</w:t>
      </w:r>
      <w:r>
        <w:rPr>
          <w:rFonts w:hint="eastAsia" w:cs="Times New Roman"/>
          <w:color w:val="auto"/>
          <w:kern w:val="1"/>
          <w:szCs w:val="24"/>
          <w:lang w:eastAsia="zh-CN"/>
        </w:rPr>
        <w:t>含外购种植土</w:t>
      </w:r>
      <w:r>
        <w:rPr>
          <w:rFonts w:hint="eastAsia" w:cs="Times New Roman"/>
          <w:color w:val="auto"/>
          <w:kern w:val="1"/>
          <w:szCs w:val="24"/>
          <w:lang w:val="en-US" w:eastAsia="zh-CN"/>
        </w:rPr>
        <w:t>0.14</w:t>
      </w:r>
      <w:r>
        <w:rPr>
          <w:rFonts w:hint="default" w:ascii="Times New Roman" w:hAnsi="Times New Roman" w:cs="Times New Roman"/>
          <w:color w:val="auto"/>
          <w:kern w:val="1"/>
          <w:szCs w:val="24"/>
        </w:rPr>
        <w:t>万</w:t>
      </w:r>
      <w:r>
        <w:rPr>
          <w:rFonts w:hint="eastAsia" w:cs="Times New Roman"/>
          <w:color w:val="auto"/>
          <w:kern w:val="1"/>
          <w:szCs w:val="24"/>
          <w:lang w:eastAsia="zh-CN"/>
        </w:rPr>
        <w:t>m³</w:t>
      </w:r>
      <w:r>
        <w:rPr>
          <w:rFonts w:hint="default" w:ascii="Times New Roman" w:hAnsi="Times New Roman" w:cs="Times New Roman"/>
          <w:color w:val="auto"/>
          <w:kern w:val="1"/>
          <w:szCs w:val="24"/>
        </w:rPr>
        <w:t>），</w:t>
      </w:r>
      <w:r>
        <w:rPr>
          <w:rFonts w:hint="eastAsia" w:ascii="Times New Roman" w:hAnsi="Times New Roman" w:eastAsia="仿宋_GB2312" w:cs="Times New Roman"/>
          <w:kern w:val="2"/>
          <w:sz w:val="24"/>
          <w:highlight w:val="none"/>
          <w:lang w:val="en-US" w:eastAsia="zh-CN" w:bidi="ar-SA"/>
        </w:rPr>
        <w:t>弃方共计0.</w:t>
      </w:r>
      <w:r>
        <w:rPr>
          <w:rFonts w:hint="eastAsia" w:eastAsia="仿宋_GB2312" w:cs="Times New Roman"/>
          <w:kern w:val="2"/>
          <w:sz w:val="24"/>
          <w:highlight w:val="none"/>
          <w:lang w:val="en-US" w:eastAsia="zh-CN" w:bidi="ar-SA"/>
        </w:rPr>
        <w:t>41</w:t>
      </w:r>
      <w:r>
        <w:rPr>
          <w:rFonts w:hint="eastAsia" w:ascii="Times New Roman" w:hAnsi="Times New Roman" w:eastAsia="仿宋_GB2312" w:cs="Times New Roman"/>
          <w:kern w:val="2"/>
          <w:sz w:val="24"/>
          <w:highlight w:val="none"/>
          <w:lang w:val="en-US" w:eastAsia="zh-CN" w:bidi="ar-SA"/>
        </w:rPr>
        <w:t>万m³</w:t>
      </w:r>
      <w:r>
        <w:rPr>
          <w:rFonts w:hint="eastAsia" w:eastAsia="仿宋_GB2312" w:cs="Times New Roman"/>
          <w:kern w:val="2"/>
          <w:sz w:val="24"/>
          <w:highlight w:val="none"/>
          <w:lang w:val="en-US" w:eastAsia="zh-CN" w:bidi="ar-SA"/>
        </w:rPr>
        <w:t>，</w:t>
      </w:r>
      <w:r>
        <w:rPr>
          <w:rFonts w:hint="default" w:ascii="Times New Roman" w:hAnsi="Times New Roman" w:eastAsia="仿宋_GB2312" w:cs="Times New Roman"/>
          <w:color w:val="auto"/>
          <w:kern w:val="1"/>
          <w:sz w:val="24"/>
          <w:szCs w:val="24"/>
          <w:highlight w:val="none"/>
        </w:rPr>
        <w:t>废</w:t>
      </w:r>
      <w:r>
        <w:rPr>
          <w:rFonts w:hint="default" w:ascii="Times New Roman" w:hAnsi="Times New Roman" w:eastAsia="仿宋_GB2312" w:cs="Times New Roman"/>
          <w:color w:val="auto"/>
          <w:kern w:val="1"/>
          <w:sz w:val="24"/>
          <w:szCs w:val="24"/>
        </w:rPr>
        <w:t>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r>
        <w:rPr>
          <w:rFonts w:hint="default" w:ascii="Times New Roman" w:hAnsi="Times New Roman" w:cs="Times New Roman"/>
          <w:color w:val="auto"/>
        </w:rPr>
        <w:t>本项目位于城区，应优化施工工艺，及时落实水土保持措施、减少地表扰动和植被破坏范围、养护好植物等措施，可有效控制可能造成的水土流失。</w:t>
      </w:r>
    </w:p>
    <w:p>
      <w:pPr>
        <w:ind w:firstLine="480"/>
        <w:rPr>
          <w:rFonts w:hint="default" w:ascii="Times New Roman" w:hAnsi="Times New Roman" w:cs="Times New Roman"/>
          <w:color w:val="auto"/>
        </w:rPr>
      </w:pPr>
      <w:r>
        <w:rPr>
          <w:rFonts w:hint="default" w:ascii="Times New Roman" w:hAnsi="Times New Roman" w:cs="Times New Roman"/>
          <w:color w:val="auto"/>
        </w:rPr>
        <w:t>本项目施工方法主要有机械开挖、机械平整、机械碾压、汽车运输、人工开挖、人工砌筑、人工堆土、绿化等，具备完善的施工条件，符合水土保持要求。根据现场实际情况，利用规划区独有的地理资源特点优势，合理的布置各个功能区块，有效的节约了用地，减少了扰动面积；土石项目建设区各个区块内部布局紧凑合理，有效减少了水土流失，总体布局符合同类项目建设的实际情况，从水土保持角度，方案基本同意主体总体布局。</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综上所述，项目的建设方案符合水土保持技术规范的要求。</w:t>
      </w:r>
    </w:p>
    <w:p>
      <w:pPr>
        <w:pStyle w:val="6"/>
        <w:bidi w:val="0"/>
        <w:spacing w:line="360" w:lineRule="auto"/>
        <w:outlineLvl w:val="1"/>
        <w:rPr>
          <w:rFonts w:hint="eastAsia"/>
          <w:lang w:val="en-US" w:eastAsia="zh-CN"/>
        </w:rPr>
      </w:pPr>
      <w:bookmarkStart w:id="190" w:name="_Toc6615"/>
      <w:bookmarkStart w:id="191" w:name="_Toc25515"/>
      <w:bookmarkStart w:id="192" w:name="_Toc10028"/>
      <w:bookmarkStart w:id="193" w:name="_Toc2442"/>
      <w:bookmarkStart w:id="194" w:name="_Toc31223"/>
      <w:bookmarkStart w:id="195" w:name="_Toc435"/>
      <w:bookmarkStart w:id="196" w:name="_Toc7049"/>
      <w:bookmarkStart w:id="197" w:name="_Toc2369"/>
      <w:bookmarkStart w:id="198" w:name="_Toc13291"/>
      <w:bookmarkStart w:id="199" w:name="_Toc8122"/>
      <w:r>
        <w:rPr>
          <w:rFonts w:hint="eastAsia"/>
          <w:lang w:val="en-US" w:eastAsia="zh-CN"/>
        </w:rPr>
        <w:t>3.2.2工程占地评价</w:t>
      </w:r>
      <w:bookmarkEnd w:id="190"/>
      <w:bookmarkEnd w:id="191"/>
      <w:bookmarkEnd w:id="192"/>
      <w:bookmarkEnd w:id="193"/>
      <w:bookmarkEnd w:id="194"/>
      <w:bookmarkEnd w:id="195"/>
      <w:bookmarkEnd w:id="196"/>
      <w:bookmarkEnd w:id="197"/>
      <w:bookmarkEnd w:id="198"/>
      <w:bookmarkEnd w:id="199"/>
    </w:p>
    <w:p>
      <w:pPr>
        <w:pStyle w:val="2"/>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本项目开发建设符合仪陇县城市发展方向和规划要求，项目用地合法、合理。根据本项目建设用地规划许可证，本项目建设净用地面积为1.02hm²，用地性质为住宅用地，具有合法的用地手续，项目不动产权已取得。本工程总占地面积1.02hm²，永久占地1.02hm²。土地损坏后地表除被永久建筑物遮盖及硬化外，均为绿化用地，符合水土保持的相关规定。项目临时设施包括办公生活区、</w:t>
      </w:r>
      <w:r>
        <w:rPr>
          <w:rFonts w:hint="eastAsia" w:eastAsia="仿宋_GB2312" w:cs="Times New Roman"/>
          <w:kern w:val="2"/>
          <w:sz w:val="24"/>
          <w:lang w:val="en-US" w:eastAsia="zh-CN" w:bidi="ar-SA"/>
        </w:rPr>
        <w:t>材料加工区均在项目周围租用场地</w:t>
      </w:r>
      <w:r>
        <w:rPr>
          <w:rFonts w:hint="eastAsia" w:ascii="Times New Roman" w:hAnsi="Times New Roman" w:eastAsia="仿宋_GB2312" w:cs="Times New Roman"/>
          <w:kern w:val="2"/>
          <w:sz w:val="24"/>
          <w:lang w:val="en-US" w:eastAsia="zh-CN" w:bidi="ar-SA"/>
        </w:rPr>
        <w:t>，有利于减少工程占地，减少地表扰动面积，达到减少新增水土流失的目的。项目永久占地都为项目所必需，且对所占用的土地会通过硬化或植物绿化，可以减少扰动后产生的水土流失，也可最大限度减少水土流失，符合水土保持要求。从水土保持角度分析，本项目的占地面积合理，永久占地面积控制严格，符合城镇规划要求，临时设施</w:t>
      </w:r>
      <w:r>
        <w:rPr>
          <w:rFonts w:hint="eastAsia" w:eastAsia="仿宋_GB2312" w:cs="Times New Roman"/>
          <w:kern w:val="2"/>
          <w:sz w:val="24"/>
          <w:lang w:val="en-US" w:eastAsia="zh-CN" w:bidi="ar-SA"/>
        </w:rPr>
        <w:t>租用附近场地</w:t>
      </w:r>
      <w:r>
        <w:rPr>
          <w:rFonts w:hint="eastAsia" w:ascii="Times New Roman" w:hAnsi="Times New Roman" w:eastAsia="仿宋_GB2312" w:cs="Times New Roman"/>
          <w:kern w:val="2"/>
          <w:sz w:val="24"/>
          <w:lang w:val="en-US" w:eastAsia="zh-CN" w:bidi="ar-SA"/>
        </w:rPr>
        <w:t>，符合水土保持要求。本工程建设占地对水土流失影响有限，占地类型符合水土保持的相关规定，占地规划可行，通过合理水土保持措施，工程建设造成的水土流失不利影响可得到减免，在项目实施过程中，还应加强项目占地范围监督和管理。</w:t>
      </w:r>
    </w:p>
    <w:p>
      <w:pPr>
        <w:pStyle w:val="6"/>
        <w:bidi w:val="0"/>
        <w:spacing w:line="360" w:lineRule="auto"/>
        <w:outlineLvl w:val="1"/>
        <w:rPr>
          <w:rFonts w:hint="eastAsia"/>
          <w:lang w:val="en-US" w:eastAsia="zh-CN"/>
        </w:rPr>
      </w:pPr>
      <w:bookmarkStart w:id="200" w:name="_Toc27932"/>
      <w:bookmarkStart w:id="201" w:name="_Toc13376"/>
      <w:bookmarkStart w:id="202" w:name="_Toc18221"/>
      <w:bookmarkStart w:id="203" w:name="_Toc5249"/>
      <w:bookmarkStart w:id="204" w:name="_Toc15829"/>
      <w:bookmarkStart w:id="205" w:name="_Toc5821"/>
      <w:bookmarkStart w:id="206" w:name="_Toc6262"/>
      <w:bookmarkStart w:id="207" w:name="_Toc31021"/>
      <w:bookmarkStart w:id="208" w:name="_Toc15148"/>
      <w:bookmarkStart w:id="209" w:name="_Toc17007"/>
      <w:r>
        <w:rPr>
          <w:rFonts w:hint="eastAsia"/>
          <w:lang w:val="en-US" w:eastAsia="zh-CN"/>
        </w:rPr>
        <w:t>3.2.3土石方平衡评价</w:t>
      </w:r>
      <w:bookmarkEnd w:id="200"/>
      <w:bookmarkEnd w:id="201"/>
      <w:bookmarkEnd w:id="202"/>
      <w:bookmarkEnd w:id="203"/>
      <w:bookmarkEnd w:id="204"/>
      <w:bookmarkEnd w:id="205"/>
      <w:bookmarkEnd w:id="206"/>
      <w:bookmarkEnd w:id="207"/>
      <w:bookmarkEnd w:id="208"/>
      <w:bookmarkEnd w:id="209"/>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根据主体工程设计资料及现场踏勘复核，本项目土石方总挖方量</w:t>
      </w:r>
      <w:r>
        <w:rPr>
          <w:rFonts w:hint="eastAsia" w:eastAsia="仿宋_GB2312" w:cs="Times New Roman"/>
          <w:kern w:val="2"/>
          <w:sz w:val="24"/>
          <w:highlight w:val="none"/>
          <w:lang w:val="en-US" w:eastAsia="zh-CN" w:bidi="ar-SA"/>
        </w:rPr>
        <w:t>1.1</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w:t>
      </w:r>
      <w:r>
        <w:rPr>
          <w:rFonts w:hint="eastAsia" w:ascii="Times New Roman" w:hAnsi="Times New Roman" w:eastAsia="仿宋_GB2312" w:cs="Times New Roman"/>
          <w:kern w:val="2"/>
          <w:sz w:val="24"/>
          <w:highlight w:val="none"/>
          <w:lang w:val="en-US" w:eastAsia="zh-CN" w:bidi="ar-SA"/>
        </w:rPr>
        <w:t>，总填方量0</w:t>
      </w:r>
      <w:r>
        <w:rPr>
          <w:rFonts w:hint="eastAsia" w:eastAsia="仿宋_GB2312" w:cs="Times New Roman"/>
          <w:kern w:val="2"/>
          <w:sz w:val="24"/>
          <w:highlight w:val="none"/>
          <w:lang w:val="en-US" w:eastAsia="zh-CN" w:bidi="ar-SA"/>
        </w:rPr>
        <w:t>.83</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m³（含0.14</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m³种植土）</w:t>
      </w:r>
      <w:r>
        <w:rPr>
          <w:rFonts w:hint="eastAsia" w:ascii="Times New Roman" w:hAnsi="Times New Roman" w:eastAsia="仿宋_GB2312" w:cs="Times New Roman"/>
          <w:kern w:val="2"/>
          <w:sz w:val="24"/>
          <w:highlight w:val="none"/>
          <w:lang w:val="en-US" w:eastAsia="zh-CN" w:bidi="ar-SA"/>
        </w:rPr>
        <w:t>，</w:t>
      </w:r>
      <w:r>
        <w:rPr>
          <w:rFonts w:hint="eastAsia" w:eastAsia="仿宋_GB2312" w:cs="Times New Roman"/>
          <w:kern w:val="2"/>
          <w:sz w:val="24"/>
          <w:highlight w:val="none"/>
          <w:lang w:val="en-US" w:eastAsia="zh-CN" w:bidi="ar-SA"/>
        </w:rPr>
        <w:t>借方共计0.14万m³（含种植土0.14万m³），</w:t>
      </w:r>
      <w:r>
        <w:rPr>
          <w:rFonts w:hint="eastAsia" w:ascii="Times New Roman" w:hAnsi="Times New Roman" w:eastAsia="仿宋_GB2312" w:cs="Times New Roman"/>
          <w:kern w:val="2"/>
          <w:sz w:val="24"/>
          <w:highlight w:val="none"/>
          <w:lang w:val="en-US" w:eastAsia="zh-CN" w:bidi="ar-SA"/>
        </w:rPr>
        <w:t>弃方共计0.</w:t>
      </w:r>
      <w:r>
        <w:rPr>
          <w:rFonts w:hint="eastAsia" w:eastAsia="仿宋_GB2312" w:cs="Times New Roman"/>
          <w:kern w:val="2"/>
          <w:sz w:val="24"/>
          <w:highlight w:val="none"/>
          <w:lang w:val="en-US" w:eastAsia="zh-CN" w:bidi="ar-SA"/>
        </w:rPr>
        <w:t>41</w:t>
      </w:r>
      <w:r>
        <w:rPr>
          <w:rFonts w:hint="eastAsia" w:ascii="Times New Roman" w:hAnsi="Times New Roman" w:eastAsia="仿宋_GB2312" w:cs="Times New Roman"/>
          <w:kern w:val="2"/>
          <w:sz w:val="24"/>
          <w:highlight w:val="none"/>
          <w:lang w:val="en-US" w:eastAsia="zh-CN" w:bidi="ar-SA"/>
        </w:rPr>
        <w:t>万m³</w:t>
      </w:r>
      <w:r>
        <w:rPr>
          <w:rFonts w:hint="eastAsia" w:eastAsia="仿宋_GB2312" w:cs="Times New Roman"/>
          <w:kern w:val="2"/>
          <w:sz w:val="24"/>
          <w:highlight w:val="none"/>
          <w:lang w:val="en-US" w:eastAsia="zh-CN" w:bidi="ar-SA"/>
        </w:rPr>
        <w:t>，</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r>
        <w:rPr>
          <w:rFonts w:hint="eastAsia" w:ascii="Times New Roman" w:hAnsi="Times New Roman" w:eastAsia="仿宋_GB2312" w:cs="Times New Roman"/>
          <w:kern w:val="2"/>
          <w:sz w:val="24"/>
          <w:highlight w:val="none"/>
          <w:lang w:val="en-US" w:eastAsia="zh-CN" w:bidi="ar-SA"/>
        </w:rPr>
        <w:t>结果如下：</w:t>
      </w:r>
    </w:p>
    <w:p>
      <w:pPr>
        <w:bidi w:val="0"/>
        <w:ind w:firstLine="480" w:firstLineChars="200"/>
        <w:rPr>
          <w:rFonts w:hint="eastAsia"/>
          <w:lang w:val="en-US" w:eastAsia="zh-CN"/>
        </w:rPr>
      </w:pPr>
      <w:r>
        <w:rPr>
          <w:rFonts w:hint="eastAsia"/>
          <w:lang w:val="en-US" w:eastAsia="zh-CN"/>
        </w:rPr>
        <w:t>（1）建构筑物工程</w:t>
      </w:r>
    </w:p>
    <w:p>
      <w:pPr>
        <w:bidi w:val="0"/>
        <w:ind w:firstLine="480" w:firstLineChars="200"/>
        <w:jc w:val="left"/>
        <w:rPr>
          <w:rFonts w:hint="default"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建构筑物工程土石方主要来源于场平、建筑物基础开挖回填以及</w:t>
      </w:r>
      <w:r>
        <w:rPr>
          <w:rFonts w:hint="eastAsia" w:eastAsia="仿宋_GB2312" w:cs="Times New Roman"/>
          <w:kern w:val="2"/>
          <w:sz w:val="24"/>
          <w:highlight w:val="none"/>
          <w:lang w:val="en-US" w:eastAsia="zh-CN" w:bidi="ar-SA"/>
        </w:rPr>
        <w:t>地下室、</w:t>
      </w:r>
      <w:r>
        <w:rPr>
          <w:rFonts w:hint="eastAsia" w:ascii="Times New Roman" w:hAnsi="Times New Roman" w:eastAsia="仿宋_GB2312" w:cs="Times New Roman"/>
          <w:kern w:val="2"/>
          <w:sz w:val="24"/>
          <w:highlight w:val="none"/>
          <w:lang w:val="en-US" w:eastAsia="zh-CN" w:bidi="ar-SA"/>
        </w:rPr>
        <w:t>管线开挖回填，建构筑物工程开挖量土石方量为</w:t>
      </w:r>
      <w:r>
        <w:rPr>
          <w:rFonts w:hint="eastAsia" w:eastAsia="仿宋_GB2312" w:cs="Times New Roman"/>
          <w:kern w:val="2"/>
          <w:sz w:val="24"/>
          <w:highlight w:val="none"/>
          <w:lang w:val="en-US" w:eastAsia="zh-CN" w:bidi="ar-SA"/>
        </w:rPr>
        <w:t>0.85</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w:t>
      </w:r>
      <w:r>
        <w:rPr>
          <w:rFonts w:hint="eastAsia" w:ascii="Times New Roman" w:hAnsi="Times New Roman" w:eastAsia="仿宋_GB2312" w:cs="Times New Roman"/>
          <w:kern w:val="2"/>
          <w:sz w:val="24"/>
          <w:highlight w:val="none"/>
          <w:lang w:val="en-US" w:eastAsia="zh-CN" w:bidi="ar-SA"/>
        </w:rPr>
        <w:t>建构筑物工程区域回填主要为地基作业面回填</w:t>
      </w:r>
      <w:r>
        <w:rPr>
          <w:rFonts w:hint="eastAsia" w:eastAsia="仿宋_GB2312" w:cs="Times New Roman"/>
          <w:kern w:val="2"/>
          <w:sz w:val="24"/>
          <w:highlight w:val="none"/>
          <w:lang w:val="en-US" w:eastAsia="zh-CN" w:bidi="ar-SA"/>
        </w:rPr>
        <w:t>和地下室顶层覆土</w:t>
      </w:r>
      <w:r>
        <w:rPr>
          <w:rFonts w:hint="eastAsia" w:ascii="Times New Roman" w:hAnsi="Times New Roman" w:eastAsia="仿宋_GB2312" w:cs="Times New Roman"/>
          <w:kern w:val="2"/>
          <w:sz w:val="24"/>
          <w:highlight w:val="none"/>
          <w:lang w:val="en-US" w:eastAsia="zh-CN" w:bidi="ar-SA"/>
        </w:rPr>
        <w:t>，回填总量为0.</w:t>
      </w:r>
      <w:r>
        <w:rPr>
          <w:rFonts w:hint="eastAsia" w:eastAsia="仿宋_GB2312" w:cs="Times New Roman"/>
          <w:kern w:val="2"/>
          <w:sz w:val="24"/>
          <w:highlight w:val="none"/>
          <w:lang w:val="en-US" w:eastAsia="zh-CN" w:bidi="ar-SA"/>
        </w:rPr>
        <w:t>44</w:t>
      </w:r>
      <w:r>
        <w:rPr>
          <w:rFonts w:hint="eastAsia" w:ascii="Times New Roman" w:hAnsi="Times New Roman" w:eastAsia="仿宋_GB2312" w:cs="Times New Roman"/>
          <w:kern w:val="2"/>
          <w:sz w:val="24"/>
          <w:highlight w:val="none"/>
          <w:lang w:val="en-US" w:eastAsia="zh-CN" w:bidi="ar-SA"/>
        </w:rPr>
        <w:t>万m³。产生弃方0.</w:t>
      </w:r>
      <w:r>
        <w:rPr>
          <w:rFonts w:hint="eastAsia" w:eastAsia="仿宋_GB2312" w:cs="Times New Roman"/>
          <w:kern w:val="2"/>
          <w:sz w:val="24"/>
          <w:highlight w:val="none"/>
          <w:lang w:val="en-US" w:eastAsia="zh-CN" w:bidi="ar-SA"/>
        </w:rPr>
        <w:t>41</w:t>
      </w:r>
      <w:r>
        <w:rPr>
          <w:rFonts w:hint="eastAsia" w:ascii="Times New Roman" w:hAnsi="Times New Roman" w:eastAsia="仿宋_GB2312" w:cs="Times New Roman"/>
          <w:kern w:val="2"/>
          <w:sz w:val="24"/>
          <w:highlight w:val="none"/>
          <w:lang w:val="en-US" w:eastAsia="zh-CN" w:bidi="ar-SA"/>
        </w:rPr>
        <w:t>万m³</w:t>
      </w:r>
      <w:r>
        <w:rPr>
          <w:rFonts w:hint="default" w:ascii="Times New Roman" w:hAnsi="Times New Roman" w:eastAsia="仿宋_GB2312" w:cs="Times New Roman"/>
          <w:color w:val="auto"/>
          <w:kern w:val="1"/>
          <w:sz w:val="24"/>
          <w:szCs w:val="24"/>
          <w:highlight w:val="none"/>
        </w:rPr>
        <w:t>由</w:t>
      </w:r>
      <w:r>
        <w:rPr>
          <w:rFonts w:hint="default" w:ascii="Times New Roman" w:hAnsi="Times New Roman" w:eastAsia="仿宋_GB2312" w:cs="Times New Roman"/>
          <w:color w:val="auto"/>
          <w:kern w:val="1"/>
          <w:sz w:val="24"/>
          <w:szCs w:val="24"/>
        </w:rPr>
        <w:t>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bidi w:val="0"/>
        <w:ind w:firstLine="480" w:firstLineChars="200"/>
        <w:rPr>
          <w:rFonts w:hint="eastAsia"/>
          <w:lang w:val="en-US" w:eastAsia="zh-CN"/>
        </w:rPr>
      </w:pPr>
      <w:r>
        <w:rPr>
          <w:rFonts w:hint="eastAsia"/>
          <w:lang w:val="en-US" w:eastAsia="zh-CN"/>
        </w:rPr>
        <w:t>（2）附属设施工程</w:t>
      </w:r>
    </w:p>
    <w:p>
      <w:pPr>
        <w:pStyle w:val="2"/>
        <w:ind w:firstLine="480" w:firstLineChars="200"/>
        <w:rPr>
          <w:rFonts w:hint="eastAsia" w:ascii="Times New Roman" w:hAnsi="Times New Roman" w:eastAsia="仿宋_GB2312" w:cs="Times New Roman"/>
          <w:kern w:val="2"/>
          <w:sz w:val="24"/>
          <w:highlight w:val="none"/>
          <w:lang w:val="en-US" w:eastAsia="zh-CN" w:bidi="ar-SA"/>
        </w:rPr>
      </w:pPr>
      <w:r>
        <w:rPr>
          <w:rFonts w:hint="eastAsia" w:eastAsia="仿宋_GB2312" w:cs="Times New Roman"/>
          <w:kern w:val="2"/>
          <w:sz w:val="24"/>
          <w:highlight w:val="none"/>
          <w:lang w:val="en-US" w:eastAsia="zh-CN" w:bidi="ar-SA"/>
        </w:rPr>
        <w:t>附属设施工程</w:t>
      </w:r>
      <w:r>
        <w:rPr>
          <w:rFonts w:hint="eastAsia" w:ascii="Times New Roman" w:hAnsi="Times New Roman" w:eastAsia="仿宋_GB2312" w:cs="Times New Roman"/>
          <w:kern w:val="2"/>
          <w:sz w:val="24"/>
          <w:highlight w:val="none"/>
          <w:lang w:val="en-US" w:eastAsia="zh-CN" w:bidi="ar-SA"/>
        </w:rPr>
        <w:t>土石方主要来源于场平、路基压实回填和给排水管网开挖回填。</w:t>
      </w:r>
      <w:r>
        <w:rPr>
          <w:rFonts w:hint="eastAsia" w:eastAsia="仿宋_GB2312" w:cs="Times New Roman"/>
          <w:kern w:val="2"/>
          <w:sz w:val="24"/>
          <w:highlight w:val="none"/>
          <w:lang w:val="en-US" w:eastAsia="zh-CN" w:bidi="ar-SA"/>
        </w:rPr>
        <w:t>附属设施工程</w:t>
      </w:r>
      <w:r>
        <w:rPr>
          <w:rFonts w:hint="eastAsia" w:ascii="Times New Roman" w:hAnsi="Times New Roman" w:eastAsia="仿宋_GB2312" w:cs="Times New Roman"/>
          <w:kern w:val="2"/>
          <w:sz w:val="24"/>
          <w:highlight w:val="none"/>
          <w:lang w:val="en-US" w:eastAsia="zh-CN" w:bidi="ar-SA"/>
        </w:rPr>
        <w:t>区共开挖土石方</w:t>
      </w:r>
      <w:r>
        <w:rPr>
          <w:rFonts w:hint="eastAsia" w:eastAsia="仿宋_GB2312" w:cs="Times New Roman"/>
          <w:kern w:val="2"/>
          <w:sz w:val="24"/>
          <w:highlight w:val="none"/>
          <w:lang w:val="en-US" w:eastAsia="zh-CN" w:bidi="ar-SA"/>
        </w:rPr>
        <w:t>0.24</w:t>
      </w:r>
      <w:r>
        <w:rPr>
          <w:rFonts w:hint="eastAsia" w:ascii="Times New Roman" w:hAnsi="Times New Roman" w:eastAsia="仿宋_GB2312" w:cs="Times New Roman"/>
          <w:kern w:val="2"/>
          <w:sz w:val="24"/>
          <w:highlight w:val="none"/>
          <w:lang w:val="en-US" w:eastAsia="zh-CN" w:bidi="ar-SA"/>
        </w:rPr>
        <w:t>万m³，回填方量</w:t>
      </w:r>
      <w:r>
        <w:rPr>
          <w:rFonts w:hint="eastAsia" w:eastAsia="仿宋_GB2312" w:cs="Times New Roman"/>
          <w:kern w:val="2"/>
          <w:sz w:val="24"/>
          <w:highlight w:val="none"/>
          <w:lang w:val="en-US" w:eastAsia="zh-CN" w:bidi="ar-SA"/>
        </w:rPr>
        <w:t>0.24</w:t>
      </w:r>
      <w:r>
        <w:rPr>
          <w:rFonts w:hint="eastAsia" w:ascii="Times New Roman" w:hAnsi="Times New Roman" w:eastAsia="仿宋_GB2312" w:cs="Times New Roman"/>
          <w:kern w:val="2"/>
          <w:sz w:val="24"/>
          <w:highlight w:val="none"/>
          <w:lang w:val="en-US" w:eastAsia="zh-CN" w:bidi="ar-SA"/>
        </w:rPr>
        <w:t>万m³。</w:t>
      </w:r>
    </w:p>
    <w:p>
      <w:pPr>
        <w:bidi w:val="0"/>
        <w:ind w:firstLine="480" w:firstLineChars="200"/>
        <w:rPr>
          <w:rFonts w:hint="eastAsia"/>
          <w:lang w:val="en-US" w:eastAsia="zh-CN"/>
        </w:rPr>
      </w:pPr>
      <w:r>
        <w:rPr>
          <w:rFonts w:hint="eastAsia"/>
          <w:lang w:val="en-US" w:eastAsia="zh-CN"/>
        </w:rPr>
        <w:t>（3）景观绿化工程</w:t>
      </w:r>
    </w:p>
    <w:p>
      <w:pPr>
        <w:tabs>
          <w:tab w:val="left" w:pos="696"/>
        </w:tabs>
        <w:bidi w:val="0"/>
        <w:ind w:firstLine="480" w:firstLineChars="200"/>
        <w:jc w:val="left"/>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cs="Times New Roman"/>
          <w:color w:val="000000"/>
          <w:kern w:val="2"/>
          <w:sz w:val="24"/>
          <w:szCs w:val="22"/>
          <w:lang w:val="en-US" w:eastAsia="zh-CN" w:bidi="ar-SA"/>
        </w:rPr>
        <w:t>本项目景观绿化区的开挖主要为主要为小部分场地的平整，</w:t>
      </w:r>
      <w:r>
        <w:rPr>
          <w:rFonts w:ascii="仿宋" w:hAnsi="仿宋" w:eastAsia="仿宋" w:cs="仿宋"/>
          <w:color w:val="000000"/>
          <w:kern w:val="0"/>
          <w:sz w:val="24"/>
          <w:szCs w:val="24"/>
          <w:lang w:val="en-US" w:eastAsia="zh-CN" w:bidi="ar"/>
        </w:rPr>
        <w:t>共开挖土石方</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0</w:t>
      </w:r>
      <w:r>
        <w:rPr>
          <w:rFonts w:hint="eastAsia" w:eastAsia="宋体" w:cs="Times New Roman"/>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万</w:t>
      </w:r>
      <w:r>
        <w:rPr>
          <w:rFonts w:hint="eastAsia" w:ascii="Times New Roman" w:hAnsi="Times New Roman" w:eastAsia="仿宋_GB2312" w:cs="Times New Roman"/>
          <w:kern w:val="2"/>
          <w:sz w:val="24"/>
          <w:highlight w:val="none"/>
          <w:lang w:val="en-US" w:eastAsia="zh-CN" w:bidi="ar-SA"/>
        </w:rPr>
        <w:t>m³</w:t>
      </w:r>
      <w:r>
        <w:rPr>
          <w:rFonts w:hint="eastAsia" w:eastAsia="仿宋_GB2312" w:cs="Times New Roman"/>
          <w:kern w:val="2"/>
          <w:sz w:val="24"/>
          <w:highlight w:val="none"/>
          <w:lang w:val="en-US" w:eastAsia="zh-CN" w:bidi="ar-SA"/>
        </w:rPr>
        <w:t>，</w:t>
      </w:r>
      <w:r>
        <w:rPr>
          <w:rFonts w:hint="eastAsia" w:ascii="Times New Roman" w:hAnsi="Times New Roman" w:cs="Times New Roman"/>
          <w:color w:val="000000"/>
          <w:kern w:val="2"/>
          <w:sz w:val="24"/>
          <w:szCs w:val="22"/>
          <w:lang w:val="en-US" w:eastAsia="zh-CN" w:bidi="ar-SA"/>
        </w:rPr>
        <w:t>土石方回填量为</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15</w:t>
      </w:r>
      <w:r>
        <w:rPr>
          <w:rFonts w:hint="eastAsia" w:ascii="仿宋" w:hAnsi="仿宋" w:eastAsia="仿宋" w:cs="仿宋"/>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仿宋_GB2312" w:cs="Times New Roman"/>
          <w:kern w:val="2"/>
          <w:sz w:val="24"/>
          <w:highlight w:val="none"/>
          <w:lang w:val="en-US" w:eastAsia="zh-CN" w:bidi="ar-SA"/>
        </w:rPr>
        <w:t>³（含外购种植土0.14</w:t>
      </w:r>
      <w:r>
        <w:rPr>
          <w:rFonts w:hint="eastAsia" w:ascii="仿宋" w:hAnsi="仿宋" w:eastAsia="仿宋" w:cs="仿宋"/>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仿宋_GB2312" w:cs="Times New Roman"/>
          <w:kern w:val="2"/>
          <w:sz w:val="24"/>
          <w:highlight w:val="none"/>
          <w:lang w:val="en-US" w:eastAsia="zh-CN" w:bidi="ar-SA"/>
        </w:rPr>
        <w:t>³），种植土回填高度0.5m，回填面积2785.27m²，能够满足后期绿化要求。</w:t>
      </w:r>
    </w:p>
    <w:p>
      <w:pPr>
        <w:bidi w:val="0"/>
        <w:ind w:firstLine="480" w:firstLineChars="200"/>
        <w:rPr>
          <w:rFonts w:hint="eastAsia"/>
          <w:lang w:val="en-US" w:eastAsia="zh-CN"/>
        </w:rPr>
      </w:pPr>
      <w:r>
        <w:rPr>
          <w:rFonts w:hint="eastAsia"/>
          <w:lang w:val="en-US" w:eastAsia="zh-CN"/>
        </w:rPr>
        <w:t>（4）土石方量汇总</w:t>
      </w:r>
    </w:p>
    <w:p>
      <w:pPr>
        <w:pStyle w:val="2"/>
        <w:ind w:firstLine="480" w:firstLineChars="200"/>
        <w:rPr>
          <w:rFonts w:hint="eastAsia" w:eastAsia="仿宋_GB2312" w:cs="Times New Roman"/>
          <w:color w:val="auto"/>
          <w:kern w:val="1"/>
          <w:sz w:val="24"/>
          <w:szCs w:val="24"/>
          <w:highlight w:val="none"/>
          <w:lang w:eastAsia="zh-CN"/>
        </w:rPr>
      </w:pPr>
      <w:r>
        <w:rPr>
          <w:rFonts w:hint="eastAsia" w:ascii="Times New Roman" w:hAnsi="Times New Roman" w:eastAsia="仿宋_GB2312" w:cs="Times New Roman"/>
          <w:kern w:val="2"/>
          <w:sz w:val="24"/>
          <w:highlight w:val="none"/>
          <w:lang w:val="en-US" w:eastAsia="zh-CN" w:bidi="ar-SA"/>
        </w:rPr>
        <w:t>本项目场平后，开挖土石方总量1.</w:t>
      </w:r>
      <w:r>
        <w:rPr>
          <w:rFonts w:hint="eastAsia" w:eastAsia="仿宋_GB2312" w:cs="Times New Roman"/>
          <w:kern w:val="2"/>
          <w:sz w:val="24"/>
          <w:highlight w:val="none"/>
          <w:lang w:val="en-US" w:eastAsia="zh-CN" w:bidi="ar-SA"/>
        </w:rPr>
        <w:t>1</w:t>
      </w:r>
      <w:r>
        <w:rPr>
          <w:rFonts w:hint="eastAsia" w:ascii="仿宋" w:hAnsi="仿宋" w:eastAsia="仿宋" w:cs="仿宋"/>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仿宋_GB2312" w:cs="Times New Roman"/>
          <w:kern w:val="2"/>
          <w:sz w:val="24"/>
          <w:highlight w:val="none"/>
          <w:lang w:val="en-US" w:eastAsia="zh-CN" w:bidi="ar-SA"/>
        </w:rPr>
        <w:t>³，</w:t>
      </w:r>
      <w:r>
        <w:rPr>
          <w:rFonts w:hint="eastAsia" w:eastAsia="仿宋_GB2312" w:cs="Times New Roman"/>
          <w:kern w:val="2"/>
          <w:sz w:val="24"/>
          <w:highlight w:val="none"/>
          <w:lang w:val="en-US" w:eastAsia="zh-CN" w:bidi="ar-SA"/>
        </w:rPr>
        <w:t>其</w:t>
      </w:r>
      <w:r>
        <w:rPr>
          <w:rFonts w:hint="eastAsia" w:ascii="Times New Roman" w:hAnsi="Times New Roman" w:eastAsia="仿宋_GB2312" w:cs="Times New Roman"/>
          <w:kern w:val="2"/>
          <w:sz w:val="24"/>
          <w:highlight w:val="none"/>
          <w:lang w:val="en-US" w:eastAsia="zh-CN" w:bidi="ar-SA"/>
        </w:rPr>
        <w:t>中建构筑物工程</w:t>
      </w:r>
      <w:r>
        <w:rPr>
          <w:rFonts w:hint="eastAsia" w:eastAsia="仿宋_GB2312" w:cs="Times New Roman"/>
          <w:kern w:val="2"/>
          <w:sz w:val="24"/>
          <w:highlight w:val="none"/>
          <w:lang w:val="en-US" w:eastAsia="zh-CN" w:bidi="ar-SA"/>
        </w:rPr>
        <w:t>0.85</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w:t>
      </w:r>
      <w:r>
        <w:rPr>
          <w:rFonts w:hint="eastAsia" w:ascii="Times New Roman" w:hAnsi="Times New Roman" w:eastAsia="仿宋_GB2312" w:cs="Times New Roman"/>
          <w:kern w:val="2"/>
          <w:sz w:val="24"/>
          <w:highlight w:val="none"/>
          <w:lang w:val="en-US" w:eastAsia="zh-CN" w:bidi="ar-SA"/>
        </w:rPr>
        <w:t>，</w:t>
      </w:r>
      <w:r>
        <w:rPr>
          <w:rFonts w:hint="eastAsia" w:ascii="仿宋" w:hAnsi="仿宋" w:cs="仿宋"/>
          <w:color w:val="000000"/>
          <w:kern w:val="0"/>
          <w:sz w:val="24"/>
          <w:szCs w:val="24"/>
          <w:lang w:val="en-US" w:eastAsia="zh-CN" w:bidi="ar"/>
        </w:rPr>
        <w:t>附属设施工程0.24</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w:t>
      </w:r>
      <w:r>
        <w:rPr>
          <w:rFonts w:hint="eastAsia" w:ascii="仿宋" w:hAnsi="仿宋" w:cs="仿宋"/>
          <w:color w:val="000000"/>
          <w:kern w:val="0"/>
          <w:sz w:val="24"/>
          <w:szCs w:val="24"/>
          <w:lang w:val="en-US" w:eastAsia="zh-CN" w:bidi="ar"/>
        </w:rPr>
        <w:t>，景观绿化区0.01万m³。</w:t>
      </w:r>
      <w:r>
        <w:rPr>
          <w:rFonts w:hint="eastAsia" w:ascii="Times New Roman" w:hAnsi="Times New Roman" w:eastAsia="仿宋_GB2312" w:cs="Times New Roman"/>
          <w:kern w:val="2"/>
          <w:sz w:val="24"/>
          <w:highlight w:val="none"/>
          <w:lang w:val="en-US" w:eastAsia="zh-CN" w:bidi="ar-SA"/>
        </w:rPr>
        <w:t>回填土石方总量0</w:t>
      </w:r>
      <w:r>
        <w:rPr>
          <w:rFonts w:hint="eastAsia" w:eastAsia="仿宋_GB2312" w:cs="Times New Roman"/>
          <w:kern w:val="2"/>
          <w:sz w:val="24"/>
          <w:highlight w:val="none"/>
          <w:lang w:val="en-US" w:eastAsia="zh-CN" w:bidi="ar-SA"/>
        </w:rPr>
        <w:t>.83</w:t>
      </w:r>
      <w:r>
        <w:rPr>
          <w:rFonts w:hint="eastAsia" w:ascii="Times New Roman" w:hAnsi="Times New Roman" w:eastAsia="仿宋_GB2312" w:cs="Times New Roman"/>
          <w:kern w:val="2"/>
          <w:sz w:val="24"/>
          <w:highlight w:val="none"/>
          <w:lang w:val="en-US" w:eastAsia="zh-CN" w:bidi="ar-SA"/>
        </w:rPr>
        <w:t>万m³，其中建构筑物工程回填0.44万</w:t>
      </w:r>
      <w:r>
        <w:rPr>
          <w:rFonts w:hint="eastAsia" w:eastAsia="仿宋_GB2312" w:cs="Times New Roman"/>
          <w:kern w:val="2"/>
          <w:sz w:val="24"/>
          <w:highlight w:val="none"/>
          <w:lang w:val="en-US" w:eastAsia="zh-CN" w:bidi="ar-SA"/>
        </w:rPr>
        <w:t>m³</w:t>
      </w:r>
      <w:r>
        <w:rPr>
          <w:rFonts w:hint="eastAsia" w:ascii="Times New Roman" w:hAnsi="Times New Roman" w:eastAsia="仿宋_GB2312" w:cs="Times New Roman"/>
          <w:kern w:val="2"/>
          <w:sz w:val="24"/>
          <w:highlight w:val="none"/>
          <w:lang w:val="en-US" w:eastAsia="zh-CN" w:bidi="ar-SA"/>
        </w:rPr>
        <w:t>，</w:t>
      </w:r>
      <w:r>
        <w:rPr>
          <w:rFonts w:hint="eastAsia" w:ascii="仿宋" w:hAnsi="仿宋" w:cs="仿宋"/>
          <w:color w:val="000000"/>
          <w:kern w:val="0"/>
          <w:sz w:val="24"/>
          <w:szCs w:val="24"/>
          <w:highlight w:val="none"/>
          <w:lang w:val="en-US" w:eastAsia="zh-CN" w:bidi="ar"/>
        </w:rPr>
        <w:t>附属设施工程</w:t>
      </w:r>
      <w:r>
        <w:rPr>
          <w:rFonts w:ascii="仿宋" w:hAnsi="仿宋" w:eastAsia="仿宋" w:cs="仿宋"/>
          <w:color w:val="000000"/>
          <w:kern w:val="0"/>
          <w:sz w:val="24"/>
          <w:szCs w:val="24"/>
          <w:highlight w:val="none"/>
          <w:lang w:val="en-US" w:eastAsia="zh-CN" w:bidi="ar"/>
        </w:rPr>
        <w:t>回填土石方</w:t>
      </w:r>
      <w:r>
        <w:rPr>
          <w:rFonts w:hint="default" w:ascii="Times New Roman" w:hAnsi="Times New Roman" w:eastAsia="宋体" w:cs="Times New Roman"/>
          <w:color w:val="000000"/>
          <w:kern w:val="0"/>
          <w:sz w:val="24"/>
          <w:szCs w:val="24"/>
          <w:highlight w:val="none"/>
          <w:lang w:val="en-US" w:eastAsia="zh-CN" w:bidi="ar"/>
        </w:rPr>
        <w:t>0.</w:t>
      </w:r>
      <w:r>
        <w:rPr>
          <w:rFonts w:hint="eastAsia" w:eastAsia="宋体" w:cs="Times New Roman"/>
          <w:color w:val="000000"/>
          <w:kern w:val="0"/>
          <w:sz w:val="24"/>
          <w:szCs w:val="24"/>
          <w:highlight w:val="none"/>
          <w:lang w:val="en-US" w:eastAsia="zh-CN" w:bidi="ar"/>
        </w:rPr>
        <w:t>24</w:t>
      </w:r>
      <w:r>
        <w:rPr>
          <w:rFonts w:hint="eastAsia" w:ascii="仿宋" w:hAnsi="仿宋" w:eastAsia="仿宋" w:cs="仿宋"/>
          <w:color w:val="000000"/>
          <w:kern w:val="0"/>
          <w:sz w:val="24"/>
          <w:szCs w:val="24"/>
          <w:highlight w:val="none"/>
          <w:lang w:val="en-US" w:eastAsia="zh-CN" w:bidi="ar"/>
        </w:rPr>
        <w:t>万</w:t>
      </w:r>
      <w:r>
        <w:rPr>
          <w:rFonts w:hint="eastAsia" w:ascii="Times New Roman" w:hAnsi="Times New Roman" w:eastAsia="仿宋_GB2312" w:cs="Times New Roman"/>
          <w:kern w:val="2"/>
          <w:sz w:val="24"/>
          <w:highlight w:val="none"/>
          <w:lang w:val="en-US" w:eastAsia="zh-CN" w:bidi="ar-SA"/>
        </w:rPr>
        <w:t>m³</w:t>
      </w:r>
      <w:r>
        <w:rPr>
          <w:rFonts w:hint="eastAsia" w:ascii="仿宋" w:hAnsi="仿宋" w:eastAsia="仿宋" w:cs="仿宋"/>
          <w:color w:val="000000"/>
          <w:kern w:val="0"/>
          <w:sz w:val="24"/>
          <w:szCs w:val="24"/>
          <w:highlight w:val="none"/>
          <w:lang w:val="en-US" w:eastAsia="zh-CN" w:bidi="ar"/>
        </w:rPr>
        <w:t>，景观绿化工程回填土石方</w:t>
      </w:r>
      <w:r>
        <w:rPr>
          <w:rFonts w:hint="default"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15</w:t>
      </w:r>
      <w:r>
        <w:rPr>
          <w:rFonts w:hint="eastAsia" w:ascii="仿宋" w:hAnsi="仿宋" w:eastAsia="仿宋" w:cs="仿宋"/>
          <w:color w:val="000000"/>
          <w:kern w:val="0"/>
          <w:sz w:val="24"/>
          <w:szCs w:val="24"/>
          <w:highlight w:val="none"/>
          <w:lang w:val="en-US" w:eastAsia="zh-CN" w:bidi="ar"/>
        </w:rPr>
        <w:t>万</w:t>
      </w:r>
      <w:r>
        <w:rPr>
          <w:rFonts w:hint="eastAsia" w:ascii="Times New Roman" w:hAnsi="Times New Roman" w:eastAsia="仿宋_GB2312" w:cs="Times New Roman"/>
          <w:kern w:val="2"/>
          <w:sz w:val="24"/>
          <w:highlight w:val="none"/>
          <w:lang w:val="en-US" w:eastAsia="zh-CN" w:bidi="ar-SA"/>
        </w:rPr>
        <w:t>m³</w:t>
      </w:r>
      <w:r>
        <w:rPr>
          <w:rFonts w:hint="eastAsia" w:eastAsia="仿宋_GB2312" w:cs="Times New Roman"/>
          <w:kern w:val="2"/>
          <w:sz w:val="24"/>
          <w:highlight w:val="none"/>
          <w:lang w:val="en-US" w:eastAsia="zh-CN" w:bidi="ar-SA"/>
        </w:rPr>
        <w:t>（含外购种植土0.14</w:t>
      </w:r>
      <w:r>
        <w:rPr>
          <w:rFonts w:hint="eastAsia" w:ascii="仿宋" w:hAnsi="仿宋" w:eastAsia="仿宋" w:cs="仿宋"/>
          <w:color w:val="000000"/>
          <w:kern w:val="0"/>
          <w:sz w:val="24"/>
          <w:szCs w:val="24"/>
          <w:highlight w:val="none"/>
          <w:lang w:val="en-US" w:eastAsia="zh-CN" w:bidi="ar"/>
        </w:rPr>
        <w:t>万</w:t>
      </w:r>
      <w:r>
        <w:rPr>
          <w:rFonts w:hint="eastAsia" w:ascii="Times New Roman" w:hAnsi="Times New Roman" w:eastAsia="仿宋_GB2312" w:cs="Times New Roman"/>
          <w:kern w:val="2"/>
          <w:sz w:val="24"/>
          <w:highlight w:val="none"/>
          <w:lang w:val="en-US" w:eastAsia="zh-CN" w:bidi="ar-SA"/>
        </w:rPr>
        <w:t>m³</w:t>
      </w:r>
      <w:r>
        <w:rPr>
          <w:rFonts w:hint="eastAsia" w:eastAsia="仿宋_GB2312" w:cs="Times New Roman"/>
          <w:kern w:val="2"/>
          <w:sz w:val="24"/>
          <w:highlight w:val="none"/>
          <w:lang w:val="en-US" w:eastAsia="zh-CN" w:bidi="ar-SA"/>
        </w:rPr>
        <w:t>）</w:t>
      </w:r>
      <w:r>
        <w:rPr>
          <w:rFonts w:hint="eastAsia" w:ascii="仿宋" w:hAnsi="仿宋" w:eastAsia="仿宋" w:cs="仿宋"/>
          <w:color w:val="000000"/>
          <w:kern w:val="0"/>
          <w:sz w:val="24"/>
          <w:szCs w:val="24"/>
          <w:highlight w:val="none"/>
          <w:lang w:val="en-US" w:eastAsia="zh-CN" w:bidi="ar"/>
        </w:rPr>
        <w:t>。</w:t>
      </w:r>
      <w:r>
        <w:rPr>
          <w:rFonts w:hint="eastAsia" w:ascii="仿宋" w:hAnsi="仿宋" w:cs="仿宋"/>
          <w:color w:val="000000"/>
          <w:kern w:val="0"/>
          <w:sz w:val="24"/>
          <w:szCs w:val="24"/>
          <w:highlight w:val="none"/>
          <w:lang w:val="en-US" w:eastAsia="zh-CN" w:bidi="ar"/>
        </w:rPr>
        <w:t>共产生借方0.14万m³（含种植土0.14万m³），来源于外购。弃方0.41</w:t>
      </w:r>
      <w:r>
        <w:rPr>
          <w:rFonts w:hint="eastAsia" w:ascii="Times New Roman" w:hAnsi="Times New Roman" w:eastAsia="仿宋_GB2312" w:cs="Times New Roman"/>
          <w:kern w:val="2"/>
          <w:sz w:val="24"/>
          <w:highlight w:val="none"/>
          <w:lang w:val="en-US" w:eastAsia="zh-CN" w:bidi="ar-SA"/>
        </w:rPr>
        <w:t>万</w:t>
      </w:r>
      <w:r>
        <w:rPr>
          <w:rFonts w:hint="eastAsia" w:eastAsia="仿宋_GB2312" w:cs="Times New Roman"/>
          <w:kern w:val="2"/>
          <w:sz w:val="24"/>
          <w:highlight w:val="none"/>
          <w:lang w:val="en-US" w:eastAsia="zh-CN" w:bidi="ar-SA"/>
        </w:rPr>
        <w:t>m³，</w:t>
      </w:r>
      <w:r>
        <w:rPr>
          <w:rFonts w:hint="default" w:ascii="Times New Roman" w:hAnsi="Times New Roman" w:eastAsia="仿宋_GB2312" w:cs="Times New Roman"/>
          <w:color w:val="auto"/>
          <w:kern w:val="1"/>
          <w:sz w:val="24"/>
          <w:szCs w:val="24"/>
          <w:highlight w:val="none"/>
        </w:rPr>
        <w:t>由建设单位统一运至</w:t>
      </w:r>
      <w:r>
        <w:rPr>
          <w:rFonts w:hint="eastAsia" w:eastAsia="仿宋_GB2312" w:cs="Times New Roman"/>
          <w:color w:val="auto"/>
          <w:kern w:val="1"/>
          <w:sz w:val="24"/>
          <w:szCs w:val="24"/>
          <w:highlight w:val="none"/>
          <w:lang w:eastAsia="zh-CN"/>
        </w:rPr>
        <w:t>秦家岸弃土场。</w:t>
      </w:r>
    </w:p>
    <w:p>
      <w:pPr>
        <w:pStyle w:val="2"/>
        <w:ind w:firstLine="480" w:firstLineChars="200"/>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从水土保持角度分析，本工程的土石方平衡综合考虑了工程建设的实际情况，项目工程主要以建筑构物区为主。土石方挖填总量不大，并结合工程区地形地貌特征，充分考虑了本工程工程特点，合理利用土石方，</w:t>
      </w:r>
      <w:r>
        <w:rPr>
          <w:rFonts w:hint="default" w:ascii="仿宋" w:hAnsi="仿宋" w:eastAsia="仿宋" w:cs="仿宋"/>
          <w:color w:val="000000"/>
          <w:kern w:val="0"/>
          <w:sz w:val="24"/>
          <w:szCs w:val="24"/>
          <w:highlight w:val="none"/>
          <w:lang w:val="en-US" w:eastAsia="zh-CN" w:bidi="ar"/>
        </w:rPr>
        <w:t>废弃土石方由建设单位统一运至</w:t>
      </w:r>
      <w:r>
        <w:rPr>
          <w:rFonts w:hint="eastAsia" w:ascii="仿宋" w:hAnsi="仿宋" w:eastAsia="仿宋" w:cs="仿宋"/>
          <w:color w:val="000000"/>
          <w:kern w:val="0"/>
          <w:sz w:val="24"/>
          <w:szCs w:val="24"/>
          <w:highlight w:val="none"/>
          <w:lang w:val="en-US" w:eastAsia="zh-CN" w:bidi="ar"/>
        </w:rPr>
        <w:t>秦家岸弃土场，水土流失防治责任由弃渣场承担。综上所述，本工程土石方平衡设计合理，有利于水土保持工程的开展实施，满足相关规定和要求。</w:t>
      </w:r>
    </w:p>
    <w:p>
      <w:pPr>
        <w:pStyle w:val="6"/>
        <w:bidi w:val="0"/>
        <w:spacing w:line="360" w:lineRule="auto"/>
        <w:outlineLvl w:val="1"/>
        <w:rPr>
          <w:rFonts w:hint="eastAsia"/>
          <w:lang w:val="en-US" w:eastAsia="zh-CN"/>
        </w:rPr>
      </w:pPr>
      <w:bookmarkStart w:id="210" w:name="_Toc14791"/>
      <w:bookmarkStart w:id="211" w:name="_Toc20908"/>
      <w:bookmarkStart w:id="212" w:name="_Toc5563"/>
      <w:bookmarkStart w:id="213" w:name="_Toc12434"/>
      <w:bookmarkStart w:id="214" w:name="_Toc9590"/>
      <w:bookmarkStart w:id="215" w:name="_Toc31441"/>
      <w:bookmarkStart w:id="216" w:name="_Toc21774"/>
      <w:bookmarkStart w:id="217" w:name="_Toc18539"/>
      <w:bookmarkStart w:id="218" w:name="_Toc22993"/>
      <w:bookmarkStart w:id="219" w:name="_Toc10476"/>
      <w:r>
        <w:rPr>
          <w:rFonts w:hint="eastAsia"/>
          <w:lang w:val="en-US" w:eastAsia="zh-CN"/>
        </w:rPr>
        <w:t>3.2.4取土（石、砂）场设置评价</w:t>
      </w:r>
      <w:bookmarkEnd w:id="210"/>
      <w:bookmarkEnd w:id="211"/>
      <w:bookmarkEnd w:id="212"/>
      <w:bookmarkEnd w:id="213"/>
      <w:bookmarkEnd w:id="214"/>
      <w:bookmarkEnd w:id="215"/>
      <w:bookmarkEnd w:id="216"/>
      <w:bookmarkEnd w:id="217"/>
      <w:bookmarkEnd w:id="218"/>
      <w:bookmarkEnd w:id="219"/>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本工程不设取土（石、料）场。</w:t>
      </w:r>
    </w:p>
    <w:p>
      <w:pPr>
        <w:pStyle w:val="6"/>
        <w:bidi w:val="0"/>
        <w:spacing w:line="360" w:lineRule="auto"/>
        <w:outlineLvl w:val="1"/>
        <w:rPr>
          <w:rFonts w:hint="eastAsia"/>
          <w:highlight w:val="none"/>
          <w:lang w:val="en-US" w:eastAsia="zh-CN"/>
        </w:rPr>
      </w:pPr>
      <w:bookmarkStart w:id="220" w:name="_Toc28503"/>
      <w:bookmarkStart w:id="221" w:name="_Toc18185"/>
      <w:bookmarkStart w:id="222" w:name="_Toc17347"/>
      <w:bookmarkStart w:id="223" w:name="_Toc20832"/>
      <w:bookmarkStart w:id="224" w:name="_Toc24228"/>
      <w:bookmarkStart w:id="225" w:name="_Toc21338"/>
      <w:bookmarkStart w:id="226" w:name="_Toc18954"/>
      <w:bookmarkStart w:id="227" w:name="_Toc12145"/>
      <w:bookmarkStart w:id="228" w:name="_Toc19430"/>
      <w:bookmarkStart w:id="229" w:name="_Toc17038"/>
      <w:r>
        <w:rPr>
          <w:rFonts w:hint="eastAsia"/>
          <w:lang w:val="en-US" w:eastAsia="zh-CN"/>
        </w:rPr>
        <w:t>3.2</w:t>
      </w:r>
      <w:r>
        <w:rPr>
          <w:rFonts w:hint="eastAsia"/>
          <w:highlight w:val="none"/>
          <w:lang w:val="en-US" w:eastAsia="zh-CN"/>
        </w:rPr>
        <w:t>.5弃土（石、渣、灰、矸石、尾矿）场设置评价</w:t>
      </w:r>
      <w:bookmarkEnd w:id="220"/>
      <w:bookmarkEnd w:id="221"/>
      <w:bookmarkEnd w:id="222"/>
      <w:bookmarkEnd w:id="223"/>
      <w:bookmarkEnd w:id="224"/>
      <w:bookmarkEnd w:id="225"/>
      <w:bookmarkEnd w:id="226"/>
      <w:bookmarkEnd w:id="227"/>
      <w:bookmarkEnd w:id="228"/>
      <w:bookmarkEnd w:id="229"/>
    </w:p>
    <w:p>
      <w:pPr>
        <w:adjustRightInd/>
        <w:snapToGrid/>
        <w:ind w:firstLine="480"/>
        <w:rPr>
          <w:rFonts w:hint="default" w:ascii="Times New Roman" w:hAnsi="Times New Roman" w:cs="Times New Roman"/>
          <w:color w:val="auto"/>
        </w:rPr>
      </w:pPr>
      <w:r>
        <w:rPr>
          <w:rFonts w:hint="eastAsia" w:eastAsia="仿宋_GB2312" w:cs="Times New Roman"/>
          <w:color w:val="auto"/>
          <w:kern w:val="1"/>
          <w:sz w:val="24"/>
          <w:szCs w:val="24"/>
          <w:lang w:eastAsia="zh-CN"/>
        </w:rPr>
        <w:t>本工程</w:t>
      </w:r>
      <w:r>
        <w:rPr>
          <w:rFonts w:hint="default" w:ascii="Times New Roman" w:hAnsi="Times New Roman" w:eastAsia="仿宋_GB2312" w:cs="Times New Roman"/>
          <w:color w:val="auto"/>
          <w:kern w:val="1"/>
          <w:sz w:val="24"/>
          <w:szCs w:val="24"/>
        </w:rPr>
        <w:t>废弃土石方由建设单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秦家岸弃土场，废弃土石方运至弃土场后水土流失责任由弃土场承担。</w:t>
      </w:r>
      <w:r>
        <w:rPr>
          <w:rFonts w:hint="default" w:ascii="Times New Roman" w:hAnsi="Times New Roman" w:cs="Times New Roman"/>
          <w:color w:val="auto"/>
        </w:rPr>
        <w:t>因此，本项目不另外设置弃渣场。</w:t>
      </w:r>
    </w:p>
    <w:p>
      <w:pPr>
        <w:ind w:firstLine="480" w:firstLineChars="200"/>
        <w:rPr>
          <w:rFonts w:hint="default" w:ascii="Times New Roman" w:hAnsi="Times New Roman" w:cs="Times New Roman"/>
          <w:color w:val="auto"/>
        </w:rPr>
      </w:pPr>
      <w:r>
        <w:rPr>
          <w:rFonts w:hint="default" w:ascii="Times New Roman" w:hAnsi="Times New Roman" w:cs="Times New Roman"/>
          <w:color w:val="auto"/>
        </w:rPr>
        <w:t>由于两项目相距较远，主体工程车辆出场前已经过洗车池，车身、车轮无泥土出场、弃方外运时已做好运输车辆具备密闭或覆盖装置，沿途无遗漏、遗撒等。</w:t>
      </w:r>
    </w:p>
    <w:p>
      <w:pPr>
        <w:ind w:firstLine="480" w:firstLineChars="200"/>
        <w:rPr>
          <w:rFonts w:hint="eastAsia" w:eastAsia="仿宋"/>
          <w:lang w:eastAsia="zh-CN"/>
        </w:rPr>
      </w:pPr>
      <w:r>
        <w:rPr>
          <w:rFonts w:hint="eastAsia" w:cs="Times New Roman"/>
          <w:color w:val="auto"/>
          <w:lang w:eastAsia="zh-CN"/>
        </w:rPr>
        <w:t>秦家岸弃土场</w:t>
      </w:r>
      <w:r>
        <w:rPr>
          <w:rFonts w:hint="default" w:ascii="Times New Roman" w:hAnsi="Times New Roman" w:cs="Times New Roman"/>
          <w:color w:val="auto"/>
        </w:rPr>
        <w:t>可容纳土石方总量约300万m</w:t>
      </w:r>
      <w:r>
        <w:rPr>
          <w:rFonts w:hint="default" w:ascii="Times New Roman" w:hAnsi="Times New Roman" w:cs="Times New Roman"/>
          <w:color w:val="auto"/>
          <w:vertAlign w:val="superscript"/>
        </w:rPr>
        <w:t>3</w:t>
      </w:r>
      <w:r>
        <w:rPr>
          <w:rFonts w:hint="default" w:ascii="Times New Roman" w:hAnsi="Times New Roman" w:cs="Times New Roman"/>
          <w:color w:val="auto"/>
        </w:rPr>
        <w:t>（截至202</w:t>
      </w:r>
      <w:r>
        <w:rPr>
          <w:rFonts w:hint="eastAsia" w:cs="Times New Roman"/>
          <w:color w:val="auto"/>
          <w:lang w:val="en-US" w:eastAsia="zh-CN"/>
        </w:rPr>
        <w:t>0</w:t>
      </w:r>
      <w:r>
        <w:rPr>
          <w:rFonts w:hint="default" w:ascii="Times New Roman" w:hAnsi="Times New Roman" w:cs="Times New Roman"/>
          <w:color w:val="auto"/>
        </w:rPr>
        <w:t>年1</w:t>
      </w:r>
      <w:r>
        <w:rPr>
          <w:rFonts w:hint="eastAsia" w:cs="Times New Roman"/>
          <w:color w:val="auto"/>
          <w:lang w:val="en-US" w:eastAsia="zh-CN"/>
        </w:rPr>
        <w:t>2</w:t>
      </w:r>
      <w:r>
        <w:rPr>
          <w:rFonts w:hint="default" w:ascii="Times New Roman" w:hAnsi="Times New Roman" w:cs="Times New Roman"/>
          <w:color w:val="auto"/>
        </w:rPr>
        <w:t>月，渣场剩余容量约120万m</w:t>
      </w:r>
      <w:r>
        <w:rPr>
          <w:rFonts w:hint="default" w:ascii="Times New Roman" w:hAnsi="Times New Roman" w:cs="Times New Roman"/>
          <w:color w:val="auto"/>
          <w:vertAlign w:val="superscript"/>
        </w:rPr>
        <w:t>3</w:t>
      </w:r>
      <w:r>
        <w:rPr>
          <w:rFonts w:hint="default" w:ascii="Times New Roman" w:hAnsi="Times New Roman" w:cs="Times New Roman"/>
          <w:color w:val="auto"/>
        </w:rPr>
        <w:t>），弃土场现状已布设的措施包括洗车池、临时排水沟、沉沙池及撒播草籽绿化等</w:t>
      </w:r>
      <w:r>
        <w:rPr>
          <w:rFonts w:hint="eastAsia" w:cs="Times New Roman"/>
          <w:color w:val="auto"/>
          <w:lang w:eastAsia="zh-CN"/>
        </w:rPr>
        <w:t>，</w:t>
      </w:r>
      <w:r>
        <w:rPr>
          <w:rFonts w:hint="default" w:ascii="Times New Roman" w:hAnsi="Times New Roman" w:cs="Times New Roman"/>
          <w:color w:val="auto"/>
        </w:rPr>
        <w:t>场内现状无水土流失隐患</w:t>
      </w:r>
      <w:r>
        <w:rPr>
          <w:rFonts w:hint="eastAsia" w:cs="Times New Roman"/>
          <w:color w:val="auto"/>
          <w:lang w:eastAsia="zh-CN"/>
        </w:rPr>
        <w:t>。符合水土保持要求。</w:t>
      </w:r>
    </w:p>
    <w:p>
      <w:pPr>
        <w:pStyle w:val="6"/>
        <w:bidi w:val="0"/>
        <w:spacing w:line="360" w:lineRule="auto"/>
        <w:outlineLvl w:val="1"/>
        <w:rPr>
          <w:rFonts w:hint="eastAsia"/>
          <w:lang w:val="en-US" w:eastAsia="zh-CN"/>
        </w:rPr>
      </w:pPr>
      <w:bookmarkStart w:id="230" w:name="_Toc17534"/>
      <w:bookmarkStart w:id="231" w:name="_Toc27660"/>
      <w:bookmarkStart w:id="232" w:name="_Toc29871"/>
      <w:bookmarkStart w:id="233" w:name="_Toc7125"/>
      <w:bookmarkStart w:id="234" w:name="_Toc27271"/>
      <w:bookmarkStart w:id="235" w:name="_Toc20923"/>
      <w:bookmarkStart w:id="236" w:name="_Toc11904"/>
      <w:bookmarkStart w:id="237" w:name="_Toc7944"/>
      <w:r>
        <w:rPr>
          <w:rFonts w:hint="eastAsia"/>
          <w:lang w:val="en-US" w:eastAsia="zh-CN"/>
        </w:rPr>
        <w:t>3.2.6施工方法与工艺评价</w:t>
      </w:r>
      <w:bookmarkEnd w:id="230"/>
      <w:bookmarkEnd w:id="231"/>
      <w:bookmarkEnd w:id="232"/>
      <w:bookmarkEnd w:id="233"/>
      <w:bookmarkEnd w:id="234"/>
      <w:bookmarkEnd w:id="235"/>
      <w:bookmarkEnd w:id="236"/>
      <w:bookmarkEnd w:id="237"/>
    </w:p>
    <w:p>
      <w:pPr>
        <w:bidi w:val="0"/>
        <w:ind w:firstLine="480" w:firstLineChars="200"/>
        <w:rPr>
          <w:rFonts w:hint="eastAsia"/>
          <w:lang w:val="en-US" w:eastAsia="zh-CN"/>
        </w:rPr>
      </w:pPr>
      <w:r>
        <w:rPr>
          <w:rFonts w:hint="eastAsia"/>
          <w:lang w:val="en-US" w:eastAsia="zh-CN"/>
        </w:rPr>
        <w:t>（1）施工时段分析评价</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highlight w:val="none"/>
          <w:lang w:val="en-US" w:eastAsia="zh-CN" w:bidi="ar-SA"/>
        </w:rPr>
        <w:t>本项目施工将经历雨季，降雨会</w:t>
      </w:r>
      <w:r>
        <w:rPr>
          <w:rFonts w:hint="eastAsia" w:ascii="Times New Roman" w:hAnsi="Times New Roman" w:eastAsia="仿宋_GB2312" w:cs="Times New Roman"/>
          <w:kern w:val="2"/>
          <w:sz w:val="24"/>
          <w:lang w:val="en-US" w:eastAsia="zh-CN" w:bidi="ar-SA"/>
        </w:rPr>
        <w:t>对施工期间裸露的地表产生冲刷，是不符合水土保持要求的，本方案针对上述情况对施工方在施工过程中提出相应的施工管理规定，明确强降雨天工程将停止施工，并按照土建工程养护要求，将会采取一定的排水遮蔽等措施，本方案还将补充完善相应的防护措施，合理组织施工期临时排水，能够满足过程中的水土保持要求。</w:t>
      </w:r>
    </w:p>
    <w:p>
      <w:pPr>
        <w:bidi w:val="0"/>
        <w:ind w:firstLine="480" w:firstLineChars="200"/>
        <w:rPr>
          <w:rFonts w:hint="eastAsia"/>
          <w:lang w:val="en-US" w:eastAsia="zh-CN"/>
        </w:rPr>
      </w:pPr>
      <w:r>
        <w:rPr>
          <w:rFonts w:hint="eastAsia"/>
          <w:lang w:val="en-US" w:eastAsia="zh-CN"/>
        </w:rPr>
        <w:t>（2）施工布置分析与评价</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工程施工生产生活区</w:t>
      </w:r>
      <w:r>
        <w:rPr>
          <w:rFonts w:hint="eastAsia" w:eastAsia="仿宋_GB2312" w:cs="Times New Roman"/>
          <w:kern w:val="2"/>
          <w:sz w:val="24"/>
          <w:lang w:val="en-US" w:eastAsia="zh-CN" w:bidi="ar-SA"/>
        </w:rPr>
        <w:t>采用租用项目区附近建筑</w:t>
      </w:r>
      <w:r>
        <w:rPr>
          <w:rFonts w:hint="eastAsia" w:ascii="Times New Roman" w:hAnsi="Times New Roman" w:eastAsia="仿宋_GB2312" w:cs="Times New Roman"/>
          <w:kern w:val="2"/>
          <w:sz w:val="24"/>
          <w:lang w:val="en-US" w:eastAsia="zh-CN" w:bidi="ar-SA"/>
        </w:rPr>
        <w:t>。从水土保持角度</w:t>
      </w:r>
      <w:r>
        <w:rPr>
          <w:rFonts w:hint="eastAsia" w:eastAsia="仿宋_GB2312" w:cs="Times New Roman"/>
          <w:kern w:val="2"/>
          <w:sz w:val="24"/>
          <w:lang w:val="en-US" w:eastAsia="zh-CN" w:bidi="ar-SA"/>
        </w:rPr>
        <w:t>，</w:t>
      </w:r>
      <w:r>
        <w:rPr>
          <w:rFonts w:hint="eastAsia" w:ascii="Times New Roman" w:hAnsi="Times New Roman" w:eastAsia="仿宋_GB2312" w:cs="Times New Roman"/>
          <w:kern w:val="2"/>
          <w:sz w:val="24"/>
          <w:lang w:val="en-US" w:eastAsia="zh-CN" w:bidi="ar-SA"/>
        </w:rPr>
        <w:t>减少了临时占地，施工道路大部分采用原有道路，减少了临时占地，减少了水土流失面积。施工临时措完整有效，满足水土保持要求。</w:t>
      </w:r>
    </w:p>
    <w:p>
      <w:pPr>
        <w:spacing w:line="360" w:lineRule="auto"/>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主体工程施工可直接利用主体工程已规划道路占地区域作为施工便道；进场公路主要利用已建成市政道路，工程不另设施工便道。从水土保持角度分析，施工道路采用原有道路，减少了临时占地，减少了水土流失面积。</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施工条件</w:t>
      </w:r>
    </w:p>
    <w:p>
      <w:pPr>
        <w:numPr>
          <w:ilvl w:val="0"/>
          <w:numId w:val="7"/>
        </w:num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施工材料</w:t>
      </w:r>
    </w:p>
    <w:p>
      <w:pPr>
        <w:numPr>
          <w:ilvl w:val="0"/>
          <w:numId w:val="0"/>
        </w:num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a、砂、砂砾</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本项目所需的砂砾石可在仪陇县当地通过合法料场商购，采用汽车运输至工程场地，相关的水土保持责任由于料场承担。场地周边均有已建道路相通，运输条件良好。</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b、水泥</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工程所需的水泥、石灰可在附近的石灰厂或建材市场择优购买。场地周边均有已建道路相通，运输条件良好。</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2、施工用水：本项目所在地水源较为丰富，用水可就近接市政供水管道。</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3、施工用电：区域内电网较完善，项目实施时可与相关部门联系，就近接线供电，保证项目施工。</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4、交通条件：仪陇县境内高等级公路：成巴高速公路、潆马路、云水路、琳琅大道等高等级快速路，形成四通八达的道路交通网络体系。</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项目建设时周边的道路已经建成通车，道路交通运输情况良好，完全满足项目相关材料运入和运出需要。</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施工组织</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从水土保持的角度来看，施工组织首先明确了建设指挥部和专职的监理部，这为管理好项目建设中的水土保持工作打下了牢靠的基础，在建设指挥部的统一管理下，建设单位可以根据批复的水土保持方案和设计，有计划、有针对性的完成相关水土保持措施的建设；而监理部则对这些水土保持措施的质量进行严格把关，确保水土保持措施能有效地发挥作用。</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施工工艺分析与评价</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①基础开挖与填筑</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根据业主提供的资料，工程基础的开挖和填筑对项目建设区的原始地貌造成了较大的变化，产生大量的裸露的地表，这将导致坡面径流速度加大，冲刷力增强。同时中期的施工直接导致地表原始植被的丧失和土壤结构的破坏，使得地表土壤的抗冲蚀能力降低，为水土流失的加剧创造了条件。</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a、挖方工程</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挖方工程在核实其成分及数量的条件下，以机械施工为主，人工施工为辅，布置多个作业面，对土方及松动的岩石，以挖土机或推土机作业，配以装载机和自卸翻斗车运至填方区域，严禁在路上滞留，以免造成新的水土流失。</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b、临时排水工程</w:t>
      </w:r>
    </w:p>
    <w:p>
      <w:pPr>
        <w:pStyle w:val="33"/>
        <w:ind w:firstLine="480"/>
        <w:rPr>
          <w:rFonts w:hint="default" w:ascii="Times New Roman" w:hAnsi="Times New Roman" w:eastAsia="仿宋_GB2312" w:cs="Times New Roman"/>
          <w:color w:val="auto"/>
        </w:rPr>
      </w:pPr>
      <w:r>
        <w:rPr>
          <w:rFonts w:hint="eastAsia" w:ascii="Times New Roman" w:hAnsi="Times New Roman" w:eastAsia="仿宋_GB2312" w:cs="Times New Roman"/>
          <w:kern w:val="2"/>
          <w:sz w:val="24"/>
          <w:highlight w:val="none"/>
          <w:lang w:val="en-US" w:eastAsia="zh-CN" w:bidi="ar-SA"/>
        </w:rPr>
        <w:t>本工程在项目四周布设了临时排水沟，</w:t>
      </w:r>
      <w:r>
        <w:rPr>
          <w:rFonts w:hint="default" w:ascii="Times New Roman" w:hAnsi="Times New Roman" w:eastAsia="仿宋_GB2312" w:cs="Times New Roman"/>
          <w:color w:val="auto"/>
        </w:rPr>
        <w:t>假定临时排水沟断面与尺寸</w:t>
      </w:r>
      <w:r>
        <w:rPr>
          <w:rFonts w:hint="default" w:ascii="Times New Roman" w:hAnsi="Times New Roman" w:eastAsia="仿宋_GB2312" w:cs="Times New Roman"/>
          <w:color w:val="auto"/>
          <w:sz w:val="24"/>
          <w:szCs w:val="24"/>
          <w:lang w:val="zh-CN"/>
        </w:rPr>
        <w:t>：</w:t>
      </w:r>
      <w:r>
        <w:rPr>
          <w:rFonts w:hint="eastAsia" w:ascii="Times New Roman" w:hAnsi="Times New Roman" w:eastAsia="仿宋_GB2312" w:cs="Times New Roman"/>
          <w:color w:val="auto"/>
          <w:sz w:val="24"/>
          <w:szCs w:val="24"/>
          <w:lang w:val="zh-CN" w:eastAsia="zh-CN"/>
        </w:rPr>
        <w:t>梯</w:t>
      </w:r>
      <w:r>
        <w:rPr>
          <w:rFonts w:hint="default" w:ascii="Times New Roman" w:hAnsi="Times New Roman" w:eastAsia="仿宋_GB2312" w:cs="Times New Roman"/>
          <w:color w:val="auto"/>
          <w:sz w:val="24"/>
          <w:szCs w:val="24"/>
          <w:lang w:val="zh-CN"/>
        </w:rPr>
        <w:t>形</w:t>
      </w:r>
      <w:r>
        <w:rPr>
          <w:rFonts w:hint="default" w:ascii="Times New Roman" w:hAnsi="Times New Roman" w:eastAsia="仿宋_GB2312" w:cs="Times New Roman"/>
          <w:color w:val="auto"/>
        </w:rPr>
        <w:t>断面，</w:t>
      </w:r>
      <w:r>
        <w:rPr>
          <w:rFonts w:hint="default" w:ascii="Times New Roman" w:hAnsi="Times New Roman" w:eastAsia="仿宋_GB2312" w:cs="Times New Roman"/>
          <w:color w:val="auto"/>
          <w:sz w:val="24"/>
          <w:szCs w:val="24"/>
          <w:lang w:val="zh-CN"/>
        </w:rPr>
        <w:t>底宽0.3m，顶宽0.6m，坡比1:0.5，深为0.3m</w:t>
      </w:r>
      <w:r>
        <w:rPr>
          <w:rFonts w:hint="default" w:ascii="Times New Roman" w:hAnsi="Times New Roman" w:eastAsia="仿宋_GB2312" w:cs="Times New Roman"/>
          <w:color w:val="auto"/>
        </w:rPr>
        <w:t>。过水能力按明渠恒定均匀流计算：</w:t>
      </w:r>
    </w:p>
    <w:p>
      <w:pPr>
        <w:pStyle w:val="33"/>
        <w:spacing w:line="240" w:lineRule="auto"/>
        <w:ind w:firstLine="48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24"/>
          <w:szCs w:val="18"/>
          <w:lang w:val="sq-AL"/>
        </w:rPr>
        <w:object>
          <v:shape id="_x0000_i1025" o:spt="75" type="#_x0000_t75" style="height:18.45pt;width:59.9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pStyle w:val="33"/>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w:t>
      </w:r>
      <w:r>
        <w:rPr>
          <w:rFonts w:hint="default" w:ascii="Times New Roman" w:hAnsi="Times New Roman" w:eastAsia="仿宋_GB2312" w:cs="Times New Roman"/>
          <w:i/>
          <w:color w:val="auto"/>
        </w:rPr>
        <w:t>A</w:t>
      </w:r>
      <w:r>
        <w:rPr>
          <w:rFonts w:hint="default" w:ascii="Times New Roman" w:hAnsi="Times New Roman" w:eastAsia="仿宋_GB2312" w:cs="Times New Roman"/>
          <w:color w:val="auto"/>
        </w:rPr>
        <w:t>—过水断面面积（</w:t>
      </w:r>
      <w:r>
        <w:rPr>
          <w:rFonts w:hint="eastAsia" w:eastAsia="仿宋_GB2312" w:cs="Times New Roman"/>
          <w:color w:val="auto"/>
          <w:lang w:eastAsia="zh-CN"/>
        </w:rPr>
        <w:t>m²</w:t>
      </w:r>
      <w:r>
        <w:rPr>
          <w:rFonts w:hint="default" w:ascii="Times New Roman" w:hAnsi="Times New Roman" w:eastAsia="仿宋_GB2312" w:cs="Times New Roman"/>
          <w:color w:val="auto"/>
        </w:rPr>
        <w:t>）；</w:t>
      </w:r>
    </w:p>
    <w:p>
      <w:pPr>
        <w:pStyle w:val="33"/>
        <w:spacing w:line="240" w:lineRule="auto"/>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C</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sq-AL"/>
        </w:rPr>
        <w:t>谢才系数</w:t>
      </w:r>
      <w:r>
        <w:rPr>
          <w:rFonts w:hint="default" w:ascii="Times New Roman" w:hAnsi="Times New Roman" w:eastAsia="仿宋_GB2312" w:cs="Times New Roman"/>
          <w:color w:val="auto"/>
          <w:position w:val="-24"/>
          <w:szCs w:val="18"/>
          <w:lang w:val="sq-AL"/>
        </w:rPr>
        <w:object>
          <v:shape id="_x0000_i1026" o:spt="75" type="#_x0000_t75" style="height:34.55pt;width:46.1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default" w:ascii="Times New Roman" w:hAnsi="Times New Roman" w:eastAsia="仿宋_GB2312" w:cs="Times New Roman"/>
          <w:color w:val="auto"/>
          <w:position w:val="-24"/>
          <w:lang w:val="sq-AL"/>
        </w:rPr>
        <w:t>；</w:t>
      </w:r>
      <w:r>
        <w:rPr>
          <w:rFonts w:hint="default" w:ascii="Times New Roman" w:hAnsi="Times New Roman" w:eastAsia="仿宋_GB2312" w:cs="Times New Roman"/>
          <w:i/>
          <w:color w:val="auto"/>
          <w:lang w:val="sq-AL"/>
        </w:rPr>
        <w:t>R</w:t>
      </w:r>
      <w:r>
        <w:rPr>
          <w:rFonts w:hint="default" w:ascii="Times New Roman" w:hAnsi="Times New Roman" w:eastAsia="仿宋_GB2312" w:cs="Times New Roman"/>
          <w:color w:val="auto"/>
          <w:lang w:val="sq-AL"/>
        </w:rPr>
        <w:t>—水力半径（=</w:t>
      </w:r>
      <w:r>
        <w:rPr>
          <w:rFonts w:hint="default" w:ascii="Times New Roman" w:hAnsi="Times New Roman" w:eastAsia="仿宋_GB2312" w:cs="Times New Roman"/>
          <w:i/>
          <w:color w:val="auto"/>
          <w:lang w:val="sq-AL"/>
        </w:rPr>
        <w:t>A/</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w:t>
      </w:r>
    </w:p>
    <w:p>
      <w:pPr>
        <w:pStyle w:val="33"/>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—糙率</w:t>
      </w:r>
      <w:r>
        <w:rPr>
          <w:rFonts w:hint="eastAsia" w:ascii="Times New Roman" w:hAnsi="Times New Roman" w:cs="Times New Roman"/>
          <w:color w:val="auto"/>
          <w:lang w:val="sq-AL" w:eastAsia="zh-CN"/>
        </w:rPr>
        <w:t>，</w:t>
      </w:r>
      <w:r>
        <w:rPr>
          <w:rFonts w:hint="default" w:ascii="Times New Roman" w:hAnsi="Times New Roman" w:eastAsia="仿宋_GB2312" w:cs="Times New Roman"/>
          <w:color w:val="auto"/>
          <w:lang w:val="sq-AL"/>
        </w:rPr>
        <w:t>取</w:t>
      </w: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=0.0</w:t>
      </w:r>
      <w:r>
        <w:rPr>
          <w:rFonts w:hint="default" w:ascii="Times New Roman" w:hAnsi="Times New Roman" w:eastAsia="仿宋_GB2312" w:cs="Times New Roman"/>
          <w:color w:val="auto"/>
        </w:rPr>
        <w:t>15</w:t>
      </w:r>
      <w:r>
        <w:rPr>
          <w:rFonts w:hint="default" w:ascii="Times New Roman" w:hAnsi="Times New Roman" w:eastAsia="仿宋_GB2312" w:cs="Times New Roman"/>
          <w:color w:val="auto"/>
          <w:lang w:val="sq-AL"/>
        </w:rPr>
        <w:t>；</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—湿周；</w:t>
      </w:r>
      <w:r>
        <w:rPr>
          <w:rFonts w:hint="default" w:ascii="Times New Roman" w:hAnsi="Times New Roman" w:eastAsia="仿宋_GB2312" w:cs="Times New Roman"/>
          <w:i/>
          <w:color w:val="auto"/>
          <w:lang w:val="sq-AL"/>
        </w:rPr>
        <w:t>i</w:t>
      </w:r>
      <w:r>
        <w:rPr>
          <w:rFonts w:hint="default" w:ascii="Times New Roman" w:hAnsi="Times New Roman" w:eastAsia="仿宋_GB2312" w:cs="Times New Roman"/>
          <w:color w:val="auto"/>
          <w:lang w:val="sq-AL"/>
        </w:rPr>
        <w:t>—沟道纵坡，取</w:t>
      </w:r>
      <w:r>
        <w:rPr>
          <w:rFonts w:hint="default" w:ascii="Times New Roman" w:hAnsi="Times New Roman" w:eastAsia="仿宋_GB2312" w:cs="Times New Roman"/>
          <w:color w:val="auto"/>
        </w:rPr>
        <w:t>5</w:t>
      </w:r>
      <w:r>
        <w:rPr>
          <w:rFonts w:hint="default" w:ascii="Times New Roman" w:hAnsi="Times New Roman" w:eastAsia="仿宋_GB2312" w:cs="Times New Roman"/>
          <w:color w:val="auto"/>
          <w:lang w:val="sq-AL"/>
        </w:rPr>
        <w:t>‰。</w:t>
      </w:r>
    </w:p>
    <w:p>
      <w:pPr>
        <w:tabs>
          <w:tab w:val="left" w:pos="422"/>
        </w:tabs>
        <w:spacing w:line="360" w:lineRule="auto"/>
        <w:ind w:firstLine="480"/>
        <w:rPr>
          <w:rFonts w:hint="default" w:ascii="Times New Roman" w:hAnsi="Times New Roman" w:eastAsia="仿宋_GB2312" w:cs="Times New Roman"/>
          <w:color w:val="auto"/>
          <w:sz w:val="24"/>
          <w:szCs w:val="22"/>
          <w:lang w:val="en-US" w:eastAsia="zh-CN"/>
        </w:rPr>
      </w:pPr>
      <w:r>
        <w:rPr>
          <w:rFonts w:hint="default" w:ascii="Times New Roman" w:hAnsi="Times New Roman" w:eastAsia="仿宋_GB2312" w:cs="Times New Roman"/>
          <w:color w:val="auto"/>
          <w:sz w:val="24"/>
          <w:szCs w:val="22"/>
          <w:lang w:val="en-US" w:eastAsia="zh-CN"/>
        </w:rPr>
        <w:t>经计算排水沟过流能力Q=0.0</w:t>
      </w:r>
      <w:r>
        <w:rPr>
          <w:rFonts w:hint="eastAsia" w:ascii="Times New Roman" w:hAnsi="Times New Roman" w:eastAsia="仿宋_GB2312" w:cs="Times New Roman"/>
          <w:color w:val="auto"/>
          <w:sz w:val="24"/>
          <w:szCs w:val="22"/>
          <w:lang w:val="en-US" w:eastAsia="zh-CN"/>
        </w:rPr>
        <w:t>8</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r>
        <w:rPr>
          <w:rFonts w:hint="default" w:ascii="Times New Roman" w:hAnsi="Times New Roman" w:eastAsia="仿宋_GB2312" w:cs="Times New Roman"/>
          <w:color w:val="auto"/>
          <w:sz w:val="24"/>
          <w:szCs w:val="22"/>
          <w:lang w:val="en-US" w:eastAsia="zh-CN"/>
        </w:rPr>
        <w:t>大于洪峰流量Qs=0.06</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c、填方工程</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填方工程在施工过程中以装载机或推土机伴以人工整找平，或采用平地机找平，压路机碾压密实。挖、填方区域应根据施工情况及时修建各类临时措施、工程措施和植物措施，将可能造成的水土流失降低到最小。</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根据目前的设计阶段分析，本《方案》认为：</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①合理安排施工计划、施工程序，基础开挖施工应尽量避开雨天，如无法错开雨天，施工时应及时掌握雨情，作好大雨之前的防护措施，避免易受侵蚀或新填挖的裸露面受到雨水的直接冲刷。</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②从水土保持角度看，只要在施工过程中加强组织与管理，可有效防止施工期间新增水土流失量的产生，符合水土保持技术要求。</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r>
        <w:rPr>
          <w:rFonts w:hint="eastAsia" w:ascii="Times New Roman" w:hAnsi="Times New Roman" w:eastAsia="仿宋_GB2312" w:cs="Times New Roman"/>
          <w:kern w:val="2"/>
          <w:sz w:val="24"/>
          <w:highlight w:val="none"/>
          <w:lang w:val="en-US" w:eastAsia="zh-CN" w:bidi="ar-SA"/>
        </w:rPr>
        <w:t>综上所述，本项目施工方法（工艺）满足水土保持要求。</w:t>
      </w:r>
    </w:p>
    <w:p>
      <w:pPr>
        <w:pStyle w:val="6"/>
        <w:bidi w:val="0"/>
        <w:spacing w:line="360" w:lineRule="auto"/>
        <w:outlineLvl w:val="1"/>
        <w:rPr>
          <w:rFonts w:hint="eastAsia"/>
          <w:lang w:val="en-US" w:eastAsia="zh-CN"/>
        </w:rPr>
      </w:pPr>
      <w:bookmarkStart w:id="238" w:name="_Toc18678"/>
      <w:bookmarkStart w:id="239" w:name="_Toc23959"/>
      <w:bookmarkStart w:id="240" w:name="_Toc10756"/>
      <w:bookmarkStart w:id="241" w:name="_Toc4352"/>
      <w:bookmarkStart w:id="242" w:name="_Toc32556"/>
      <w:bookmarkStart w:id="243" w:name="_Toc18749"/>
      <w:bookmarkStart w:id="244" w:name="_Toc30587"/>
      <w:bookmarkStart w:id="245" w:name="_Toc8093"/>
      <w:bookmarkStart w:id="246" w:name="_Toc32527"/>
      <w:bookmarkStart w:id="247" w:name="_Toc12072"/>
      <w:r>
        <w:rPr>
          <w:rFonts w:hint="eastAsia"/>
          <w:lang w:val="en-US" w:eastAsia="zh-CN"/>
        </w:rPr>
        <w:t>3.2.7主体工程设计中具有水土保持功能工程的评价</w:t>
      </w:r>
      <w:bookmarkEnd w:id="238"/>
      <w:bookmarkEnd w:id="239"/>
      <w:bookmarkEnd w:id="240"/>
      <w:bookmarkEnd w:id="241"/>
      <w:bookmarkEnd w:id="242"/>
      <w:bookmarkEnd w:id="243"/>
      <w:bookmarkEnd w:id="244"/>
      <w:bookmarkEnd w:id="245"/>
      <w:bookmarkEnd w:id="246"/>
      <w:bookmarkEnd w:id="247"/>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项目在施工期间存在水土流失现象，</w:t>
      </w:r>
      <w:r>
        <w:rPr>
          <w:rFonts w:hint="eastAsia" w:eastAsia="仿宋_GB2312" w:cs="Times New Roman"/>
          <w:kern w:val="2"/>
          <w:sz w:val="24"/>
          <w:lang w:val="en-US" w:eastAsia="zh-CN" w:bidi="ar-SA"/>
        </w:rPr>
        <w:t>但到项目地</w:t>
      </w:r>
      <w:r>
        <w:rPr>
          <w:szCs w:val="22"/>
        </w:rPr>
        <w:t>现场踏勘</w:t>
      </w:r>
      <w:r>
        <w:rPr>
          <w:rFonts w:hint="eastAsia"/>
          <w:szCs w:val="22"/>
          <w:lang w:eastAsia="zh-CN"/>
        </w:rPr>
        <w:t>时项目出入口设有洗车槽一座。</w:t>
      </w:r>
      <w:r>
        <w:rPr>
          <w:rFonts w:hint="eastAsia" w:eastAsia="仿宋_GB2312" w:cs="Times New Roman"/>
          <w:kern w:val="2"/>
          <w:sz w:val="24"/>
          <w:lang w:val="en-US" w:eastAsia="zh-CN" w:bidi="ar-SA"/>
        </w:rPr>
        <w:t>场地</w:t>
      </w:r>
      <w:r>
        <w:rPr>
          <w:rFonts w:hint="eastAsia" w:ascii="Times New Roman" w:hAnsi="Times New Roman" w:eastAsia="仿宋_GB2312" w:cs="Times New Roman"/>
          <w:kern w:val="2"/>
          <w:sz w:val="24"/>
          <w:lang w:val="en-US" w:eastAsia="zh-CN" w:bidi="ar-SA"/>
        </w:rPr>
        <w:t>硬化已经完成，场地内已有部分绿化，后续</w:t>
      </w:r>
      <w:r>
        <w:rPr>
          <w:rFonts w:hint="eastAsia" w:eastAsia="仿宋_GB2312" w:cs="Times New Roman"/>
          <w:kern w:val="2"/>
          <w:sz w:val="24"/>
          <w:lang w:val="en-US" w:eastAsia="zh-CN" w:bidi="ar-SA"/>
        </w:rPr>
        <w:t>进行绿化后</w:t>
      </w:r>
      <w:r>
        <w:rPr>
          <w:rFonts w:hint="eastAsia" w:ascii="Times New Roman" w:hAnsi="Times New Roman" w:eastAsia="仿宋_GB2312" w:cs="Times New Roman"/>
          <w:kern w:val="2"/>
          <w:sz w:val="24"/>
          <w:lang w:val="en-US" w:eastAsia="zh-CN" w:bidi="ar-SA"/>
        </w:rPr>
        <w:t>水土流失现象</w:t>
      </w:r>
      <w:r>
        <w:rPr>
          <w:rFonts w:hint="eastAsia" w:eastAsia="仿宋_GB2312" w:cs="Times New Roman"/>
          <w:kern w:val="2"/>
          <w:sz w:val="24"/>
          <w:lang w:val="en-US" w:eastAsia="zh-CN" w:bidi="ar-SA"/>
        </w:rPr>
        <w:t>将降到最低</w:t>
      </w:r>
      <w:r>
        <w:rPr>
          <w:rFonts w:hint="eastAsia" w:ascii="Times New Roman" w:hAnsi="Times New Roman" w:eastAsia="仿宋_GB2312" w:cs="Times New Roman"/>
          <w:kern w:val="2"/>
          <w:sz w:val="24"/>
          <w:lang w:val="en-US" w:eastAsia="zh-CN" w:bidi="ar-SA"/>
        </w:rPr>
        <w:t>，符合水土保持相关规范。</w:t>
      </w:r>
    </w:p>
    <w:p>
      <w:pPr>
        <w:pStyle w:val="7"/>
        <w:ind w:left="0" w:leftChars="0" w:firstLine="0" w:firstLineChars="0"/>
        <w:rPr>
          <w:rFonts w:hint="eastAsia"/>
          <w:color w:val="000000"/>
        </w:rPr>
      </w:pPr>
      <w:r>
        <w:rPr>
          <w:rFonts w:hint="eastAsia"/>
          <w:color w:val="000000"/>
        </w:rPr>
        <w:t>3.2.7.1 主体工程中具有水土保持功能，不界定为水土保持措施的评价</w:t>
      </w:r>
    </w:p>
    <w:p>
      <w:pPr>
        <w:ind w:firstLine="480"/>
        <w:rPr>
          <w:color w:val="000000"/>
          <w:highlight w:val="none"/>
        </w:rPr>
      </w:pPr>
      <w:r>
        <w:rPr>
          <w:rFonts w:hint="eastAsia"/>
          <w:color w:val="000000"/>
          <w:highlight w:val="none"/>
          <w:lang w:eastAsia="zh-CN"/>
        </w:rPr>
        <w:t>（</w:t>
      </w:r>
      <w:r>
        <w:rPr>
          <w:rFonts w:hint="eastAsia"/>
          <w:color w:val="000000"/>
          <w:highlight w:val="none"/>
          <w:lang w:val="en-US" w:eastAsia="zh-CN"/>
        </w:rPr>
        <w:t>1</w:t>
      </w:r>
      <w:r>
        <w:rPr>
          <w:rFonts w:hint="eastAsia"/>
          <w:color w:val="000000"/>
          <w:highlight w:val="none"/>
          <w:lang w:eastAsia="zh-CN"/>
        </w:rPr>
        <w:t>）</w:t>
      </w:r>
      <w:r>
        <w:rPr>
          <w:rFonts w:hint="eastAsia"/>
          <w:color w:val="000000"/>
          <w:highlight w:val="none"/>
        </w:rPr>
        <w:t>道路及硬化工程</w:t>
      </w:r>
    </w:p>
    <w:p>
      <w:pPr>
        <w:ind w:firstLine="480"/>
        <w:rPr>
          <w:rFonts w:hint="eastAsia"/>
          <w:color w:val="000000"/>
          <w:highlight w:val="none"/>
        </w:rPr>
      </w:pPr>
      <w:r>
        <w:rPr>
          <w:rFonts w:hint="eastAsia"/>
          <w:color w:val="000000"/>
          <w:highlight w:val="none"/>
        </w:rPr>
        <w:t>路面底基层和路面硬化主要是为了行车需要，兼有水土保持功能。尤其是路面浇筑后，不会再产生水土流失，但这些工程不属于水土保持措施。</w:t>
      </w:r>
    </w:p>
    <w:p>
      <w:pPr>
        <w:ind w:firstLine="480"/>
        <w:rPr>
          <w:color w:val="000000"/>
          <w:highlight w:val="none"/>
        </w:rPr>
      </w:pPr>
      <w:r>
        <w:rPr>
          <w:rFonts w:hint="eastAsia"/>
          <w:color w:val="000000"/>
          <w:highlight w:val="none"/>
        </w:rPr>
        <w:t>（2）围墙</w:t>
      </w:r>
    </w:p>
    <w:p>
      <w:pPr>
        <w:ind w:firstLine="480"/>
        <w:rPr>
          <w:rFonts w:hint="eastAsia" w:eastAsia="仿宋"/>
          <w:lang w:val="en-US" w:eastAsia="zh-CN"/>
        </w:rPr>
      </w:pPr>
      <w:r>
        <w:rPr>
          <w:rFonts w:hint="eastAsia"/>
          <w:color w:val="000000"/>
          <w:highlight w:val="none"/>
        </w:rPr>
        <w:t>为保障工程区施工安全，减少项目建设对周边环境的不利影响，主体</w:t>
      </w:r>
      <w:r>
        <w:rPr>
          <w:rFonts w:hint="eastAsia"/>
          <w:color w:val="000000"/>
          <w:highlight w:val="none"/>
          <w:lang w:val="en-US" w:eastAsia="zh-CN"/>
        </w:rPr>
        <w:t>将在</w:t>
      </w:r>
      <w:r>
        <w:rPr>
          <w:rFonts w:hint="eastAsia"/>
          <w:color w:val="000000"/>
          <w:highlight w:val="none"/>
        </w:rPr>
        <w:t>工程区</w:t>
      </w:r>
      <w:r>
        <w:rPr>
          <w:rFonts w:hint="eastAsia"/>
          <w:color w:val="000000"/>
          <w:highlight w:val="none"/>
          <w:lang w:val="en-US" w:eastAsia="zh-CN"/>
        </w:rPr>
        <w:t>的</w:t>
      </w:r>
      <w:r>
        <w:rPr>
          <w:rFonts w:hint="eastAsia"/>
          <w:color w:val="000000"/>
          <w:highlight w:val="none"/>
        </w:rPr>
        <w:t>外围处修建围墙。围墙在雨季能够防止工程区内的含沙径流四处扩散，堵塞市政管道，对周边环境产生不利影响，具有一定的水土保持功能。但其设置主要是为了防盗、保障施工顺利进行，不纳入主体工程设计的具有水土保持功能的措施。</w:t>
      </w:r>
    </w:p>
    <w:p>
      <w:pPr>
        <w:pStyle w:val="7"/>
        <w:ind w:left="0" w:leftChars="0" w:firstLine="0" w:firstLineChars="0"/>
        <w:rPr>
          <w:color w:val="000000"/>
        </w:rPr>
      </w:pPr>
      <w:r>
        <w:rPr>
          <w:rFonts w:hint="eastAsia"/>
          <w:color w:val="000000"/>
        </w:rPr>
        <w:t>3.2.7.2主体工程设计具有水土保持功能工程的分析评价</w:t>
      </w:r>
    </w:p>
    <w:p>
      <w:pPr>
        <w:ind w:firstLine="480"/>
        <w:rPr>
          <w:rFonts w:hint="eastAsia"/>
          <w:color w:val="000000"/>
        </w:rPr>
      </w:pPr>
      <w:r>
        <w:rPr>
          <w:rFonts w:hint="eastAsia"/>
          <w:color w:val="000000"/>
        </w:rPr>
        <w:t>根据对主体工程的分析，本项目主体工程中界定为水土保持措施的主要有</w:t>
      </w:r>
      <w:r>
        <w:rPr>
          <w:rFonts w:hint="eastAsia"/>
          <w:color w:val="000000"/>
          <w:lang w:eastAsia="zh-CN"/>
        </w:rPr>
        <w:t>临时排水沟、沉砂池、</w:t>
      </w:r>
      <w:r>
        <w:rPr>
          <w:rFonts w:hint="eastAsia"/>
          <w:color w:val="000000"/>
        </w:rPr>
        <w:t>雨水</w:t>
      </w:r>
      <w:r>
        <w:rPr>
          <w:rFonts w:hint="eastAsia"/>
          <w:color w:val="000000"/>
          <w:lang w:val="en-US" w:eastAsia="zh-CN"/>
        </w:rPr>
        <w:t>排水</w:t>
      </w:r>
      <w:r>
        <w:rPr>
          <w:rFonts w:hint="eastAsia"/>
          <w:color w:val="000000"/>
        </w:rPr>
        <w:t>管</w:t>
      </w:r>
      <w:r>
        <w:rPr>
          <w:rFonts w:hint="eastAsia"/>
          <w:color w:val="000000"/>
          <w:lang w:eastAsia="zh-CN"/>
        </w:rPr>
        <w:t>及</w:t>
      </w:r>
      <w:r>
        <w:rPr>
          <w:rFonts w:hint="eastAsia"/>
          <w:color w:val="000000"/>
        </w:rPr>
        <w:t>景观绿化</w:t>
      </w:r>
      <w:r>
        <w:rPr>
          <w:rFonts w:hint="eastAsia"/>
          <w:color w:val="000000"/>
          <w:lang w:val="en-US" w:eastAsia="zh-CN"/>
        </w:rPr>
        <w:t>等</w:t>
      </w:r>
      <w:r>
        <w:rPr>
          <w:rFonts w:hint="eastAsia"/>
          <w:color w:val="000000"/>
        </w:rPr>
        <w:t>，这些措施均有良好的水土保持效果，界定为水土保持措施，其投资纳入主体工程已有水土保持措施投资中。</w:t>
      </w:r>
    </w:p>
    <w:p>
      <w:pPr>
        <w:numPr>
          <w:ilvl w:val="0"/>
          <w:numId w:val="0"/>
        </w:numPr>
        <w:jc w:val="both"/>
        <w:rPr>
          <w:rFonts w:hint="eastAsia" w:eastAsia="宋体" w:cs="Times New Roman"/>
          <w:color w:val="000000"/>
          <w:kern w:val="0"/>
          <w:sz w:val="24"/>
          <w:szCs w:val="24"/>
          <w:lang w:val="en-US" w:eastAsia="zh-CN" w:bidi="ar"/>
        </w:rPr>
      </w:pPr>
      <w:r>
        <w:rPr>
          <w:rFonts w:hint="eastAsia" w:ascii="仿宋_GB2312" w:hAnsi="仿宋_GB2312" w:eastAsia="仿宋_GB2312" w:cs="仿宋_GB2312"/>
          <w:b/>
          <w:bCs/>
          <w:szCs w:val="16"/>
          <w:lang w:val="en-US" w:eastAsia="zh-CN"/>
        </w:rPr>
        <w:t>一、建筑构物区</w:t>
      </w:r>
    </w:p>
    <w:p>
      <w:pPr>
        <w:keepNext w:val="0"/>
        <w:keepLines w:val="0"/>
        <w:widowControl/>
        <w:suppressLineNumbers w:val="0"/>
        <w:ind w:firstLine="480" w:firstLineChars="200"/>
        <w:jc w:val="left"/>
      </w:pPr>
      <w:r>
        <w:rPr>
          <w:rFonts w:hint="eastAsia" w:eastAsia="宋体" w:cs="Times New Roman"/>
          <w:color w:val="000000"/>
          <w:kern w:val="0"/>
          <w:sz w:val="24"/>
          <w:szCs w:val="24"/>
          <w:lang w:val="en-US" w:eastAsia="zh-CN" w:bidi="ar"/>
        </w:rPr>
        <w:t>1</w:t>
      </w:r>
      <w:r>
        <w:rPr>
          <w:rFonts w:ascii="仿宋" w:hAnsi="仿宋" w:eastAsia="仿宋" w:cs="仿宋"/>
          <w:color w:val="000000"/>
          <w:kern w:val="0"/>
          <w:sz w:val="24"/>
          <w:szCs w:val="24"/>
          <w:lang w:val="en-US" w:eastAsia="zh-CN" w:bidi="ar"/>
        </w:rPr>
        <w:t>、临时措施</w:t>
      </w:r>
    </w:p>
    <w:p>
      <w:pPr>
        <w:bidi w:val="0"/>
        <w:ind w:firstLine="240" w:firstLineChars="1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临时</w:t>
      </w:r>
      <w:r>
        <w:rPr>
          <w:rFonts w:hint="eastAsia" w:ascii="仿宋" w:hAnsi="仿宋" w:eastAsia="仿宋" w:cs="仿宋"/>
          <w:color w:val="000000"/>
          <w:kern w:val="0"/>
          <w:sz w:val="24"/>
          <w:szCs w:val="24"/>
          <w:lang w:val="en-US" w:eastAsia="zh-CN" w:bidi="ar"/>
        </w:rPr>
        <w:t>排水沟</w:t>
      </w:r>
    </w:p>
    <w:p>
      <w:pPr>
        <w:pStyle w:val="33"/>
        <w:ind w:firstLine="480"/>
        <w:rPr>
          <w:rFonts w:hint="default" w:ascii="Times New Roman" w:hAnsi="Times New Roman" w:eastAsia="仿宋_GB2312" w:cs="Times New Roman"/>
          <w:color w:val="auto"/>
        </w:rPr>
      </w:pPr>
      <w:r>
        <w:rPr>
          <w:rFonts w:hint="eastAsia" w:ascii="仿宋" w:hAnsi="仿宋" w:eastAsia="仿宋" w:cs="仿宋"/>
          <w:color w:val="000000"/>
          <w:kern w:val="0"/>
          <w:sz w:val="24"/>
          <w:szCs w:val="24"/>
          <w:lang w:val="en-US" w:eastAsia="zh-CN" w:bidi="ar"/>
        </w:rPr>
        <w:t>项目区沿</w:t>
      </w:r>
      <w:r>
        <w:rPr>
          <w:rFonts w:hint="eastAsia" w:ascii="仿宋" w:hAnsi="仿宋" w:cs="仿宋"/>
          <w:color w:val="000000"/>
          <w:kern w:val="0"/>
          <w:sz w:val="24"/>
          <w:szCs w:val="24"/>
          <w:lang w:val="en-US" w:eastAsia="zh-CN" w:bidi="ar"/>
        </w:rPr>
        <w:t>建筑周围</w:t>
      </w:r>
      <w:r>
        <w:rPr>
          <w:rFonts w:hint="eastAsia" w:ascii="仿宋" w:hAnsi="仿宋" w:eastAsia="仿宋" w:cs="仿宋"/>
          <w:color w:val="000000"/>
          <w:kern w:val="0"/>
          <w:sz w:val="24"/>
          <w:szCs w:val="24"/>
          <w:lang w:val="en-US" w:eastAsia="zh-CN" w:bidi="ar"/>
        </w:rPr>
        <w:t>设置临时排水沟</w:t>
      </w:r>
      <w:r>
        <w:rPr>
          <w:rFonts w:hint="eastAsia" w:ascii="仿宋" w:hAnsi="仿宋" w:cs="仿宋"/>
          <w:color w:val="000000"/>
          <w:kern w:val="0"/>
          <w:sz w:val="24"/>
          <w:szCs w:val="24"/>
          <w:lang w:val="en-US" w:eastAsia="zh-CN" w:bidi="ar"/>
        </w:rPr>
        <w:t>170m，</w:t>
      </w:r>
      <w:r>
        <w:rPr>
          <w:rFonts w:hint="eastAsia" w:ascii="Times New Roman" w:hAnsi="Times New Roman" w:eastAsia="仿宋_GB2312" w:cs="Times New Roman"/>
          <w:color w:val="auto"/>
          <w:sz w:val="24"/>
          <w:szCs w:val="24"/>
          <w:lang w:val="zh-CN" w:eastAsia="zh-CN"/>
        </w:rPr>
        <w:t>梯</w:t>
      </w:r>
      <w:r>
        <w:rPr>
          <w:rFonts w:hint="default" w:ascii="Times New Roman" w:hAnsi="Times New Roman" w:eastAsia="仿宋_GB2312" w:cs="Times New Roman"/>
          <w:color w:val="auto"/>
          <w:sz w:val="24"/>
          <w:szCs w:val="24"/>
          <w:lang w:val="zh-CN"/>
        </w:rPr>
        <w:t>形</w:t>
      </w:r>
      <w:r>
        <w:rPr>
          <w:rFonts w:hint="default" w:ascii="Times New Roman" w:hAnsi="Times New Roman" w:eastAsia="仿宋_GB2312" w:cs="Times New Roman"/>
          <w:color w:val="auto"/>
        </w:rPr>
        <w:t>断面，</w:t>
      </w:r>
      <w:r>
        <w:rPr>
          <w:rFonts w:hint="default" w:ascii="Times New Roman" w:hAnsi="Times New Roman" w:eastAsia="仿宋_GB2312" w:cs="Times New Roman"/>
          <w:color w:val="auto"/>
          <w:sz w:val="24"/>
          <w:szCs w:val="24"/>
          <w:lang w:val="zh-CN"/>
        </w:rPr>
        <w:t>底宽0.3m，顶宽0.6m，坡比1:0.5，深为0.3m</w:t>
      </w:r>
      <w:r>
        <w:rPr>
          <w:rFonts w:hint="default" w:ascii="Times New Roman" w:hAnsi="Times New Roman" w:eastAsia="仿宋_GB2312" w:cs="Times New Roman"/>
          <w:color w:val="auto"/>
        </w:rPr>
        <w:t>。过水能力按明渠恒定均匀流计算：</w:t>
      </w:r>
    </w:p>
    <w:p>
      <w:pPr>
        <w:pStyle w:val="33"/>
        <w:spacing w:line="240" w:lineRule="auto"/>
        <w:ind w:firstLine="48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24"/>
          <w:szCs w:val="18"/>
          <w:lang w:val="sq-AL"/>
        </w:rPr>
        <w:object>
          <v:shape id="_x0000_i1027" o:spt="75" type="#_x0000_t75" style="height:18.45pt;width:59.9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21">
            <o:LockedField>false</o:LockedField>
          </o:OLEObject>
        </w:object>
      </w:r>
    </w:p>
    <w:p>
      <w:pPr>
        <w:pStyle w:val="33"/>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w:t>
      </w:r>
      <w:r>
        <w:rPr>
          <w:rFonts w:hint="default" w:ascii="Times New Roman" w:hAnsi="Times New Roman" w:eastAsia="仿宋_GB2312" w:cs="Times New Roman"/>
          <w:i/>
          <w:color w:val="auto"/>
        </w:rPr>
        <w:t>A</w:t>
      </w:r>
      <w:r>
        <w:rPr>
          <w:rFonts w:hint="default" w:ascii="Times New Roman" w:hAnsi="Times New Roman" w:eastAsia="仿宋_GB2312" w:cs="Times New Roman"/>
          <w:color w:val="auto"/>
        </w:rPr>
        <w:t>—过水断面面积（</w:t>
      </w:r>
      <w:r>
        <w:rPr>
          <w:rFonts w:hint="eastAsia" w:eastAsia="仿宋_GB2312" w:cs="Times New Roman"/>
          <w:color w:val="auto"/>
          <w:lang w:eastAsia="zh-CN"/>
        </w:rPr>
        <w:t>m²</w:t>
      </w:r>
      <w:r>
        <w:rPr>
          <w:rFonts w:hint="default" w:ascii="Times New Roman" w:hAnsi="Times New Roman" w:eastAsia="仿宋_GB2312" w:cs="Times New Roman"/>
          <w:color w:val="auto"/>
        </w:rPr>
        <w:t>）；</w:t>
      </w:r>
    </w:p>
    <w:p>
      <w:pPr>
        <w:pStyle w:val="33"/>
        <w:spacing w:line="240" w:lineRule="auto"/>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C</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sq-AL"/>
        </w:rPr>
        <w:t>谢才系数</w:t>
      </w:r>
      <w:r>
        <w:rPr>
          <w:rFonts w:hint="default" w:ascii="Times New Roman" w:hAnsi="Times New Roman" w:eastAsia="仿宋_GB2312" w:cs="Times New Roman"/>
          <w:color w:val="auto"/>
          <w:position w:val="-24"/>
          <w:szCs w:val="18"/>
          <w:lang w:val="sq-AL"/>
        </w:rPr>
        <w:object>
          <v:shape id="_x0000_i1028" o:spt="75" type="#_x0000_t75" style="height:34.55pt;width:46.1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22">
            <o:LockedField>false</o:LockedField>
          </o:OLEObject>
        </w:object>
      </w:r>
      <w:r>
        <w:rPr>
          <w:rFonts w:hint="default" w:ascii="Times New Roman" w:hAnsi="Times New Roman" w:eastAsia="仿宋_GB2312" w:cs="Times New Roman"/>
          <w:color w:val="auto"/>
          <w:position w:val="-24"/>
          <w:lang w:val="sq-AL"/>
        </w:rPr>
        <w:t>；</w:t>
      </w:r>
      <w:r>
        <w:rPr>
          <w:rFonts w:hint="default" w:ascii="Times New Roman" w:hAnsi="Times New Roman" w:eastAsia="仿宋_GB2312" w:cs="Times New Roman"/>
          <w:i/>
          <w:color w:val="auto"/>
          <w:lang w:val="sq-AL"/>
        </w:rPr>
        <w:t>R</w:t>
      </w:r>
      <w:r>
        <w:rPr>
          <w:rFonts w:hint="default" w:ascii="Times New Roman" w:hAnsi="Times New Roman" w:eastAsia="仿宋_GB2312" w:cs="Times New Roman"/>
          <w:color w:val="auto"/>
          <w:lang w:val="sq-AL"/>
        </w:rPr>
        <w:t>—水力半径（=</w:t>
      </w:r>
      <w:r>
        <w:rPr>
          <w:rFonts w:hint="default" w:ascii="Times New Roman" w:hAnsi="Times New Roman" w:eastAsia="仿宋_GB2312" w:cs="Times New Roman"/>
          <w:i/>
          <w:color w:val="auto"/>
          <w:lang w:val="sq-AL"/>
        </w:rPr>
        <w:t>A/</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w:t>
      </w:r>
    </w:p>
    <w:p>
      <w:pPr>
        <w:pStyle w:val="33"/>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—糙率</w:t>
      </w:r>
      <w:r>
        <w:rPr>
          <w:rFonts w:hint="eastAsia" w:ascii="Times New Roman" w:hAnsi="Times New Roman" w:cs="Times New Roman"/>
          <w:color w:val="auto"/>
          <w:lang w:val="sq-AL" w:eastAsia="zh-CN"/>
        </w:rPr>
        <w:t>，</w:t>
      </w:r>
      <w:r>
        <w:rPr>
          <w:rFonts w:hint="default" w:ascii="Times New Roman" w:hAnsi="Times New Roman" w:eastAsia="仿宋_GB2312" w:cs="Times New Roman"/>
          <w:color w:val="auto"/>
          <w:lang w:val="sq-AL"/>
        </w:rPr>
        <w:t>取</w:t>
      </w: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=0.0</w:t>
      </w:r>
      <w:r>
        <w:rPr>
          <w:rFonts w:hint="default" w:ascii="Times New Roman" w:hAnsi="Times New Roman" w:eastAsia="仿宋_GB2312" w:cs="Times New Roman"/>
          <w:color w:val="auto"/>
        </w:rPr>
        <w:t>15</w:t>
      </w:r>
      <w:r>
        <w:rPr>
          <w:rFonts w:hint="default" w:ascii="Times New Roman" w:hAnsi="Times New Roman" w:eastAsia="仿宋_GB2312" w:cs="Times New Roman"/>
          <w:color w:val="auto"/>
          <w:lang w:val="sq-AL"/>
        </w:rPr>
        <w:t>；</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—湿周；</w:t>
      </w:r>
      <w:r>
        <w:rPr>
          <w:rFonts w:hint="default" w:ascii="Times New Roman" w:hAnsi="Times New Roman" w:eastAsia="仿宋_GB2312" w:cs="Times New Roman"/>
          <w:i/>
          <w:color w:val="auto"/>
          <w:lang w:val="sq-AL"/>
        </w:rPr>
        <w:t>i</w:t>
      </w:r>
      <w:r>
        <w:rPr>
          <w:rFonts w:hint="default" w:ascii="Times New Roman" w:hAnsi="Times New Roman" w:eastAsia="仿宋_GB2312" w:cs="Times New Roman"/>
          <w:color w:val="auto"/>
          <w:lang w:val="sq-AL"/>
        </w:rPr>
        <w:t>—沟道纵坡，取</w:t>
      </w:r>
      <w:r>
        <w:rPr>
          <w:rFonts w:hint="default" w:ascii="Times New Roman" w:hAnsi="Times New Roman" w:eastAsia="仿宋_GB2312" w:cs="Times New Roman"/>
          <w:color w:val="auto"/>
        </w:rPr>
        <w:t>5</w:t>
      </w:r>
      <w:r>
        <w:rPr>
          <w:rFonts w:hint="default" w:ascii="Times New Roman" w:hAnsi="Times New Roman" w:eastAsia="仿宋_GB2312" w:cs="Times New Roman"/>
          <w:color w:val="auto"/>
          <w:lang w:val="sq-AL"/>
        </w:rPr>
        <w:t>‰。</w:t>
      </w:r>
    </w:p>
    <w:p>
      <w:pPr>
        <w:tabs>
          <w:tab w:val="left" w:pos="422"/>
        </w:tabs>
        <w:spacing w:line="360" w:lineRule="auto"/>
        <w:ind w:firstLine="480"/>
        <w:rPr>
          <w:rFonts w:hint="default" w:ascii="Times New Roman" w:hAnsi="Times New Roman" w:eastAsia="仿宋_GB2312" w:cs="Times New Roman"/>
          <w:color w:val="auto"/>
          <w:sz w:val="24"/>
          <w:szCs w:val="22"/>
          <w:lang w:val="sq-AL" w:eastAsia="zh-CN"/>
        </w:rPr>
      </w:pPr>
      <w:r>
        <w:rPr>
          <w:rFonts w:hint="default" w:ascii="Times New Roman" w:hAnsi="Times New Roman" w:eastAsia="仿宋_GB2312" w:cs="Times New Roman"/>
          <w:color w:val="auto"/>
          <w:sz w:val="24"/>
          <w:szCs w:val="22"/>
          <w:lang w:val="en-US" w:eastAsia="zh-CN"/>
        </w:rPr>
        <w:t>经计算排水沟过流能力Q=0.0</w:t>
      </w:r>
      <w:r>
        <w:rPr>
          <w:rFonts w:hint="eastAsia" w:ascii="Times New Roman" w:hAnsi="Times New Roman" w:eastAsia="仿宋_GB2312" w:cs="Times New Roman"/>
          <w:color w:val="auto"/>
          <w:sz w:val="24"/>
          <w:szCs w:val="22"/>
          <w:lang w:val="en-US" w:eastAsia="zh-CN"/>
        </w:rPr>
        <w:t>8</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r>
        <w:rPr>
          <w:rFonts w:hint="default" w:ascii="Times New Roman" w:hAnsi="Times New Roman" w:eastAsia="仿宋_GB2312" w:cs="Times New Roman"/>
          <w:color w:val="auto"/>
          <w:sz w:val="24"/>
          <w:szCs w:val="22"/>
          <w:lang w:val="en-US" w:eastAsia="zh-CN"/>
        </w:rPr>
        <w:t>大于洪峰流量Qs=0.06</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p>
    <w:p>
      <w:pPr>
        <w:ind w:firstLine="480"/>
        <w:rPr>
          <w:szCs w:val="24"/>
          <w:lang w:val="zh-CN"/>
        </w:rPr>
      </w:pPr>
      <w:r>
        <w:rPr>
          <w:szCs w:val="24"/>
          <w:lang w:val="zh-CN"/>
        </w:rPr>
        <w:t>施工要求：由于开挖沟道为土质边坡，尽量按照设计施工，保证边坡系数在0.50以上，确保边坡的稳定；铺设土工膜时，土工膜应紧贴沟壁，并且两边均超出10cm，防止雨水从土工膜下面流出，造成排水沟的冲刷。</w:t>
      </w:r>
    </w:p>
    <w:p>
      <w:pPr>
        <w:pStyle w:val="26"/>
        <w:numPr>
          <w:ilvl w:val="0"/>
          <w:numId w:val="0"/>
        </w:numPr>
        <w:ind w:firstLine="480" w:firstLineChars="200"/>
        <w:rPr>
          <w:rFonts w:hint="eastAsia" w:ascii="仿宋" w:hAnsi="仿宋" w:eastAsia="仿宋" w:cs="仿宋"/>
          <w:color w:val="000000"/>
          <w:kern w:val="0"/>
          <w:sz w:val="24"/>
          <w:szCs w:val="24"/>
          <w:lang w:val="en-US" w:eastAsia="zh-CN" w:bidi="ar"/>
        </w:rPr>
      </w:pPr>
      <w:r>
        <w:rPr>
          <w:rFonts w:hint="eastAsia" w:ascii="仿宋" w:hAnsi="仿宋" w:cs="仿宋"/>
          <w:color w:val="000000"/>
          <w:kern w:val="0"/>
          <w:sz w:val="24"/>
          <w:szCs w:val="24"/>
          <w:lang w:val="en-US" w:eastAsia="zh-CN" w:bidi="ar"/>
        </w:rPr>
        <w:t>（2）临时</w:t>
      </w:r>
      <w:r>
        <w:rPr>
          <w:rFonts w:hint="eastAsia" w:ascii="仿宋" w:hAnsi="仿宋" w:eastAsia="仿宋" w:cs="仿宋"/>
          <w:color w:val="000000"/>
          <w:kern w:val="0"/>
          <w:sz w:val="24"/>
          <w:szCs w:val="24"/>
          <w:lang w:val="en-US" w:eastAsia="zh-CN" w:bidi="ar"/>
        </w:rPr>
        <w:t>沉砂池</w:t>
      </w:r>
    </w:p>
    <w:p>
      <w:pPr>
        <w:pStyle w:val="26"/>
        <w:numPr>
          <w:ilvl w:val="0"/>
          <w:numId w:val="0"/>
        </w:numPr>
        <w:ind w:firstLine="480" w:firstLineChars="200"/>
        <w:rPr>
          <w:rFonts w:hint="default"/>
          <w:lang w:val="en-US" w:eastAsia="zh-CN"/>
        </w:rPr>
      </w:pPr>
      <w:r>
        <w:rPr>
          <w:rFonts w:hint="eastAsia"/>
          <w:color w:val="000000"/>
          <w:lang w:val="en-US" w:eastAsia="zh-CN"/>
        </w:rPr>
        <w:t>主体在建筑构物区南侧布设临时沉砂池1口，</w:t>
      </w:r>
      <w:r>
        <w:rPr>
          <w:rFonts w:hint="eastAsia"/>
          <w:lang w:val="en-US" w:eastAsia="zh-CN"/>
        </w:rPr>
        <w:t>出口为市政雨水管网，用于沉淀排入市政雨水管网的雨水泥沙，防止其进入雨水管网产生水土流失，同时能有效预防市政管道堵塞。</w:t>
      </w:r>
      <w:r>
        <w:rPr>
          <w:rFonts w:hint="eastAsia"/>
          <w:color w:val="auto"/>
          <w:sz w:val="24"/>
          <w:szCs w:val="24"/>
          <w:lang w:val="en-US" w:eastAsia="zh-CN"/>
        </w:rPr>
        <w:t>沉砂池采用梯形断面，坡比1：0.5，尺寸</w:t>
      </w:r>
      <w:r>
        <w:rPr>
          <w:rFonts w:hint="eastAsia"/>
          <w:color w:val="auto"/>
          <w:sz w:val="24"/>
          <w:szCs w:val="24"/>
        </w:rPr>
        <w:t>规格为</w:t>
      </w:r>
      <w:r>
        <w:rPr>
          <w:rFonts w:hint="eastAsia"/>
          <w:color w:val="auto"/>
          <w:sz w:val="24"/>
          <w:szCs w:val="24"/>
          <w:lang w:val="en-US" w:eastAsia="zh-CN"/>
        </w:rPr>
        <w:t>2</w:t>
      </w:r>
      <w:r>
        <w:rPr>
          <w:rFonts w:hint="eastAsia" w:cs="Times New Roman"/>
          <w:color w:val="auto"/>
          <w:szCs w:val="24"/>
          <w:lang w:eastAsia="zh-CN"/>
        </w:rPr>
        <w:t>.</w:t>
      </w:r>
      <w:r>
        <w:rPr>
          <w:rFonts w:hint="eastAsia" w:cs="Times New Roman"/>
          <w:color w:val="auto"/>
          <w:szCs w:val="24"/>
          <w:lang w:val="en-US" w:eastAsia="zh-CN"/>
        </w:rPr>
        <w:t>0</w:t>
      </w:r>
      <w:r>
        <w:rPr>
          <w:rFonts w:hint="eastAsia" w:cs="Times New Roman"/>
          <w:color w:val="auto"/>
          <w:szCs w:val="24"/>
          <w:lang w:eastAsia="zh-CN"/>
        </w:rPr>
        <w:t>m×1.0m×</w:t>
      </w:r>
      <w:r>
        <w:rPr>
          <w:rFonts w:hint="eastAsia" w:cs="Times New Roman"/>
          <w:color w:val="auto"/>
          <w:szCs w:val="24"/>
          <w:lang w:val="en-US" w:eastAsia="zh-CN"/>
        </w:rPr>
        <w:t>0.5</w:t>
      </w:r>
      <w:r>
        <w:rPr>
          <w:rFonts w:cs="Times New Roman"/>
          <w:color w:val="auto"/>
          <w:szCs w:val="24"/>
        </w:rPr>
        <w:t>m</w:t>
      </w:r>
      <w:r>
        <w:rPr>
          <w:rFonts w:hint="eastAsia" w:cs="Times New Roman"/>
          <w:color w:val="auto"/>
          <w:szCs w:val="24"/>
        </w:rPr>
        <w:t>（长</w:t>
      </w:r>
      <w:r>
        <w:rPr>
          <w:rFonts w:cs="Times New Roman"/>
          <w:color w:val="auto"/>
          <w:szCs w:val="24"/>
        </w:rPr>
        <w:t>×</w:t>
      </w:r>
      <w:r>
        <w:rPr>
          <w:rFonts w:hint="eastAsia" w:cs="Times New Roman"/>
          <w:color w:val="auto"/>
          <w:szCs w:val="24"/>
        </w:rPr>
        <w:t>宽</w:t>
      </w:r>
      <w:r>
        <w:rPr>
          <w:rFonts w:cs="Times New Roman"/>
          <w:color w:val="auto"/>
          <w:szCs w:val="24"/>
        </w:rPr>
        <w:t>×</w:t>
      </w:r>
      <w:r>
        <w:rPr>
          <w:rFonts w:hint="eastAsia" w:cs="Times New Roman"/>
          <w:color w:val="auto"/>
          <w:szCs w:val="24"/>
        </w:rPr>
        <w:t>深）</w:t>
      </w:r>
      <w:r>
        <w:rPr>
          <w:rFonts w:hint="eastAsia" w:cs="Times New Roman"/>
          <w:color w:val="auto"/>
          <w:szCs w:val="24"/>
          <w:lang w:val="en-US" w:eastAsia="zh-CN"/>
        </w:rPr>
        <w:t>的土质沉砂池。</w:t>
      </w:r>
    </w:p>
    <w:p>
      <w:pPr>
        <w:pStyle w:val="26"/>
        <w:numPr>
          <w:ilvl w:val="0"/>
          <w:numId w:val="0"/>
        </w:numPr>
        <w:rPr>
          <w:rFonts w:hint="eastAsia" w:ascii="仿宋_GB2312" w:hAnsi="仿宋_GB2312" w:eastAsia="仿宋_GB2312" w:cs="仿宋_GB2312"/>
          <w:b/>
          <w:bCs/>
          <w:color w:val="auto"/>
          <w:kern w:val="2"/>
          <w:sz w:val="24"/>
          <w:szCs w:val="16"/>
          <w:lang w:val="en-US" w:eastAsia="zh-CN" w:bidi="ar-SA"/>
        </w:rPr>
      </w:pPr>
      <w:r>
        <w:rPr>
          <w:rFonts w:hint="eastAsia" w:ascii="仿宋_GB2312" w:hAnsi="仿宋_GB2312" w:eastAsia="仿宋_GB2312" w:cs="仿宋_GB2312"/>
          <w:b/>
          <w:bCs/>
          <w:color w:val="auto"/>
          <w:kern w:val="2"/>
          <w:sz w:val="24"/>
          <w:szCs w:val="16"/>
          <w:lang w:val="en-US" w:eastAsia="zh-CN" w:bidi="ar-SA"/>
        </w:rPr>
        <w:t>二、 附属设施区</w:t>
      </w:r>
    </w:p>
    <w:p>
      <w:pPr>
        <w:pStyle w:val="26"/>
        <w:ind w:firstLine="482"/>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1、工程措施</w:t>
      </w:r>
    </w:p>
    <w:p>
      <w:pPr>
        <w:bidi w:val="0"/>
        <w:ind w:firstLine="480" w:firstLineChars="200"/>
        <w:jc w:val="both"/>
        <w:rPr>
          <w:rFonts w:hint="eastAsia"/>
          <w:lang w:val="en-US" w:eastAsia="zh-CN"/>
        </w:rPr>
      </w:pPr>
      <w:r>
        <w:rPr>
          <w:rFonts w:hint="eastAsia"/>
          <w:lang w:val="en-US" w:eastAsia="zh-CN"/>
        </w:rPr>
        <w:t>（1）排水工程</w:t>
      </w:r>
    </w:p>
    <w:p>
      <w:pPr>
        <w:adjustRightInd/>
        <w:snapToGrid/>
        <w:ind w:firstLine="480"/>
        <w:rPr>
          <w:rFonts w:hint="default" w:ascii="Times New Roman" w:hAnsi="Times New Roman" w:cs="Times New Roman"/>
          <w:color w:val="auto"/>
          <w:szCs w:val="24"/>
        </w:rPr>
      </w:pPr>
      <w:r>
        <w:rPr>
          <w:rFonts w:hint="default" w:ascii="Times New Roman" w:hAnsi="Times New Roman" w:cs="Times New Roman"/>
          <w:color w:val="auto"/>
          <w:szCs w:val="24"/>
        </w:rPr>
        <w:t>本</w:t>
      </w:r>
      <w:r>
        <w:rPr>
          <w:rFonts w:hint="eastAsia" w:cs="Times New Roman"/>
          <w:color w:val="auto"/>
          <w:szCs w:val="24"/>
          <w:lang w:eastAsia="zh-CN"/>
        </w:rPr>
        <w:t>工程区</w:t>
      </w:r>
      <w:r>
        <w:rPr>
          <w:rFonts w:hint="default" w:ascii="Times New Roman" w:hAnsi="Times New Roman" w:cs="Times New Roman"/>
          <w:color w:val="auto"/>
          <w:szCs w:val="24"/>
        </w:rPr>
        <w:t>主体设计的排水工程包括雨水管、雨水井、雨水口等</w:t>
      </w:r>
      <w:r>
        <w:rPr>
          <w:rFonts w:hint="eastAsia" w:cs="Times New Roman"/>
          <w:color w:val="auto"/>
          <w:szCs w:val="24"/>
          <w:lang w:eastAsia="zh-CN"/>
        </w:rPr>
        <w:t>。</w:t>
      </w:r>
      <w:r>
        <w:rPr>
          <w:rFonts w:hint="default" w:ascii="Times New Roman" w:hAnsi="Times New Roman" w:cs="Times New Roman"/>
          <w:color w:val="auto"/>
          <w:szCs w:val="24"/>
        </w:rPr>
        <w:t>经统计，主体设计在本区布设</w:t>
      </w:r>
      <w:r>
        <w:rPr>
          <w:rFonts w:hint="default" w:ascii="Times New Roman" w:hAnsi="Times New Roman" w:cs="Times New Roman"/>
          <w:color w:val="auto"/>
          <w:szCs w:val="24"/>
          <w:lang w:val="en-US" w:eastAsia="zh-CN"/>
        </w:rPr>
        <w:t>雨水管（聚乙烯PE缠绕结构壁管）</w:t>
      </w:r>
      <w:r>
        <w:rPr>
          <w:rFonts w:hint="eastAsia" w:ascii="Times New Roman" w:hAnsi="Times New Roman" w:cs="Times New Roman"/>
          <w:color w:val="auto"/>
          <w:szCs w:val="24"/>
          <w:lang w:val="en-US" w:eastAsia="zh-CN"/>
        </w:rPr>
        <w:t>DN200</w:t>
      </w:r>
      <w:r>
        <w:rPr>
          <w:rFonts w:hint="default" w:ascii="Times New Roman" w:hAnsi="Times New Roman" w:cs="Times New Roman"/>
          <w:color w:val="auto"/>
          <w:szCs w:val="24"/>
        </w:rPr>
        <w:t>共</w:t>
      </w:r>
      <w:r>
        <w:rPr>
          <w:rFonts w:hint="eastAsia" w:ascii="Times New Roman" w:hAnsi="Times New Roman" w:cs="Times New Roman"/>
          <w:color w:val="auto"/>
          <w:szCs w:val="24"/>
          <w:lang w:val="en-US" w:eastAsia="zh-CN"/>
        </w:rPr>
        <w:t>450</w:t>
      </w:r>
      <w:r>
        <w:rPr>
          <w:rFonts w:hint="default" w:ascii="Times New Roman" w:hAnsi="Times New Roman" w:cs="Times New Roman"/>
          <w:color w:val="auto"/>
          <w:szCs w:val="24"/>
        </w:rPr>
        <w:t>m</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DN400共41</w:t>
      </w:r>
      <w:r>
        <w:rPr>
          <w:rFonts w:hint="eastAsia" w:cs="Times New Roman"/>
          <w:color w:val="auto"/>
          <w:szCs w:val="24"/>
          <w:lang w:val="en-US" w:eastAsia="zh-CN"/>
        </w:rPr>
        <w:t>0m、DN600共7m</w:t>
      </w:r>
      <w:r>
        <w:rPr>
          <w:rFonts w:hint="default" w:ascii="Times New Roman" w:hAnsi="Times New Roman" w:cs="Times New Roman"/>
          <w:color w:val="auto"/>
          <w:szCs w:val="24"/>
        </w:rPr>
        <w:t>，沿雨水管布设的雨水检查井</w:t>
      </w:r>
      <w:r>
        <w:rPr>
          <w:rFonts w:hint="eastAsia" w:cs="Times New Roman"/>
          <w:color w:val="auto"/>
          <w:szCs w:val="24"/>
          <w:lang w:val="en-US" w:eastAsia="zh-CN"/>
        </w:rPr>
        <w:t>28</w:t>
      </w:r>
      <w:r>
        <w:rPr>
          <w:rFonts w:hint="default" w:ascii="Times New Roman" w:hAnsi="Times New Roman" w:cs="Times New Roman"/>
          <w:color w:val="auto"/>
          <w:szCs w:val="24"/>
        </w:rPr>
        <w:t>座，</w:t>
      </w:r>
      <w:r>
        <w:rPr>
          <w:rFonts w:hint="eastAsia" w:cs="Times New Roman"/>
          <w:color w:val="auto"/>
          <w:szCs w:val="24"/>
          <w:lang w:eastAsia="zh-CN"/>
        </w:rPr>
        <w:t>单箅平箅式雨水口56座</w:t>
      </w:r>
      <w:r>
        <w:rPr>
          <w:rFonts w:hint="default" w:ascii="Times New Roman" w:hAnsi="Times New Roman" w:cs="Times New Roman"/>
          <w:color w:val="auto"/>
          <w:szCs w:val="24"/>
        </w:rPr>
        <w:t>。</w:t>
      </w:r>
    </w:p>
    <w:p>
      <w:pPr>
        <w:keepNext w:val="0"/>
        <w:keepLines w:val="0"/>
        <w:widowControl/>
        <w:numPr>
          <w:ilvl w:val="0"/>
          <w:numId w:val="0"/>
        </w:numPr>
        <w:suppressLineNumbers w:val="0"/>
        <w:ind w:leftChars="200"/>
        <w:jc w:val="left"/>
        <w:rPr>
          <w:rFonts w:ascii="仿宋" w:hAnsi="仿宋" w:eastAsia="仿宋" w:cs="仿宋"/>
          <w:color w:val="000000"/>
          <w:kern w:val="0"/>
          <w:sz w:val="24"/>
          <w:szCs w:val="24"/>
          <w:lang w:val="en-US" w:eastAsia="zh-CN" w:bidi="ar"/>
        </w:rPr>
      </w:pPr>
      <w:r>
        <w:rPr>
          <w:rFonts w:hint="eastAsia" w:ascii="仿宋" w:hAnsi="仿宋" w:cs="仿宋"/>
          <w:color w:val="000000"/>
          <w:kern w:val="0"/>
          <w:sz w:val="24"/>
          <w:szCs w:val="24"/>
          <w:lang w:val="en-US" w:eastAsia="zh-CN" w:bidi="ar"/>
        </w:rPr>
        <w:t>2、</w:t>
      </w:r>
      <w:r>
        <w:rPr>
          <w:rFonts w:ascii="仿宋" w:hAnsi="仿宋" w:eastAsia="仿宋" w:cs="仿宋"/>
          <w:color w:val="000000"/>
          <w:kern w:val="0"/>
          <w:sz w:val="24"/>
          <w:szCs w:val="24"/>
          <w:lang w:val="en-US" w:eastAsia="zh-CN" w:bidi="ar"/>
        </w:rPr>
        <w:t>临时措施</w:t>
      </w:r>
    </w:p>
    <w:p>
      <w:pPr>
        <w:ind w:firstLine="480" w:firstLineChars="200"/>
        <w:jc w:val="both"/>
        <w:rPr>
          <w:rFonts w:ascii="仿宋" w:hAnsi="仿宋" w:eastAsia="仿宋" w:cs="仿宋"/>
          <w:color w:val="000000"/>
          <w:kern w:val="0"/>
          <w:sz w:val="24"/>
          <w:szCs w:val="24"/>
          <w:lang w:val="en-US" w:eastAsia="zh-CN" w:bidi="ar"/>
        </w:rPr>
      </w:pPr>
      <w:r>
        <w:rPr>
          <w:rFonts w:hint="eastAsia"/>
          <w:lang w:val="en-US" w:eastAsia="zh-CN"/>
        </w:rPr>
        <w:t>（1）洗车槽1座</w:t>
      </w:r>
    </w:p>
    <w:p>
      <w:pPr>
        <w:bidi w:val="0"/>
        <w:ind w:firstLine="480" w:firstLineChars="200"/>
        <w:rPr>
          <w:rFonts w:hint="default"/>
          <w:lang w:val="en-US" w:eastAsia="zh-CN"/>
        </w:rPr>
      </w:pPr>
      <w:r>
        <w:rPr>
          <w:rFonts w:hint="default"/>
          <w:lang w:val="en-US" w:eastAsia="zh-CN"/>
        </w:rPr>
        <w:t>根据现场踏勘，主体在该区域设置并已实施临时洗车槽1座。</w:t>
      </w:r>
    </w:p>
    <w:p>
      <w:pPr>
        <w:pStyle w:val="26"/>
        <w:numPr>
          <w:ilvl w:val="0"/>
          <w:numId w:val="0"/>
        </w:numPr>
        <w:spacing w:line="360" w:lineRule="auto"/>
        <w:ind w:firstLine="482" w:firstLineChars="200"/>
        <w:rPr>
          <w:rFonts w:hint="eastAsia"/>
          <w:b/>
          <w:bCs/>
          <w:color w:val="auto"/>
        </w:rPr>
      </w:pPr>
      <w:r>
        <w:rPr>
          <w:rFonts w:hint="eastAsia"/>
          <w:b/>
          <w:bCs/>
          <w:color w:val="auto"/>
          <w:lang w:val="en-US" w:eastAsia="zh-CN"/>
        </w:rPr>
        <w:t>三、</w:t>
      </w:r>
      <w:r>
        <w:rPr>
          <w:rFonts w:hint="eastAsia"/>
          <w:b/>
          <w:bCs/>
          <w:color w:val="auto"/>
          <w:lang w:eastAsia="zh-CN"/>
        </w:rPr>
        <w:t>景观绿化</w:t>
      </w:r>
      <w:r>
        <w:rPr>
          <w:rFonts w:hint="eastAsia"/>
          <w:b/>
          <w:bCs/>
          <w:color w:val="auto"/>
        </w:rPr>
        <w:t>区</w:t>
      </w:r>
    </w:p>
    <w:p>
      <w:pPr>
        <w:pStyle w:val="26"/>
        <w:spacing w:line="360" w:lineRule="auto"/>
        <w:ind w:firstLine="482"/>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1、工程措施</w:t>
      </w:r>
    </w:p>
    <w:p>
      <w:pPr>
        <w:bidi w:val="0"/>
        <w:ind w:firstLine="480" w:firstLineChars="200"/>
        <w:rPr>
          <w:rFonts w:hint="eastAsia"/>
          <w:lang w:val="en-US" w:eastAsia="zh-CN"/>
        </w:rPr>
      </w:pPr>
      <w:r>
        <w:rPr>
          <w:rFonts w:hint="eastAsia"/>
          <w:lang w:val="en-US" w:eastAsia="zh-CN"/>
        </w:rPr>
        <w:t>种植土回覆</w:t>
      </w:r>
    </w:p>
    <w:p>
      <w:pPr>
        <w:keepNext w:val="0"/>
        <w:keepLines w:val="0"/>
        <w:widowControl/>
        <w:suppressLineNumbers w:val="0"/>
        <w:spacing w:line="360" w:lineRule="auto"/>
        <w:ind w:firstLine="480" w:firstLineChars="200"/>
        <w:jc w:val="left"/>
        <w:rPr>
          <w:rFonts w:hint="eastAsia" w:ascii="仿宋" w:hAnsi="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景观绿化工程区共回覆</w:t>
      </w:r>
      <w:r>
        <w:rPr>
          <w:rFonts w:hint="eastAsia" w:ascii="仿宋" w:hAnsi="仿宋" w:cs="仿宋"/>
          <w:color w:val="000000"/>
          <w:kern w:val="0"/>
          <w:sz w:val="24"/>
          <w:szCs w:val="24"/>
          <w:lang w:val="en-US" w:eastAsia="zh-CN" w:bidi="ar"/>
        </w:rPr>
        <w:t>种植土</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14</w:t>
      </w:r>
      <w:r>
        <w:rPr>
          <w:rFonts w:hint="eastAsia" w:ascii="仿宋" w:hAnsi="仿宋" w:eastAsia="仿宋" w:cs="仿宋"/>
          <w:color w:val="000000"/>
          <w:kern w:val="0"/>
          <w:sz w:val="24"/>
          <w:szCs w:val="24"/>
          <w:lang w:val="en-US" w:eastAsia="zh-CN" w:bidi="ar"/>
        </w:rPr>
        <w:t>万</w:t>
      </w:r>
      <w:r>
        <w:rPr>
          <w:rFonts w:hint="eastAsia" w:ascii="Times New Roman" w:hAnsi="Times New Roman" w:eastAsia="宋体" w:cs="Times New Roman"/>
          <w:color w:val="000000"/>
          <w:kern w:val="0"/>
          <w:sz w:val="24"/>
          <w:szCs w:val="24"/>
          <w:lang w:val="en-US" w:eastAsia="zh-CN" w:bidi="ar"/>
        </w:rPr>
        <w:t>m³</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回</w:t>
      </w:r>
      <w:r>
        <w:rPr>
          <w:rFonts w:hint="eastAsia" w:ascii="仿宋" w:hAnsi="仿宋" w:eastAsia="仿宋" w:cs="仿宋"/>
          <w:color w:val="000000"/>
          <w:kern w:val="0"/>
          <w:sz w:val="24"/>
          <w:szCs w:val="24"/>
          <w:lang w:val="en-US" w:eastAsia="zh-CN" w:bidi="ar"/>
        </w:rPr>
        <w:t>覆面积</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28</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lang w:val="en-US" w:eastAsia="zh-CN" w:bidi="ar"/>
        </w:rPr>
        <w:t>m²</w:t>
      </w:r>
      <w:r>
        <w:rPr>
          <w:rFonts w:hint="eastAsia" w:ascii="仿宋" w:hAnsi="仿宋" w:eastAsia="仿宋" w:cs="仿宋"/>
          <w:color w:val="000000"/>
          <w:kern w:val="0"/>
          <w:sz w:val="24"/>
          <w:szCs w:val="24"/>
          <w:lang w:val="en-US" w:eastAsia="zh-CN" w:bidi="ar"/>
        </w:rPr>
        <w:t>，回覆厚度</w:t>
      </w:r>
      <w:r>
        <w:rPr>
          <w:rFonts w:hint="default" w:ascii="Times New Roman" w:hAnsi="Times New Roman" w:eastAsia="宋体" w:cs="Times New Roman"/>
          <w:color w:val="000000"/>
          <w:kern w:val="0"/>
          <w:sz w:val="24"/>
          <w:szCs w:val="24"/>
          <w:lang w:val="en-US" w:eastAsia="zh-CN" w:bidi="ar"/>
        </w:rPr>
        <w:t>0.</w:t>
      </w:r>
      <w:r>
        <w:rPr>
          <w:rFonts w:hint="eastAsia"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种植土来源于外购。</w:t>
      </w:r>
    </w:p>
    <w:p>
      <w:pPr>
        <w:bidi w:val="0"/>
        <w:ind w:firstLine="480" w:firstLineChars="200"/>
        <w:rPr>
          <w:rFonts w:hint="default"/>
          <w:lang w:val="en-US" w:eastAsia="zh-CN"/>
        </w:rPr>
      </w:pPr>
      <w:r>
        <w:rPr>
          <w:rFonts w:hint="eastAsia"/>
          <w:lang w:val="en-US" w:eastAsia="zh-CN"/>
        </w:rPr>
        <w:t>2</w:t>
      </w:r>
      <w:r>
        <w:rPr>
          <w:lang w:val="en-US" w:eastAsia="zh-CN"/>
        </w:rPr>
        <w:t>、</w:t>
      </w:r>
      <w:r>
        <w:rPr>
          <w:rFonts w:hint="eastAsia"/>
          <w:lang w:val="en-US" w:eastAsia="zh-CN"/>
        </w:rPr>
        <w:t>植物措施</w:t>
      </w:r>
    </w:p>
    <w:p>
      <w:pPr>
        <w:pStyle w:val="2"/>
        <w:ind w:firstLine="480" w:firstLineChars="200"/>
        <w:rPr>
          <w:rFonts w:hint="eastAsia" w:ascii="仿宋" w:hAnsi="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景观绿化工程区</w:t>
      </w:r>
      <w:r>
        <w:rPr>
          <w:rFonts w:hint="eastAsia" w:ascii="仿宋" w:hAnsi="仿宋" w:cs="仿宋"/>
          <w:color w:val="000000"/>
          <w:kern w:val="0"/>
          <w:sz w:val="24"/>
          <w:szCs w:val="24"/>
          <w:lang w:val="en-US" w:eastAsia="zh-CN" w:bidi="ar"/>
        </w:rPr>
        <w:t>种植香樟21棵，麦冬564m²，台湾2号草坪1241m²。</w:t>
      </w:r>
    </w:p>
    <w:p>
      <w:pPr>
        <w:pStyle w:val="4"/>
        <w:bidi w:val="0"/>
        <w:spacing w:line="360" w:lineRule="auto"/>
        <w:outlineLvl w:val="0"/>
        <w:rPr>
          <w:rFonts w:hint="eastAsia" w:ascii="Times New Roman" w:hAnsi="Times New Roman" w:cs="Times New Roman"/>
          <w:color w:val="auto"/>
          <w:szCs w:val="22"/>
          <w:lang w:val="en-US" w:eastAsia="zh-CN"/>
        </w:rPr>
      </w:pPr>
      <w:bookmarkStart w:id="248" w:name="_Toc19829"/>
      <w:bookmarkStart w:id="249" w:name="_Toc8544"/>
      <w:bookmarkStart w:id="250" w:name="_Toc6204"/>
      <w:r>
        <w:rPr>
          <w:rFonts w:hint="eastAsia"/>
          <w:lang w:val="en-US" w:eastAsia="zh-CN"/>
        </w:rPr>
        <w:t>3.3主体工程设计中水土保持措施</w:t>
      </w:r>
      <w:r>
        <w:rPr>
          <w:rFonts w:hint="eastAsia" w:ascii="Times New Roman" w:hAnsi="Times New Roman" w:cs="Times New Roman"/>
          <w:color w:val="auto"/>
          <w:szCs w:val="22"/>
          <w:lang w:val="en-US" w:eastAsia="zh-CN"/>
        </w:rPr>
        <w:t>界定</w:t>
      </w:r>
      <w:bookmarkEnd w:id="248"/>
      <w:bookmarkEnd w:id="249"/>
      <w:bookmarkEnd w:id="250"/>
    </w:p>
    <w:p>
      <w:pPr>
        <w:keepNext/>
        <w:keepLines/>
        <w:widowControl/>
        <w:ind w:firstLine="0" w:firstLineChars="0"/>
        <w:jc w:val="left"/>
        <w:outlineLvl w:val="2"/>
        <w:rPr>
          <w:rFonts w:hint="eastAsia"/>
          <w:lang w:val="en-US" w:eastAsia="zh-CN"/>
        </w:rPr>
      </w:pPr>
      <w:r>
        <w:rPr>
          <w:rFonts w:ascii="仿宋" w:hAnsi="仿宋" w:eastAsia="仿宋"/>
          <w:b/>
          <w:bCs/>
          <w:sz w:val="28"/>
          <w:szCs w:val="28"/>
        </w:rPr>
        <w:t>3.3.1 水土保持工程的界定原则</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依据《生产建设项目水土保持技术标准》（GB-50433-2018）中“水土保持方案”章节规定和《关于印发生产建设项目水土保持技术审查要点的通知》附录3的参考意见对本项目工程进行水土保持工程界定，界定原则为：</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1、主导功能原则：以防治水土流失为主要目标的防护工程，应界定为水土保持工程。以主体工程设计功能为主、同时兼有水土保持功能的工程，不纳入水土流失防治措施体系，仅对其进行水土保持分析与评价。</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2、责任区分原则：对建设过程中的临时征地、临时占地，因施工结束后需归还当地群众或政府，水土流失防治责任将发生转移，须通过水土保持验收予以确认，各项防护措施均应界定为水土保持工程，纳入水土流失防治措施体系。</w:t>
      </w:r>
    </w:p>
    <w:p>
      <w:pPr>
        <w:spacing w:line="360" w:lineRule="auto"/>
        <w:ind w:firstLine="480" w:firstLineChars="200"/>
        <w:rPr>
          <w:rFonts w:hint="eastAsia"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3、试验排除原则：对永久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pPr>
        <w:spacing w:line="360" w:lineRule="auto"/>
        <w:ind w:firstLine="480" w:firstLineChars="200"/>
        <w:rPr>
          <w:rFonts w:ascii="Times New Roman" w:hAnsi="Times New Roman" w:eastAsia="仿宋_GB2312" w:cs="Times New Roman"/>
          <w:kern w:val="2"/>
          <w:sz w:val="24"/>
          <w:lang w:val="en-US" w:eastAsia="zh-CN" w:bidi="ar-SA"/>
        </w:rPr>
      </w:pPr>
      <w:r>
        <w:rPr>
          <w:rFonts w:hint="eastAsia" w:ascii="Times New Roman" w:hAnsi="Times New Roman" w:eastAsia="仿宋_GB2312" w:cs="Times New Roman"/>
          <w:kern w:val="2"/>
          <w:sz w:val="24"/>
          <w:lang w:val="en-US" w:eastAsia="zh-CN" w:bidi="ar-SA"/>
        </w:rPr>
        <w:t>4、各类植物措施均应界定为水土保持工程。</w:t>
      </w:r>
    </w:p>
    <w:p>
      <w:pPr>
        <w:spacing w:line="360" w:lineRule="auto"/>
        <w:ind w:firstLine="480" w:firstLineChars="200"/>
        <w:rPr>
          <w:rFonts w:hint="eastAsia" w:ascii="Times New Roman" w:hAnsi="Times New Roman" w:eastAsia="仿宋_GB2312" w:cs="Times New Roman"/>
          <w:kern w:val="2"/>
          <w:sz w:val="24"/>
          <w:highlight w:val="none"/>
          <w:lang w:val="en-US" w:eastAsia="zh-CN" w:bidi="ar-SA"/>
        </w:rPr>
      </w:pPr>
    </w:p>
    <w:p>
      <w:pPr>
        <w:bidi w:val="0"/>
        <w:ind w:firstLine="396" w:firstLineChars="0"/>
        <w:jc w:val="left"/>
        <w:rPr>
          <w:rFonts w:hint="default" w:ascii="Times New Roman" w:hAnsi="Times New Roman" w:eastAsia="仿宋" w:cs="Times New Roman"/>
          <w:kern w:val="2"/>
          <w:sz w:val="24"/>
          <w:lang w:val="en-US" w:eastAsia="zh-CN" w:bidi="ar-SA"/>
        </w:rPr>
      </w:pPr>
    </w:p>
    <w:p>
      <w:pPr>
        <w:tabs>
          <w:tab w:val="left" w:pos="1536"/>
        </w:tabs>
        <w:bidi w:val="0"/>
        <w:jc w:val="left"/>
        <w:rPr>
          <w:rFonts w:hint="eastAsia" w:cs="Times New Roman"/>
          <w:kern w:val="2"/>
          <w:sz w:val="24"/>
          <w:lang w:val="en-US" w:eastAsia="zh-CN" w:bidi="ar-SA"/>
        </w:rPr>
      </w:pPr>
      <w:r>
        <w:rPr>
          <w:rFonts w:hint="eastAsia" w:cs="Times New Roman"/>
          <w:kern w:val="2"/>
          <w:sz w:val="24"/>
          <w:lang w:val="en-US" w:eastAsia="zh-CN" w:bidi="ar-SA"/>
        </w:rPr>
        <w:tab/>
      </w:r>
    </w:p>
    <w:p>
      <w:bookmarkStart w:id="251" w:name="_Toc1211"/>
      <w:bookmarkStart w:id="252" w:name="_Toc26498"/>
      <w:r>
        <w:br w:type="page"/>
      </w:r>
    </w:p>
    <w:p>
      <w:pPr>
        <w:pStyle w:val="3"/>
        <w:jc w:val="center"/>
      </w:pPr>
      <w:bookmarkStart w:id="253" w:name="_Toc31991"/>
      <w:r>
        <w:t>4</w:t>
      </w:r>
      <w:bookmarkEnd w:id="251"/>
      <w:r>
        <w:rPr>
          <w:rFonts w:hint="eastAsia"/>
          <w:color w:val="000000"/>
        </w:rPr>
        <w:t>水土流失</w:t>
      </w:r>
      <w:r>
        <w:rPr>
          <w:rFonts w:hint="eastAsia"/>
          <w:color w:val="000000"/>
          <w:lang w:eastAsia="zh-CN"/>
        </w:rPr>
        <w:t>分析与</w:t>
      </w:r>
      <w:r>
        <w:rPr>
          <w:rFonts w:hint="eastAsia"/>
          <w:color w:val="000000"/>
        </w:rPr>
        <w:t>预测</w:t>
      </w:r>
      <w:bookmarkEnd w:id="252"/>
      <w:bookmarkEnd w:id="253"/>
    </w:p>
    <w:p>
      <w:pPr>
        <w:pStyle w:val="4"/>
        <w:rPr>
          <w:rFonts w:hint="eastAsia"/>
          <w:color w:val="000000"/>
        </w:rPr>
      </w:pPr>
      <w:bookmarkStart w:id="254" w:name="_Toc3653"/>
      <w:bookmarkStart w:id="255" w:name="_Toc32127"/>
      <w:bookmarkStart w:id="256" w:name="_Toc5497"/>
      <w:bookmarkStart w:id="257" w:name="_Toc48656928"/>
      <w:bookmarkStart w:id="258" w:name="_Toc26365"/>
      <w:bookmarkStart w:id="259" w:name="_Toc10571"/>
      <w:r>
        <w:rPr>
          <w:rFonts w:hint="eastAsia"/>
          <w:color w:val="000000"/>
        </w:rPr>
        <w:t>4</w:t>
      </w:r>
      <w:r>
        <w:rPr>
          <w:color w:val="000000"/>
        </w:rPr>
        <w:t>.1</w:t>
      </w:r>
      <w:r>
        <w:rPr>
          <w:rFonts w:hint="eastAsia"/>
          <w:color w:val="000000"/>
        </w:rPr>
        <w:t>水土流失现状</w:t>
      </w:r>
      <w:bookmarkEnd w:id="254"/>
      <w:bookmarkEnd w:id="255"/>
      <w:bookmarkEnd w:id="256"/>
      <w:bookmarkEnd w:id="257"/>
      <w:bookmarkEnd w:id="258"/>
      <w:bookmarkEnd w:id="259"/>
    </w:p>
    <w:p>
      <w:pPr>
        <w:pStyle w:val="6"/>
        <w:bidi w:val="0"/>
        <w:rPr>
          <w:rFonts w:hint="eastAsia"/>
          <w:lang w:val="en-US" w:eastAsia="zh-CN"/>
        </w:rPr>
      </w:pPr>
      <w:r>
        <w:rPr>
          <w:rFonts w:hint="eastAsia"/>
          <w:lang w:val="en-US" w:eastAsia="zh-CN"/>
        </w:rPr>
        <w:t>4.1.1项目区水土流失现状</w:t>
      </w:r>
    </w:p>
    <w:p>
      <w:pPr>
        <w:pStyle w:val="34"/>
        <w:adjustRightInd/>
        <w:snapToGrid/>
        <w:ind w:firstLine="480"/>
        <w:rPr>
          <w:rFonts w:eastAsia="仿宋_GB2312"/>
        </w:rPr>
      </w:pPr>
      <w:r>
        <w:rPr>
          <w:rFonts w:eastAsia="仿宋_GB2312"/>
          <w:lang w:val="zh-CN"/>
        </w:rPr>
        <w:t>根据《全国水土保持规划国家级水土流失重点预防区和重点治理区复核划分成果》（办水保[2013]88号）、《四川省省级水土流失重点预防区和重点治理区划分成果》（川水函[2017]482号），仪陇县为嘉陵江及沱江中下游国家级水土流失重点治理区。土壤侵蚀类型区为水力侵蚀类型区的西南土石山区中的四川山地丘陵区，土壤容许流失量500t/km²·a。项目区原地表土地表侵蚀模数为</w:t>
      </w:r>
      <w:r>
        <w:rPr>
          <w:rFonts w:hint="eastAsia" w:eastAsia="仿宋_GB2312"/>
          <w:lang w:val="en-US" w:eastAsia="zh-CN"/>
        </w:rPr>
        <w:t>557</w:t>
      </w:r>
      <w:r>
        <w:rPr>
          <w:rFonts w:hint="eastAsia" w:eastAsia="仿宋_GB2312"/>
          <w:lang w:val="zh-CN"/>
        </w:rPr>
        <w:t>t/</w:t>
      </w:r>
      <w:r>
        <w:rPr>
          <w:rFonts w:eastAsia="仿宋_GB2312"/>
          <w:lang w:val="zh-CN"/>
        </w:rPr>
        <w:t>k</w:t>
      </w:r>
      <w:r>
        <w:rPr>
          <w:rFonts w:hint="eastAsia" w:eastAsia="仿宋_GB2312"/>
          <w:lang w:val="zh-CN"/>
        </w:rPr>
        <w:t>m²</w:t>
      </w:r>
      <w:r>
        <w:rPr>
          <w:rFonts w:eastAsia="仿宋_GB2312"/>
          <w:lang w:val="zh-CN"/>
        </w:rPr>
        <w:t>.a，属于</w:t>
      </w:r>
      <w:r>
        <w:rPr>
          <w:rFonts w:hint="eastAsia" w:eastAsia="仿宋_GB2312"/>
          <w:lang w:val="zh-CN"/>
        </w:rPr>
        <w:t>轻</w:t>
      </w:r>
      <w:r>
        <w:rPr>
          <w:rFonts w:eastAsia="仿宋_GB2312"/>
          <w:lang w:val="zh-CN"/>
        </w:rPr>
        <w:t>度侵蚀</w:t>
      </w:r>
      <w:r>
        <w:rPr>
          <w:rFonts w:hint="eastAsia" w:eastAsia="仿宋_GB2312"/>
          <w:lang w:val="zh-CN"/>
        </w:rPr>
        <w:t>。</w:t>
      </w:r>
      <w:r>
        <w:rPr>
          <w:rFonts w:eastAsia="仿宋_GB2312"/>
          <w:lang w:val="zh-CN"/>
        </w:rPr>
        <w:t>工程所在区域水土流失及土壤侵蚀状况见表4</w:t>
      </w:r>
      <w:r>
        <w:rPr>
          <w:rFonts w:eastAsia="仿宋_GB2312"/>
          <w:lang w:val="zh-CN"/>
        </w:rPr>
        <w:noBreakHyphen/>
      </w:r>
      <w:r>
        <w:rPr>
          <w:rFonts w:eastAsia="仿宋_GB2312"/>
          <w:lang w:val="zh-CN"/>
        </w:rPr>
        <w:t>1。</w:t>
      </w:r>
    </w:p>
    <w:p>
      <w:pPr>
        <w:jc w:val="center"/>
        <w:rPr>
          <w:b/>
          <w:bCs/>
          <w:sz w:val="21"/>
        </w:rPr>
      </w:pPr>
      <w:r>
        <w:rPr>
          <w:b/>
          <w:bCs/>
          <w:sz w:val="21"/>
        </w:rPr>
        <w:t>表4</w:t>
      </w:r>
      <w:r>
        <w:rPr>
          <w:b/>
          <w:bCs/>
          <w:sz w:val="21"/>
        </w:rPr>
        <w:noBreakHyphen/>
      </w:r>
      <w:r>
        <w:rPr>
          <w:b/>
          <w:bCs/>
          <w:sz w:val="21"/>
        </w:rPr>
        <w:t>1仪陇县水土流失现状表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2005"/>
        <w:gridCol w:w="2005"/>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侵蚀强度</w:t>
            </w:r>
          </w:p>
        </w:tc>
        <w:tc>
          <w:tcPr>
            <w:tcW w:w="2005" w:type="dxa"/>
          </w:tcPr>
          <w:p>
            <w:pPr>
              <w:spacing w:line="240" w:lineRule="auto"/>
              <w:jc w:val="center"/>
              <w:rPr>
                <w:sz w:val="21"/>
              </w:rPr>
            </w:pPr>
            <w:r>
              <w:rPr>
                <w:rFonts w:hint="eastAsia"/>
                <w:sz w:val="21"/>
              </w:rPr>
              <w:t>面积</w:t>
            </w:r>
          </w:p>
        </w:tc>
        <w:tc>
          <w:tcPr>
            <w:tcW w:w="2005" w:type="dxa"/>
          </w:tcPr>
          <w:p>
            <w:pPr>
              <w:spacing w:line="240" w:lineRule="auto"/>
              <w:jc w:val="center"/>
              <w:rPr>
                <w:sz w:val="21"/>
              </w:rPr>
            </w:pPr>
            <w:r>
              <w:rPr>
                <w:rFonts w:hint="eastAsia"/>
                <w:sz w:val="21"/>
              </w:rPr>
              <w:t>占流失面积比</w:t>
            </w:r>
          </w:p>
        </w:tc>
        <w:tc>
          <w:tcPr>
            <w:tcW w:w="2005" w:type="dxa"/>
          </w:tcPr>
          <w:p>
            <w:pPr>
              <w:spacing w:line="240" w:lineRule="auto"/>
              <w:jc w:val="center"/>
              <w:rPr>
                <w:sz w:val="21"/>
              </w:rPr>
            </w:pPr>
            <w:r>
              <w:rPr>
                <w:rFonts w:hint="eastAsia"/>
                <w:sz w:val="21"/>
              </w:rPr>
              <w:t>占土地面积比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轻度</w:t>
            </w:r>
          </w:p>
        </w:tc>
        <w:tc>
          <w:tcPr>
            <w:tcW w:w="2005" w:type="dxa"/>
          </w:tcPr>
          <w:p>
            <w:pPr>
              <w:spacing w:line="240" w:lineRule="auto"/>
              <w:jc w:val="center"/>
              <w:rPr>
                <w:sz w:val="21"/>
              </w:rPr>
            </w:pPr>
            <w:r>
              <w:rPr>
                <w:rFonts w:hint="eastAsia"/>
                <w:sz w:val="21"/>
              </w:rPr>
              <w:t>205.67</w:t>
            </w:r>
          </w:p>
        </w:tc>
        <w:tc>
          <w:tcPr>
            <w:tcW w:w="2005" w:type="dxa"/>
          </w:tcPr>
          <w:p>
            <w:pPr>
              <w:spacing w:line="240" w:lineRule="auto"/>
              <w:jc w:val="center"/>
              <w:rPr>
                <w:sz w:val="21"/>
              </w:rPr>
            </w:pPr>
            <w:r>
              <w:rPr>
                <w:rFonts w:hint="eastAsia"/>
                <w:sz w:val="21"/>
              </w:rPr>
              <w:t>23.75</w:t>
            </w:r>
          </w:p>
        </w:tc>
        <w:tc>
          <w:tcPr>
            <w:tcW w:w="2005" w:type="dxa"/>
          </w:tcPr>
          <w:p>
            <w:pPr>
              <w:spacing w:line="240" w:lineRule="auto"/>
              <w:jc w:val="center"/>
              <w:rPr>
                <w:sz w:val="21"/>
              </w:rPr>
            </w:pPr>
            <w:r>
              <w:rPr>
                <w:rFonts w:hint="eastAsia"/>
                <w:sz w:val="21"/>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中度</w:t>
            </w:r>
          </w:p>
        </w:tc>
        <w:tc>
          <w:tcPr>
            <w:tcW w:w="2005" w:type="dxa"/>
          </w:tcPr>
          <w:p>
            <w:pPr>
              <w:spacing w:line="240" w:lineRule="auto"/>
              <w:jc w:val="center"/>
              <w:rPr>
                <w:sz w:val="21"/>
              </w:rPr>
            </w:pPr>
            <w:r>
              <w:rPr>
                <w:rFonts w:hint="eastAsia"/>
                <w:sz w:val="21"/>
              </w:rPr>
              <w:t>348.22</w:t>
            </w:r>
          </w:p>
        </w:tc>
        <w:tc>
          <w:tcPr>
            <w:tcW w:w="2005" w:type="dxa"/>
          </w:tcPr>
          <w:p>
            <w:pPr>
              <w:spacing w:line="240" w:lineRule="auto"/>
              <w:jc w:val="center"/>
              <w:rPr>
                <w:sz w:val="21"/>
              </w:rPr>
            </w:pPr>
            <w:r>
              <w:rPr>
                <w:rFonts w:hint="eastAsia"/>
                <w:sz w:val="21"/>
              </w:rPr>
              <w:t>40.22</w:t>
            </w:r>
          </w:p>
        </w:tc>
        <w:tc>
          <w:tcPr>
            <w:tcW w:w="2005" w:type="dxa"/>
          </w:tcPr>
          <w:p>
            <w:pPr>
              <w:spacing w:line="240" w:lineRule="auto"/>
              <w:jc w:val="center"/>
              <w:rPr>
                <w:sz w:val="21"/>
              </w:rPr>
            </w:pPr>
            <w:r>
              <w:rPr>
                <w:rFonts w:hint="eastAsia"/>
                <w:sz w:val="21"/>
              </w:rPr>
              <w:t>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强烈</w:t>
            </w:r>
          </w:p>
        </w:tc>
        <w:tc>
          <w:tcPr>
            <w:tcW w:w="2005" w:type="dxa"/>
          </w:tcPr>
          <w:p>
            <w:pPr>
              <w:spacing w:line="240" w:lineRule="auto"/>
              <w:jc w:val="center"/>
              <w:rPr>
                <w:sz w:val="21"/>
              </w:rPr>
            </w:pPr>
            <w:r>
              <w:rPr>
                <w:rFonts w:hint="eastAsia"/>
                <w:sz w:val="21"/>
              </w:rPr>
              <w:t>180.75</w:t>
            </w:r>
          </w:p>
        </w:tc>
        <w:tc>
          <w:tcPr>
            <w:tcW w:w="2005" w:type="dxa"/>
          </w:tcPr>
          <w:p>
            <w:pPr>
              <w:spacing w:line="240" w:lineRule="auto"/>
              <w:jc w:val="center"/>
              <w:rPr>
                <w:sz w:val="21"/>
              </w:rPr>
            </w:pPr>
            <w:r>
              <w:rPr>
                <w:rFonts w:hint="eastAsia"/>
                <w:sz w:val="21"/>
              </w:rPr>
              <w:t>20.87</w:t>
            </w:r>
          </w:p>
        </w:tc>
        <w:tc>
          <w:tcPr>
            <w:tcW w:w="2005" w:type="dxa"/>
          </w:tcPr>
          <w:p>
            <w:pPr>
              <w:spacing w:line="240" w:lineRule="auto"/>
              <w:jc w:val="center"/>
              <w:rPr>
                <w:sz w:val="21"/>
              </w:rPr>
            </w:pPr>
            <w:r>
              <w:rPr>
                <w:rFonts w:hint="eastAsia"/>
                <w:sz w:val="21"/>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极强烈</w:t>
            </w:r>
          </w:p>
        </w:tc>
        <w:tc>
          <w:tcPr>
            <w:tcW w:w="2005" w:type="dxa"/>
          </w:tcPr>
          <w:p>
            <w:pPr>
              <w:spacing w:line="240" w:lineRule="auto"/>
              <w:jc w:val="center"/>
              <w:rPr>
                <w:sz w:val="21"/>
              </w:rPr>
            </w:pPr>
            <w:r>
              <w:rPr>
                <w:rFonts w:hint="eastAsia"/>
                <w:sz w:val="21"/>
              </w:rPr>
              <w:t>83.45</w:t>
            </w:r>
          </w:p>
        </w:tc>
        <w:tc>
          <w:tcPr>
            <w:tcW w:w="2005" w:type="dxa"/>
          </w:tcPr>
          <w:p>
            <w:pPr>
              <w:spacing w:line="240" w:lineRule="auto"/>
              <w:jc w:val="center"/>
              <w:rPr>
                <w:sz w:val="21"/>
              </w:rPr>
            </w:pPr>
            <w:r>
              <w:rPr>
                <w:rFonts w:hint="eastAsia"/>
                <w:sz w:val="21"/>
              </w:rPr>
              <w:t>9.64</w:t>
            </w:r>
          </w:p>
        </w:tc>
        <w:tc>
          <w:tcPr>
            <w:tcW w:w="2005" w:type="dxa"/>
          </w:tcPr>
          <w:p>
            <w:pPr>
              <w:spacing w:line="240" w:lineRule="auto"/>
              <w:jc w:val="center"/>
              <w:rPr>
                <w:sz w:val="21"/>
              </w:rPr>
            </w:pPr>
            <w:r>
              <w:rPr>
                <w:rFonts w:hint="eastAsia"/>
                <w:sz w:val="21"/>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5" w:type="dxa"/>
          </w:tcPr>
          <w:p>
            <w:pPr>
              <w:spacing w:line="240" w:lineRule="auto"/>
              <w:jc w:val="center"/>
              <w:rPr>
                <w:sz w:val="21"/>
              </w:rPr>
            </w:pPr>
            <w:r>
              <w:rPr>
                <w:rFonts w:hint="eastAsia"/>
                <w:sz w:val="21"/>
              </w:rPr>
              <w:t>剧烈</w:t>
            </w:r>
          </w:p>
        </w:tc>
        <w:tc>
          <w:tcPr>
            <w:tcW w:w="2005" w:type="dxa"/>
          </w:tcPr>
          <w:p>
            <w:pPr>
              <w:spacing w:line="240" w:lineRule="auto"/>
              <w:jc w:val="center"/>
              <w:rPr>
                <w:sz w:val="21"/>
              </w:rPr>
            </w:pPr>
            <w:r>
              <w:rPr>
                <w:rFonts w:hint="eastAsia"/>
                <w:sz w:val="21"/>
              </w:rPr>
              <w:t>47.76</w:t>
            </w:r>
          </w:p>
        </w:tc>
        <w:tc>
          <w:tcPr>
            <w:tcW w:w="2005" w:type="dxa"/>
          </w:tcPr>
          <w:p>
            <w:pPr>
              <w:spacing w:line="240" w:lineRule="auto"/>
              <w:jc w:val="center"/>
              <w:rPr>
                <w:sz w:val="21"/>
              </w:rPr>
            </w:pPr>
            <w:r>
              <w:rPr>
                <w:rFonts w:hint="eastAsia"/>
                <w:sz w:val="21"/>
              </w:rPr>
              <w:t>5.52</w:t>
            </w:r>
          </w:p>
        </w:tc>
        <w:tc>
          <w:tcPr>
            <w:tcW w:w="2005" w:type="dxa"/>
          </w:tcPr>
          <w:p>
            <w:pPr>
              <w:spacing w:line="240" w:lineRule="auto"/>
              <w:jc w:val="center"/>
              <w:rPr>
                <w:sz w:val="21"/>
              </w:rPr>
            </w:pPr>
            <w:r>
              <w:rPr>
                <w:rFonts w:hint="eastAsia"/>
                <w:sz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005" w:type="dxa"/>
          </w:tcPr>
          <w:p>
            <w:pPr>
              <w:spacing w:line="240" w:lineRule="auto"/>
              <w:jc w:val="center"/>
              <w:rPr>
                <w:sz w:val="21"/>
              </w:rPr>
            </w:pPr>
            <w:r>
              <w:rPr>
                <w:rFonts w:hint="eastAsia"/>
                <w:sz w:val="21"/>
              </w:rPr>
              <w:t>合计</w:t>
            </w:r>
          </w:p>
        </w:tc>
        <w:tc>
          <w:tcPr>
            <w:tcW w:w="2005" w:type="dxa"/>
          </w:tcPr>
          <w:p>
            <w:pPr>
              <w:spacing w:line="240" w:lineRule="auto"/>
              <w:jc w:val="center"/>
              <w:rPr>
                <w:sz w:val="21"/>
              </w:rPr>
            </w:pPr>
            <w:r>
              <w:rPr>
                <w:rFonts w:hint="eastAsia"/>
                <w:sz w:val="21"/>
              </w:rPr>
              <w:t>865.85</w:t>
            </w:r>
          </w:p>
        </w:tc>
        <w:tc>
          <w:tcPr>
            <w:tcW w:w="2005" w:type="dxa"/>
          </w:tcPr>
          <w:p>
            <w:pPr>
              <w:spacing w:line="240" w:lineRule="auto"/>
              <w:jc w:val="center"/>
              <w:rPr>
                <w:sz w:val="21"/>
              </w:rPr>
            </w:pPr>
            <w:r>
              <w:rPr>
                <w:rFonts w:hint="eastAsia"/>
                <w:sz w:val="21"/>
              </w:rPr>
              <w:t>100</w:t>
            </w:r>
          </w:p>
        </w:tc>
        <w:tc>
          <w:tcPr>
            <w:tcW w:w="2005" w:type="dxa"/>
          </w:tcPr>
          <w:p>
            <w:pPr>
              <w:spacing w:line="240" w:lineRule="auto"/>
              <w:jc w:val="center"/>
              <w:rPr>
                <w:sz w:val="21"/>
              </w:rPr>
            </w:pPr>
            <w:r>
              <w:rPr>
                <w:rFonts w:hint="eastAsia"/>
                <w:sz w:val="21"/>
              </w:rPr>
              <w:t>48.35</w:t>
            </w:r>
          </w:p>
        </w:tc>
      </w:tr>
    </w:tbl>
    <w:p>
      <w:pPr>
        <w:rPr>
          <w:rFonts w:hint="eastAsia"/>
          <w:b/>
          <w:bCs/>
          <w:sz w:val="21"/>
        </w:rPr>
      </w:pPr>
      <w:r>
        <w:rPr>
          <w:rFonts w:hint="eastAsia"/>
          <w:b/>
          <w:bCs/>
          <w:sz w:val="21"/>
        </w:rPr>
        <w:t>注：以上土地利用现状数据来源于《仪陇县水土保持规划》（2015-2030年）</w:t>
      </w:r>
    </w:p>
    <w:p>
      <w:pPr>
        <w:pStyle w:val="6"/>
        <w:bidi w:val="0"/>
        <w:rPr>
          <w:rFonts w:hint="default"/>
          <w:lang w:val="en-US" w:eastAsia="zh-CN"/>
        </w:rPr>
      </w:pPr>
      <w:r>
        <w:rPr>
          <w:rFonts w:hint="eastAsia"/>
          <w:lang w:val="en-US" w:eastAsia="zh-CN"/>
        </w:rPr>
        <w:t>4.1.2工程区水土流失现状</w:t>
      </w:r>
    </w:p>
    <w:p>
      <w:pPr>
        <w:ind w:firstLine="480"/>
        <w:rPr>
          <w:rFonts w:hint="eastAsia" w:ascii="Times New Roman" w:hAnsi="Times New Roman" w:eastAsia="仿宋_GB2312" w:cs="仿宋_GB2312"/>
          <w:b/>
          <w:bCs/>
          <w:sz w:val="21"/>
          <w:szCs w:val="21"/>
          <w:highlight w:val="none"/>
        </w:rPr>
      </w:pPr>
      <w:r>
        <w:rPr>
          <w:rFonts w:hint="eastAsia"/>
          <w:color w:val="000000"/>
        </w:rPr>
        <w:t>本工程位于</w:t>
      </w:r>
      <w:r>
        <w:rPr>
          <w:rFonts w:hint="eastAsia"/>
          <w:szCs w:val="21"/>
        </w:rPr>
        <w:t>四川省南充市仪陇县琳琅大道北二段</w:t>
      </w:r>
      <w:r>
        <w:rPr>
          <w:rFonts w:hint="eastAsia"/>
          <w:color w:val="000000"/>
        </w:rPr>
        <w:t>，土壤侵蚀类型以水力侵蚀为主。根据本工程区土壤侵蚀强度分布图，并经现场踏勘调查工程区土地利用类型、面积、地形坡度和植被覆盖率等，同时结合工程区地貌、土壤和气候特征，参照《土壤侵蚀分类分级标准》（SL190-2007）</w:t>
      </w:r>
      <w:r>
        <w:rPr>
          <w:color w:val="000000"/>
        </w:rPr>
        <w:t>及《四川省水利厅关于印发&lt;四川省水土保持方案编制与审查若干技术问题暂行规定&gt;的函》（川水[2014]1723号）中的规定，</w:t>
      </w:r>
      <w:r>
        <w:rPr>
          <w:rFonts w:hint="eastAsia"/>
          <w:color w:val="000000"/>
        </w:rPr>
        <w:t>推求不同土地利用类型下的侵蚀强度。本工程占地类型为</w:t>
      </w:r>
      <w:r>
        <w:rPr>
          <w:rFonts w:hint="eastAsia"/>
          <w:color w:val="000000"/>
          <w:lang w:eastAsia="zh-CN"/>
        </w:rPr>
        <w:t>住宅用地</w:t>
      </w:r>
      <w:r>
        <w:rPr>
          <w:rFonts w:hint="eastAsia"/>
          <w:color w:val="000000"/>
        </w:rPr>
        <w:t>，土壤侵蚀强度</w:t>
      </w:r>
      <w:r>
        <w:rPr>
          <w:rFonts w:hint="eastAsia"/>
          <w:color w:val="000000"/>
          <w:lang w:val="en-US" w:eastAsia="zh-CN"/>
        </w:rPr>
        <w:t>分别</w:t>
      </w:r>
      <w:r>
        <w:rPr>
          <w:rFonts w:hint="eastAsia"/>
          <w:color w:val="000000"/>
        </w:rPr>
        <w:t>为微度</w:t>
      </w:r>
      <w:r>
        <w:rPr>
          <w:rFonts w:hint="eastAsia"/>
          <w:color w:val="000000"/>
          <w:lang w:val="en-US" w:eastAsia="zh-CN"/>
        </w:rPr>
        <w:t>和轻度</w:t>
      </w:r>
      <w:r>
        <w:rPr>
          <w:rFonts w:hint="eastAsia"/>
          <w:color w:val="000000"/>
        </w:rPr>
        <w:t>。</w:t>
      </w:r>
      <w:r>
        <w:rPr>
          <w:color w:val="000000"/>
        </w:rPr>
        <w:t>通过计算，本工程占地区内的平均土壤侵蚀模数背景值</w:t>
      </w:r>
      <w:r>
        <w:rPr>
          <w:rFonts w:hint="eastAsia"/>
          <w:color w:val="000000"/>
          <w:lang w:val="en-US" w:eastAsia="zh-CN"/>
        </w:rPr>
        <w:t>根据不同区域土壤侵蚀模数加权平均数计算</w:t>
      </w:r>
      <w:r>
        <w:rPr>
          <w:color w:val="000000"/>
        </w:rPr>
        <w:t>为</w:t>
      </w:r>
      <w:r>
        <w:rPr>
          <w:rFonts w:hint="eastAsia" w:eastAsia="仿宋_GB2312"/>
          <w:lang w:val="en-US" w:eastAsia="zh-CN"/>
        </w:rPr>
        <w:t>557</w:t>
      </w:r>
      <w:r>
        <w:rPr>
          <w:rFonts w:hint="eastAsia" w:eastAsia="仿宋_GB2312"/>
          <w:lang w:val="zh-CN"/>
        </w:rPr>
        <w:t>t/</w:t>
      </w:r>
      <w:r>
        <w:rPr>
          <w:rFonts w:eastAsia="仿宋_GB2312"/>
          <w:lang w:val="zh-CN"/>
        </w:rPr>
        <w:t>k</w:t>
      </w:r>
      <w:r>
        <w:rPr>
          <w:rFonts w:hint="eastAsia" w:eastAsia="仿宋_GB2312"/>
          <w:lang w:val="zh-CN"/>
        </w:rPr>
        <w:t>m²</w:t>
      </w:r>
      <w:r>
        <w:rPr>
          <w:rFonts w:eastAsia="仿宋_GB2312"/>
          <w:lang w:val="zh-CN"/>
        </w:rPr>
        <w:t>.a</w:t>
      </w:r>
      <w:r>
        <w:rPr>
          <w:color w:val="0000FF"/>
        </w:rPr>
        <w:t>，</w:t>
      </w:r>
      <w:r>
        <w:rPr>
          <w:color w:val="000000"/>
          <w:kern w:val="0"/>
        </w:rPr>
        <w:t>详见表</w:t>
      </w:r>
      <w:r>
        <w:rPr>
          <w:rFonts w:hint="eastAsia"/>
          <w:color w:val="000000"/>
          <w:kern w:val="0"/>
        </w:rPr>
        <w:t>4-</w:t>
      </w:r>
      <w:r>
        <w:rPr>
          <w:rFonts w:hint="eastAsia"/>
          <w:color w:val="000000"/>
          <w:kern w:val="0"/>
          <w:lang w:val="en-US" w:eastAsia="zh-CN"/>
        </w:rPr>
        <w:t>2</w:t>
      </w:r>
      <w:r>
        <w:rPr>
          <w:color w:val="000000"/>
          <w:kern w:val="0"/>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ighlight w:val="none"/>
        </w:rPr>
      </w:pPr>
      <w:r>
        <w:rPr>
          <w:rFonts w:hint="eastAsia" w:ascii="Times New Roman" w:hAnsi="Times New Roman" w:eastAsia="仿宋_GB2312" w:cs="仿宋_GB2312"/>
          <w:b/>
          <w:bCs/>
          <w:sz w:val="21"/>
          <w:szCs w:val="21"/>
          <w:highlight w:val="none"/>
        </w:rPr>
        <w:t>表4</w:t>
      </w:r>
      <w:r>
        <w:rPr>
          <w:rFonts w:hint="eastAsia" w:ascii="Times New Roman" w:hAnsi="Times New Roman" w:eastAsia="仿宋_GB2312" w:cs="仿宋_GB2312"/>
          <w:b/>
          <w:bCs/>
          <w:sz w:val="21"/>
          <w:szCs w:val="21"/>
          <w:highlight w:val="none"/>
          <w:lang w:val="en-US" w:eastAsia="zh-CN"/>
        </w:rPr>
        <w:t>-2</w:t>
      </w:r>
      <w:r>
        <w:rPr>
          <w:rFonts w:hint="eastAsia" w:ascii="Times New Roman" w:hAnsi="Times New Roman" w:eastAsia="仿宋_GB2312" w:cs="仿宋_GB2312"/>
          <w:b/>
          <w:bCs/>
          <w:sz w:val="21"/>
          <w:szCs w:val="21"/>
          <w:highlight w:val="none"/>
        </w:rPr>
        <w:t xml:space="preserve"> 项目区水土流失背景值确定表</w:t>
      </w:r>
    </w:p>
    <w:tbl>
      <w:tblPr>
        <w:tblStyle w:val="1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026"/>
        <w:gridCol w:w="832"/>
        <w:gridCol w:w="832"/>
        <w:gridCol w:w="931"/>
        <w:gridCol w:w="887"/>
        <w:gridCol w:w="976"/>
        <w:gridCol w:w="757"/>
        <w:gridCol w:w="1156"/>
        <w:gridCol w:w="9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16" w:type="pct"/>
            <w:tcBorders>
              <w:tl2br w:val="nil"/>
              <w:tr2bl w:val="nil"/>
            </w:tcBorders>
            <w:vAlign w:val="center"/>
          </w:tcPr>
          <w:p>
            <w:pPr>
              <w:pStyle w:val="29"/>
              <w:spacing w:line="240" w:lineRule="auto"/>
              <w:rPr>
                <w:sz w:val="18"/>
                <w:szCs w:val="18"/>
              </w:rPr>
            </w:pPr>
            <w:r>
              <w:rPr>
                <w:rFonts w:hint="eastAsia"/>
                <w:sz w:val="18"/>
                <w:szCs w:val="18"/>
                <w:lang w:eastAsia="zh-CN"/>
              </w:rPr>
              <w:t>防治分区</w:t>
            </w:r>
          </w:p>
        </w:tc>
        <w:tc>
          <w:tcPr>
            <w:tcW w:w="499"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占地类型</w:t>
            </w:r>
          </w:p>
        </w:tc>
        <w:tc>
          <w:tcPr>
            <w:tcW w:w="499" w:type="pct"/>
            <w:tcBorders>
              <w:tl2br w:val="nil"/>
              <w:tr2bl w:val="nil"/>
            </w:tcBorders>
            <w:vAlign w:val="center"/>
          </w:tcPr>
          <w:p>
            <w:pPr>
              <w:pStyle w:val="29"/>
              <w:spacing w:line="240" w:lineRule="auto"/>
              <w:rPr>
                <w:sz w:val="18"/>
                <w:szCs w:val="18"/>
              </w:rPr>
            </w:pPr>
            <w:r>
              <w:rPr>
                <w:sz w:val="18"/>
                <w:szCs w:val="18"/>
              </w:rPr>
              <w:t>面积(</w:t>
            </w:r>
            <w:r>
              <w:rPr>
                <w:rFonts w:hint="eastAsia"/>
                <w:sz w:val="18"/>
                <w:szCs w:val="18"/>
                <w:lang w:eastAsia="zh-CN"/>
              </w:rPr>
              <w:t>hm²</w:t>
            </w:r>
            <w:r>
              <w:rPr>
                <w:sz w:val="18"/>
                <w:szCs w:val="18"/>
              </w:rPr>
              <w:t>)</w:t>
            </w:r>
          </w:p>
        </w:tc>
        <w:tc>
          <w:tcPr>
            <w:tcW w:w="558" w:type="pct"/>
            <w:tcBorders>
              <w:tl2br w:val="nil"/>
              <w:tr2bl w:val="nil"/>
            </w:tcBorders>
            <w:vAlign w:val="center"/>
          </w:tcPr>
          <w:p>
            <w:pPr>
              <w:pStyle w:val="29"/>
              <w:spacing w:line="240" w:lineRule="auto"/>
              <w:rPr>
                <w:sz w:val="18"/>
                <w:szCs w:val="18"/>
              </w:rPr>
            </w:pPr>
            <w:r>
              <w:rPr>
                <w:sz w:val="18"/>
                <w:szCs w:val="18"/>
              </w:rPr>
              <w:t>平均坡度(°)</w:t>
            </w:r>
          </w:p>
        </w:tc>
        <w:tc>
          <w:tcPr>
            <w:tcW w:w="532" w:type="pct"/>
            <w:tcBorders>
              <w:tl2br w:val="nil"/>
              <w:tr2bl w:val="nil"/>
            </w:tcBorders>
            <w:vAlign w:val="center"/>
          </w:tcPr>
          <w:p>
            <w:pPr>
              <w:pStyle w:val="29"/>
              <w:spacing w:line="240" w:lineRule="auto"/>
              <w:rPr>
                <w:sz w:val="18"/>
                <w:szCs w:val="18"/>
              </w:rPr>
            </w:pPr>
            <w:r>
              <w:rPr>
                <w:sz w:val="18"/>
                <w:szCs w:val="18"/>
              </w:rPr>
              <w:t>植被覆盖度(%)</w:t>
            </w:r>
          </w:p>
        </w:tc>
        <w:tc>
          <w:tcPr>
            <w:tcW w:w="585"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损毁植被面积（</w:t>
            </w:r>
            <w:r>
              <w:rPr>
                <w:rFonts w:hint="eastAsia"/>
                <w:sz w:val="18"/>
                <w:szCs w:val="18"/>
                <w:lang w:val="en-US" w:eastAsia="zh-CN"/>
              </w:rPr>
              <w:t>hm²</w:t>
            </w:r>
            <w:r>
              <w:rPr>
                <w:rFonts w:hint="eastAsia"/>
                <w:sz w:val="18"/>
                <w:szCs w:val="18"/>
                <w:lang w:eastAsia="zh-CN"/>
              </w:rPr>
              <w:t>）</w:t>
            </w:r>
          </w:p>
        </w:tc>
        <w:tc>
          <w:tcPr>
            <w:tcW w:w="454" w:type="pct"/>
            <w:tcBorders>
              <w:tl2br w:val="nil"/>
              <w:tr2bl w:val="nil"/>
            </w:tcBorders>
            <w:vAlign w:val="center"/>
          </w:tcPr>
          <w:p>
            <w:pPr>
              <w:pStyle w:val="29"/>
              <w:spacing w:line="240" w:lineRule="auto"/>
              <w:rPr>
                <w:sz w:val="18"/>
                <w:szCs w:val="18"/>
              </w:rPr>
            </w:pPr>
            <w:r>
              <w:rPr>
                <w:sz w:val="18"/>
                <w:szCs w:val="18"/>
              </w:rPr>
              <w:t>侵蚀强度</w:t>
            </w:r>
          </w:p>
        </w:tc>
        <w:tc>
          <w:tcPr>
            <w:tcW w:w="693" w:type="pct"/>
            <w:tcBorders>
              <w:tl2br w:val="nil"/>
              <w:tr2bl w:val="nil"/>
            </w:tcBorders>
            <w:vAlign w:val="center"/>
          </w:tcPr>
          <w:p>
            <w:pPr>
              <w:pStyle w:val="29"/>
              <w:spacing w:line="240" w:lineRule="auto"/>
              <w:rPr>
                <w:sz w:val="18"/>
                <w:szCs w:val="18"/>
              </w:rPr>
            </w:pPr>
            <w:r>
              <w:rPr>
                <w:rFonts w:hint="eastAsia"/>
                <w:sz w:val="18"/>
                <w:szCs w:val="18"/>
              </w:rPr>
              <w:t>背景模数</w:t>
            </w:r>
            <w:r>
              <w:rPr>
                <w:sz w:val="18"/>
                <w:szCs w:val="18"/>
              </w:rPr>
              <w:t>(t/k</w:t>
            </w:r>
            <w:r>
              <w:rPr>
                <w:rFonts w:hint="eastAsia"/>
                <w:sz w:val="18"/>
                <w:szCs w:val="18"/>
                <w:lang w:eastAsia="zh-CN"/>
              </w:rPr>
              <w:t>m²</w:t>
            </w:r>
            <w:r>
              <w:rPr>
                <w:sz w:val="18"/>
                <w:szCs w:val="18"/>
              </w:rPr>
              <w:t>·a)</w:t>
            </w:r>
          </w:p>
        </w:tc>
        <w:tc>
          <w:tcPr>
            <w:tcW w:w="561" w:type="pct"/>
            <w:tcBorders>
              <w:tl2br w:val="nil"/>
              <w:tr2bl w:val="nil"/>
            </w:tcBorders>
            <w:vAlign w:val="center"/>
          </w:tcPr>
          <w:p>
            <w:pPr>
              <w:pStyle w:val="29"/>
              <w:spacing w:line="240" w:lineRule="auto"/>
              <w:rPr>
                <w:sz w:val="18"/>
                <w:szCs w:val="18"/>
              </w:rPr>
            </w:pPr>
            <w:r>
              <w:rPr>
                <w:rFonts w:hint="eastAsia"/>
                <w:sz w:val="18"/>
                <w:szCs w:val="18"/>
              </w:rPr>
              <w:t>年均侵蚀量</w:t>
            </w:r>
            <w:r>
              <w:rPr>
                <w:sz w:val="18"/>
                <w:szCs w:val="18"/>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16"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建筑构物区</w:t>
            </w:r>
          </w:p>
        </w:tc>
        <w:tc>
          <w:tcPr>
            <w:tcW w:w="499" w:type="pct"/>
            <w:tcBorders>
              <w:tl2br w:val="nil"/>
              <w:tr2bl w:val="nil"/>
            </w:tcBorders>
            <w:vAlign w:val="center"/>
          </w:tcPr>
          <w:p>
            <w:pPr>
              <w:pStyle w:val="29"/>
              <w:spacing w:line="240" w:lineRule="auto"/>
              <w:rPr>
                <w:rFonts w:hint="eastAsia"/>
                <w:sz w:val="18"/>
                <w:szCs w:val="18"/>
                <w:lang w:val="en-US" w:eastAsia="zh-CN"/>
              </w:rPr>
            </w:pPr>
            <w:r>
              <w:rPr>
                <w:rFonts w:hint="eastAsia"/>
                <w:sz w:val="18"/>
                <w:szCs w:val="18"/>
                <w:lang w:val="en-US" w:eastAsia="zh-CN"/>
              </w:rPr>
              <w:t>住宅用地</w:t>
            </w:r>
          </w:p>
        </w:tc>
        <w:tc>
          <w:tcPr>
            <w:tcW w:w="499"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0.27</w:t>
            </w:r>
          </w:p>
        </w:tc>
        <w:tc>
          <w:tcPr>
            <w:tcW w:w="558" w:type="pct"/>
            <w:tcBorders>
              <w:tl2br w:val="nil"/>
              <w:tr2bl w:val="nil"/>
            </w:tcBorders>
            <w:vAlign w:val="center"/>
          </w:tcPr>
          <w:p>
            <w:pPr>
              <w:pStyle w:val="29"/>
              <w:spacing w:line="240" w:lineRule="auto"/>
              <w:rPr>
                <w:sz w:val="18"/>
                <w:szCs w:val="18"/>
              </w:rPr>
            </w:pPr>
            <w:r>
              <w:rPr>
                <w:rFonts w:hint="eastAsia"/>
                <w:sz w:val="18"/>
                <w:szCs w:val="18"/>
                <w:lang w:val="en-US" w:eastAsia="zh-CN"/>
              </w:rPr>
              <w:t>&lt;5</w:t>
            </w:r>
          </w:p>
        </w:tc>
        <w:tc>
          <w:tcPr>
            <w:tcW w:w="532" w:type="pct"/>
            <w:tcBorders>
              <w:tl2br w:val="nil"/>
              <w:tr2bl w:val="nil"/>
            </w:tcBorders>
            <w:vAlign w:val="center"/>
          </w:tcPr>
          <w:p>
            <w:pPr>
              <w:pStyle w:val="29"/>
              <w:spacing w:line="240" w:lineRule="auto"/>
              <w:rPr>
                <w:sz w:val="18"/>
                <w:szCs w:val="18"/>
              </w:rPr>
            </w:pPr>
            <w:r>
              <w:rPr>
                <w:sz w:val="18"/>
                <w:szCs w:val="18"/>
              </w:rPr>
              <w:t>/</w:t>
            </w:r>
          </w:p>
        </w:tc>
        <w:tc>
          <w:tcPr>
            <w:tcW w:w="585" w:type="pct"/>
            <w:tcBorders>
              <w:tl2br w:val="nil"/>
              <w:tr2bl w:val="nil"/>
            </w:tcBorders>
            <w:vAlign w:val="center"/>
          </w:tcPr>
          <w:p>
            <w:pPr>
              <w:pStyle w:val="29"/>
              <w:spacing w:line="240" w:lineRule="auto"/>
              <w:rPr>
                <w:rFonts w:hint="eastAsia" w:eastAsia="宋体"/>
                <w:sz w:val="18"/>
                <w:szCs w:val="18"/>
                <w:lang w:val="en-US" w:eastAsia="zh-CN"/>
              </w:rPr>
            </w:pPr>
            <w:r>
              <w:rPr>
                <w:rFonts w:hint="eastAsia"/>
                <w:sz w:val="18"/>
                <w:szCs w:val="18"/>
                <w:lang w:val="en-US" w:eastAsia="zh-CN"/>
              </w:rPr>
              <w:t>/</w:t>
            </w:r>
          </w:p>
        </w:tc>
        <w:tc>
          <w:tcPr>
            <w:tcW w:w="454"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微度</w:t>
            </w:r>
          </w:p>
        </w:tc>
        <w:tc>
          <w:tcPr>
            <w:tcW w:w="693"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350</w:t>
            </w:r>
          </w:p>
        </w:tc>
        <w:tc>
          <w:tcPr>
            <w:tcW w:w="561"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16"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附属设施区</w:t>
            </w:r>
          </w:p>
        </w:tc>
        <w:tc>
          <w:tcPr>
            <w:tcW w:w="499" w:type="pct"/>
            <w:tcBorders>
              <w:tl2br w:val="nil"/>
              <w:tr2bl w:val="nil"/>
            </w:tcBorders>
            <w:vAlign w:val="center"/>
          </w:tcPr>
          <w:p>
            <w:pPr>
              <w:spacing w:line="240" w:lineRule="auto"/>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t>住宅用地</w:t>
            </w:r>
          </w:p>
        </w:tc>
        <w:tc>
          <w:tcPr>
            <w:tcW w:w="499"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0.47</w:t>
            </w:r>
          </w:p>
        </w:tc>
        <w:tc>
          <w:tcPr>
            <w:tcW w:w="558" w:type="pct"/>
            <w:tcBorders>
              <w:tl2br w:val="nil"/>
              <w:tr2bl w:val="nil"/>
            </w:tcBorders>
            <w:vAlign w:val="center"/>
          </w:tcPr>
          <w:p>
            <w:pPr>
              <w:pStyle w:val="29"/>
              <w:spacing w:line="240" w:lineRule="auto"/>
              <w:jc w:val="center"/>
              <w:rPr>
                <w:rFonts w:hint="default" w:eastAsia="宋体"/>
                <w:sz w:val="18"/>
                <w:szCs w:val="18"/>
                <w:lang w:val="en-US" w:eastAsia="zh-CN"/>
              </w:rPr>
            </w:pPr>
            <w:r>
              <w:rPr>
                <w:rFonts w:hint="eastAsia"/>
                <w:sz w:val="18"/>
                <w:szCs w:val="18"/>
                <w:lang w:val="en-US" w:eastAsia="zh-CN"/>
              </w:rPr>
              <w:t>5~8</w:t>
            </w:r>
          </w:p>
        </w:tc>
        <w:tc>
          <w:tcPr>
            <w:tcW w:w="532"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w:t>
            </w:r>
          </w:p>
        </w:tc>
        <w:tc>
          <w:tcPr>
            <w:tcW w:w="585" w:type="pct"/>
            <w:tcBorders>
              <w:tl2br w:val="nil"/>
              <w:tr2bl w:val="nil"/>
            </w:tcBorders>
            <w:vAlign w:val="center"/>
          </w:tcPr>
          <w:p>
            <w:pPr>
              <w:pStyle w:val="29"/>
              <w:spacing w:line="240" w:lineRule="auto"/>
              <w:rPr>
                <w:rFonts w:hint="default"/>
                <w:sz w:val="18"/>
                <w:szCs w:val="18"/>
                <w:lang w:val="en-US" w:eastAsia="zh-CN"/>
              </w:rPr>
            </w:pPr>
            <w:r>
              <w:rPr>
                <w:rFonts w:hint="eastAsia"/>
                <w:sz w:val="18"/>
                <w:szCs w:val="18"/>
                <w:lang w:val="en-US" w:eastAsia="zh-CN"/>
              </w:rPr>
              <w:t>/</w:t>
            </w:r>
          </w:p>
        </w:tc>
        <w:tc>
          <w:tcPr>
            <w:tcW w:w="454"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轻度</w:t>
            </w:r>
          </w:p>
        </w:tc>
        <w:tc>
          <w:tcPr>
            <w:tcW w:w="693"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800</w:t>
            </w:r>
          </w:p>
        </w:tc>
        <w:tc>
          <w:tcPr>
            <w:tcW w:w="561"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3.75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16" w:type="pct"/>
            <w:tcBorders>
              <w:tl2br w:val="nil"/>
              <w:tr2bl w:val="nil"/>
            </w:tcBorders>
            <w:vAlign w:val="center"/>
          </w:tcPr>
          <w:p>
            <w:pPr>
              <w:pStyle w:val="29"/>
              <w:spacing w:line="240" w:lineRule="auto"/>
              <w:rPr>
                <w:rFonts w:hint="eastAsia" w:eastAsia="宋体"/>
                <w:sz w:val="18"/>
                <w:szCs w:val="18"/>
                <w:lang w:eastAsia="zh-CN"/>
              </w:rPr>
            </w:pPr>
            <w:r>
              <w:rPr>
                <w:rFonts w:hint="eastAsia"/>
                <w:sz w:val="18"/>
                <w:szCs w:val="18"/>
                <w:lang w:eastAsia="zh-CN"/>
              </w:rPr>
              <w:t>景观绿化区</w:t>
            </w:r>
          </w:p>
        </w:tc>
        <w:tc>
          <w:tcPr>
            <w:tcW w:w="499" w:type="pct"/>
            <w:tcBorders>
              <w:tl2br w:val="nil"/>
              <w:tr2bl w:val="nil"/>
            </w:tcBorders>
            <w:vAlign w:val="center"/>
          </w:tcPr>
          <w:p>
            <w:pPr>
              <w:spacing w:line="240" w:lineRule="auto"/>
              <w:jc w:val="center"/>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t>住宅用地</w:t>
            </w:r>
          </w:p>
        </w:tc>
        <w:tc>
          <w:tcPr>
            <w:tcW w:w="499"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0.28</w:t>
            </w:r>
          </w:p>
        </w:tc>
        <w:tc>
          <w:tcPr>
            <w:tcW w:w="558" w:type="pct"/>
            <w:tcBorders>
              <w:tl2br w:val="nil"/>
              <w:tr2bl w:val="nil"/>
            </w:tcBorders>
            <w:vAlign w:val="center"/>
          </w:tcPr>
          <w:p>
            <w:pPr>
              <w:pStyle w:val="29"/>
              <w:spacing w:line="240" w:lineRule="auto"/>
              <w:rPr>
                <w:rFonts w:eastAsia="仿宋_GB2312"/>
                <w:sz w:val="18"/>
                <w:szCs w:val="18"/>
              </w:rPr>
            </w:pPr>
            <w:r>
              <w:rPr>
                <w:rFonts w:hint="eastAsia"/>
                <w:sz w:val="18"/>
                <w:szCs w:val="18"/>
                <w:lang w:val="en-US" w:eastAsia="zh-CN"/>
              </w:rPr>
              <w:t>&lt;5</w:t>
            </w:r>
          </w:p>
        </w:tc>
        <w:tc>
          <w:tcPr>
            <w:tcW w:w="532" w:type="pct"/>
            <w:tcBorders>
              <w:tl2br w:val="nil"/>
              <w:tr2bl w:val="nil"/>
            </w:tcBorders>
            <w:vAlign w:val="center"/>
          </w:tcPr>
          <w:p>
            <w:pPr>
              <w:pStyle w:val="29"/>
              <w:spacing w:line="240" w:lineRule="auto"/>
              <w:rPr>
                <w:rFonts w:hint="eastAsia" w:eastAsia="仿宋_GB2312"/>
                <w:sz w:val="18"/>
                <w:szCs w:val="18"/>
                <w:lang w:val="en-US" w:eastAsia="zh-CN"/>
              </w:rPr>
            </w:pPr>
            <w:r>
              <w:rPr>
                <w:rFonts w:hint="eastAsia" w:eastAsia="仿宋_GB2312"/>
                <w:sz w:val="18"/>
                <w:szCs w:val="18"/>
                <w:lang w:val="en-US" w:eastAsia="zh-CN"/>
              </w:rPr>
              <w:t>/</w:t>
            </w:r>
          </w:p>
        </w:tc>
        <w:tc>
          <w:tcPr>
            <w:tcW w:w="585" w:type="pct"/>
            <w:tcBorders>
              <w:tl2br w:val="nil"/>
              <w:tr2bl w:val="nil"/>
            </w:tcBorders>
            <w:vAlign w:val="center"/>
          </w:tcPr>
          <w:p>
            <w:pPr>
              <w:pStyle w:val="29"/>
              <w:spacing w:line="240" w:lineRule="auto"/>
              <w:rPr>
                <w:rFonts w:hint="default" w:eastAsia="仿宋_GB2312"/>
                <w:sz w:val="18"/>
                <w:szCs w:val="18"/>
                <w:lang w:val="en-US" w:eastAsia="zh-CN"/>
              </w:rPr>
            </w:pPr>
            <w:r>
              <w:rPr>
                <w:rFonts w:hint="eastAsia" w:eastAsia="仿宋_GB2312"/>
                <w:sz w:val="18"/>
                <w:szCs w:val="18"/>
                <w:lang w:val="en-US" w:eastAsia="zh-CN"/>
              </w:rPr>
              <w:t>/</w:t>
            </w:r>
          </w:p>
        </w:tc>
        <w:tc>
          <w:tcPr>
            <w:tcW w:w="454" w:type="pct"/>
            <w:tcBorders>
              <w:tl2br w:val="nil"/>
              <w:tr2bl w:val="nil"/>
            </w:tcBorders>
            <w:vAlign w:val="center"/>
          </w:tcPr>
          <w:p>
            <w:pPr>
              <w:pStyle w:val="29"/>
              <w:spacing w:line="240" w:lineRule="auto"/>
              <w:rPr>
                <w:rFonts w:eastAsia="仿宋_GB2312"/>
                <w:sz w:val="18"/>
                <w:szCs w:val="18"/>
              </w:rPr>
            </w:pPr>
            <w:r>
              <w:rPr>
                <w:rFonts w:hint="eastAsia"/>
                <w:sz w:val="18"/>
                <w:szCs w:val="18"/>
                <w:lang w:eastAsia="zh-CN"/>
              </w:rPr>
              <w:t>微度</w:t>
            </w:r>
          </w:p>
        </w:tc>
        <w:tc>
          <w:tcPr>
            <w:tcW w:w="693" w:type="pct"/>
            <w:tcBorders>
              <w:tl2br w:val="nil"/>
              <w:tr2bl w:val="nil"/>
            </w:tcBorders>
            <w:vAlign w:val="center"/>
          </w:tcPr>
          <w:p>
            <w:pPr>
              <w:pStyle w:val="29"/>
              <w:spacing w:line="240" w:lineRule="auto"/>
              <w:rPr>
                <w:rFonts w:hint="default" w:eastAsia="仿宋_GB2312"/>
                <w:sz w:val="18"/>
                <w:szCs w:val="18"/>
                <w:lang w:val="en-US" w:eastAsia="zh-CN"/>
              </w:rPr>
            </w:pPr>
            <w:r>
              <w:rPr>
                <w:rFonts w:hint="eastAsia" w:eastAsia="仿宋_GB2312"/>
                <w:sz w:val="18"/>
                <w:szCs w:val="18"/>
                <w:lang w:val="en-US" w:eastAsia="zh-CN"/>
              </w:rPr>
              <w:t>350</w:t>
            </w:r>
          </w:p>
        </w:tc>
        <w:tc>
          <w:tcPr>
            <w:tcW w:w="561" w:type="pct"/>
            <w:tcBorders>
              <w:tl2br w:val="nil"/>
              <w:tr2bl w:val="nil"/>
            </w:tcBorders>
            <w:vAlign w:val="center"/>
          </w:tcPr>
          <w:p>
            <w:pPr>
              <w:pStyle w:val="29"/>
              <w:spacing w:line="240" w:lineRule="auto"/>
              <w:rPr>
                <w:rFonts w:hint="default" w:eastAsia="宋体"/>
                <w:sz w:val="18"/>
                <w:szCs w:val="18"/>
                <w:lang w:val="en-US" w:eastAsia="zh-CN"/>
              </w:rPr>
            </w:pPr>
            <w:r>
              <w:rPr>
                <w:rFonts w:hint="eastAsia"/>
                <w:sz w:val="18"/>
                <w:szCs w:val="18"/>
                <w:lang w:val="en-US" w:eastAsia="zh-CN"/>
              </w:rPr>
              <w:t>0.98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16" w:type="pct"/>
            <w:tcBorders>
              <w:tl2br w:val="nil"/>
              <w:tr2bl w:val="nil"/>
            </w:tcBorders>
            <w:vAlign w:val="center"/>
          </w:tcPr>
          <w:p>
            <w:pPr>
              <w:pStyle w:val="29"/>
              <w:spacing w:line="240" w:lineRule="auto"/>
              <w:rPr>
                <w:rFonts w:hint="eastAsia" w:ascii="Times New Roman" w:hAnsi="Times New Roman" w:eastAsia="宋体" w:cs="Times New Roman"/>
                <w:kern w:val="0"/>
                <w:sz w:val="18"/>
                <w:szCs w:val="18"/>
                <w:lang w:val="en-US" w:eastAsia="zh-CN" w:bidi="ar-SA"/>
              </w:rPr>
            </w:pPr>
            <w:r>
              <w:rPr>
                <w:rFonts w:hint="eastAsia"/>
                <w:sz w:val="18"/>
                <w:szCs w:val="18"/>
              </w:rPr>
              <w:t>小计</w:t>
            </w:r>
          </w:p>
        </w:tc>
        <w:tc>
          <w:tcPr>
            <w:tcW w:w="499" w:type="pct"/>
            <w:tcBorders>
              <w:tl2br w:val="nil"/>
              <w:tr2bl w:val="nil"/>
            </w:tcBorders>
            <w:vAlign w:val="center"/>
          </w:tcPr>
          <w:p>
            <w:pPr>
              <w:pStyle w:val="29"/>
              <w:spacing w:line="240" w:lineRule="auto"/>
              <w:rPr>
                <w:sz w:val="18"/>
                <w:szCs w:val="18"/>
              </w:rPr>
            </w:pPr>
          </w:p>
        </w:tc>
        <w:tc>
          <w:tcPr>
            <w:tcW w:w="499" w:type="pct"/>
            <w:tcBorders>
              <w:tl2br w:val="nil"/>
              <w:tr2bl w:val="nil"/>
            </w:tcBorders>
            <w:vAlign w:val="center"/>
          </w:tcPr>
          <w:p>
            <w:pPr>
              <w:pStyle w:val="29"/>
              <w:spacing w:line="240" w:lineRule="auto"/>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1.02</w:t>
            </w:r>
          </w:p>
        </w:tc>
        <w:tc>
          <w:tcPr>
            <w:tcW w:w="558" w:type="pct"/>
            <w:tcBorders>
              <w:tl2br w:val="nil"/>
              <w:tr2bl w:val="nil"/>
            </w:tcBorders>
            <w:vAlign w:val="center"/>
          </w:tcPr>
          <w:p>
            <w:pPr>
              <w:pStyle w:val="29"/>
              <w:spacing w:line="240" w:lineRule="auto"/>
              <w:rPr>
                <w:rFonts w:hint="eastAsia" w:ascii="Times New Roman" w:hAnsi="Times New Roman" w:eastAsia="仿宋_GB2312" w:cs="Times New Roman"/>
                <w:kern w:val="0"/>
                <w:sz w:val="18"/>
                <w:szCs w:val="18"/>
                <w:lang w:val="en-US" w:eastAsia="zh-CN" w:bidi="ar-SA"/>
              </w:rPr>
            </w:pPr>
            <w:r>
              <w:rPr>
                <w:rFonts w:hint="eastAsia"/>
                <w:sz w:val="18"/>
                <w:szCs w:val="18"/>
              </w:rPr>
              <w:t>/</w:t>
            </w:r>
          </w:p>
        </w:tc>
        <w:tc>
          <w:tcPr>
            <w:tcW w:w="532" w:type="pct"/>
            <w:tcBorders>
              <w:tl2br w:val="nil"/>
              <w:tr2bl w:val="nil"/>
            </w:tcBorders>
            <w:vAlign w:val="center"/>
          </w:tcPr>
          <w:p>
            <w:pPr>
              <w:pStyle w:val="29"/>
              <w:spacing w:line="240" w:lineRule="auto"/>
              <w:rPr>
                <w:rFonts w:hint="eastAsia" w:ascii="Times New Roman" w:hAnsi="Times New Roman" w:eastAsia="仿宋_GB2312" w:cs="Times New Roman"/>
                <w:kern w:val="0"/>
                <w:sz w:val="18"/>
                <w:szCs w:val="18"/>
                <w:lang w:val="en-US" w:eastAsia="zh-CN" w:bidi="ar-SA"/>
              </w:rPr>
            </w:pPr>
            <w:r>
              <w:rPr>
                <w:rFonts w:hint="eastAsia"/>
                <w:sz w:val="18"/>
                <w:szCs w:val="18"/>
              </w:rPr>
              <w:t>/</w:t>
            </w:r>
          </w:p>
        </w:tc>
        <w:tc>
          <w:tcPr>
            <w:tcW w:w="585" w:type="pct"/>
            <w:tcBorders>
              <w:tl2br w:val="nil"/>
              <w:tr2bl w:val="nil"/>
            </w:tcBorders>
            <w:vAlign w:val="center"/>
          </w:tcPr>
          <w:p>
            <w:pPr>
              <w:pStyle w:val="29"/>
              <w:spacing w:line="240" w:lineRule="auto"/>
              <w:rPr>
                <w:rFonts w:hint="eastAsia"/>
                <w:sz w:val="18"/>
                <w:szCs w:val="18"/>
              </w:rPr>
            </w:pPr>
          </w:p>
        </w:tc>
        <w:tc>
          <w:tcPr>
            <w:tcW w:w="454" w:type="pct"/>
            <w:tcBorders>
              <w:tl2br w:val="nil"/>
              <w:tr2bl w:val="nil"/>
            </w:tcBorders>
            <w:vAlign w:val="center"/>
          </w:tcPr>
          <w:p>
            <w:pPr>
              <w:pStyle w:val="29"/>
              <w:spacing w:line="240" w:lineRule="auto"/>
              <w:rPr>
                <w:rFonts w:hint="eastAsia" w:ascii="Times New Roman" w:hAnsi="Times New Roman" w:eastAsia="仿宋_GB2312" w:cs="Times New Roman"/>
                <w:kern w:val="0"/>
                <w:sz w:val="18"/>
                <w:szCs w:val="18"/>
                <w:lang w:val="en-US" w:eastAsia="zh-CN" w:bidi="ar-SA"/>
              </w:rPr>
            </w:pPr>
            <w:r>
              <w:rPr>
                <w:rFonts w:hint="eastAsia"/>
                <w:sz w:val="18"/>
                <w:szCs w:val="18"/>
              </w:rPr>
              <w:t>/</w:t>
            </w:r>
          </w:p>
        </w:tc>
        <w:tc>
          <w:tcPr>
            <w:tcW w:w="693" w:type="pct"/>
            <w:tcBorders>
              <w:tl2br w:val="nil"/>
              <w:tr2bl w:val="nil"/>
            </w:tcBorders>
            <w:vAlign w:val="center"/>
          </w:tcPr>
          <w:p>
            <w:pPr>
              <w:pStyle w:val="29"/>
              <w:spacing w:line="240" w:lineRule="auto"/>
              <w:rPr>
                <w:rFonts w:hint="default" w:ascii="Times New Roman" w:hAnsi="Times New Roman" w:eastAsia="仿宋_GB2312" w:cs="Times New Roman"/>
                <w:kern w:val="0"/>
                <w:sz w:val="18"/>
                <w:szCs w:val="18"/>
                <w:lang w:val="en-US" w:eastAsia="zh-CN" w:bidi="ar-SA"/>
              </w:rPr>
            </w:pPr>
            <w:r>
              <w:rPr>
                <w:rFonts w:hint="eastAsia" w:eastAsia="仿宋_GB2312"/>
                <w:sz w:val="18"/>
                <w:szCs w:val="18"/>
                <w:lang w:val="en-US" w:eastAsia="zh-CN"/>
              </w:rPr>
              <w:t>557</w:t>
            </w:r>
          </w:p>
        </w:tc>
        <w:tc>
          <w:tcPr>
            <w:tcW w:w="561" w:type="pct"/>
            <w:tcBorders>
              <w:tl2br w:val="nil"/>
              <w:tr2bl w:val="nil"/>
            </w:tcBorders>
            <w:vAlign w:val="center"/>
          </w:tcPr>
          <w:p>
            <w:pPr>
              <w:pStyle w:val="29"/>
              <w:spacing w:line="240" w:lineRule="auto"/>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5.6</w:t>
            </w:r>
          </w:p>
        </w:tc>
      </w:tr>
    </w:tbl>
    <w:p>
      <w:pPr>
        <w:pStyle w:val="4"/>
        <w:rPr>
          <w:color w:val="000000"/>
        </w:rPr>
      </w:pPr>
      <w:bookmarkStart w:id="260" w:name="_Toc5173"/>
      <w:bookmarkStart w:id="261" w:name="_Toc11242"/>
      <w:r>
        <w:rPr>
          <w:rFonts w:hint="eastAsia"/>
          <w:color w:val="000000"/>
          <w:lang w:val="en-US" w:eastAsia="zh-CN"/>
        </w:rPr>
        <w:t>4</w:t>
      </w:r>
      <w:r>
        <w:rPr>
          <w:color w:val="000000"/>
        </w:rPr>
        <w:t>.2</w:t>
      </w:r>
      <w:r>
        <w:rPr>
          <w:rFonts w:hint="eastAsia"/>
          <w:color w:val="000000"/>
        </w:rPr>
        <w:t>水土流失</w:t>
      </w:r>
      <w:r>
        <w:rPr>
          <w:rFonts w:hint="eastAsia"/>
          <w:color w:val="000000"/>
          <w:lang w:val="en-US" w:eastAsia="zh-CN"/>
        </w:rPr>
        <w:t>影响因素</w:t>
      </w:r>
      <w:r>
        <w:rPr>
          <w:rFonts w:hint="eastAsia"/>
          <w:color w:val="000000"/>
        </w:rPr>
        <w:t>分析</w:t>
      </w:r>
      <w:bookmarkEnd w:id="260"/>
      <w:bookmarkEnd w:id="261"/>
    </w:p>
    <w:p>
      <w:pPr>
        <w:ind w:firstLine="480"/>
        <w:rPr>
          <w:color w:val="000000"/>
        </w:rPr>
      </w:pPr>
      <w:r>
        <w:rPr>
          <w:rFonts w:hint="eastAsia"/>
          <w:color w:val="000000"/>
        </w:rPr>
        <w:t>本项目为</w:t>
      </w:r>
      <w:r>
        <w:rPr>
          <w:rFonts w:hint="eastAsia"/>
          <w:color w:val="000000"/>
          <w:highlight w:val="none"/>
        </w:rPr>
        <w:t>新建建设类项</w:t>
      </w:r>
      <w:r>
        <w:rPr>
          <w:rFonts w:hint="eastAsia"/>
          <w:color w:val="000000"/>
        </w:rPr>
        <w:t>目，新增水土流失主要发生在工程建设期，在建设期基础开挖、土石方回填等活动将不可避免的对地表植被构成破坏，形成点状及线状面积裸露，这是建设期间造成新增水土流失的主要来源。</w:t>
      </w:r>
    </w:p>
    <w:p>
      <w:pPr>
        <w:pStyle w:val="4"/>
        <w:bidi w:val="0"/>
        <w:rPr>
          <w:rFonts w:hint="eastAsia"/>
          <w:lang w:val="en-US" w:eastAsia="zh-CN"/>
        </w:rPr>
      </w:pPr>
      <w:bookmarkStart w:id="262" w:name="_Toc48656930"/>
      <w:bookmarkStart w:id="263" w:name="_Toc26015"/>
      <w:bookmarkStart w:id="264" w:name="_Toc20849"/>
      <w:bookmarkStart w:id="265" w:name="_Toc1279"/>
      <w:bookmarkStart w:id="266" w:name="_Toc26863359"/>
      <w:bookmarkStart w:id="267" w:name="_Toc2491"/>
      <w:bookmarkStart w:id="268" w:name="_Toc27787"/>
      <w:r>
        <w:rPr>
          <w:rFonts w:hint="eastAsia"/>
          <w:lang w:val="en-US" w:eastAsia="zh-CN"/>
        </w:rPr>
        <w:t>4.3水土流失预测</w:t>
      </w:r>
      <w:bookmarkEnd w:id="262"/>
      <w:bookmarkEnd w:id="263"/>
      <w:bookmarkEnd w:id="264"/>
      <w:bookmarkEnd w:id="265"/>
      <w:bookmarkEnd w:id="266"/>
      <w:bookmarkEnd w:id="267"/>
      <w:bookmarkEnd w:id="268"/>
    </w:p>
    <w:p>
      <w:pPr>
        <w:pStyle w:val="6"/>
        <w:bidi w:val="0"/>
        <w:rPr>
          <w:rFonts w:hint="eastAsia"/>
          <w:lang w:val="en-US" w:eastAsia="zh-CN"/>
        </w:rPr>
      </w:pPr>
      <w:bookmarkStart w:id="269" w:name="_Toc10025"/>
      <w:bookmarkStart w:id="270" w:name="_Toc3465"/>
      <w:bookmarkStart w:id="271" w:name="_Toc28703"/>
      <w:bookmarkStart w:id="272" w:name="_Toc6815"/>
      <w:r>
        <w:rPr>
          <w:rFonts w:hint="eastAsia"/>
        </w:rPr>
        <w:t>4</w:t>
      </w:r>
      <w:r>
        <w:t>.3.1</w:t>
      </w:r>
      <w:r>
        <w:rPr>
          <w:rFonts w:hint="eastAsia"/>
        </w:rPr>
        <w:t>水土流失预测</w:t>
      </w:r>
      <w:r>
        <w:rPr>
          <w:rFonts w:hint="eastAsia"/>
          <w:lang w:val="en-US" w:eastAsia="zh-CN"/>
        </w:rPr>
        <w:t>单元</w:t>
      </w:r>
      <w:bookmarkEnd w:id="269"/>
      <w:bookmarkEnd w:id="270"/>
      <w:bookmarkEnd w:id="271"/>
      <w:bookmarkEnd w:id="272"/>
    </w:p>
    <w:p>
      <w:pPr>
        <w:ind w:firstLine="480"/>
        <w:rPr>
          <w:rFonts w:hint="eastAsia" w:eastAsia="仿宋_GB2312"/>
          <w:color w:val="000000"/>
          <w:lang w:eastAsia="zh-CN"/>
        </w:rPr>
      </w:pPr>
      <w:r>
        <w:rPr>
          <w:rFonts w:hint="eastAsia"/>
          <w:color w:val="000000"/>
        </w:rPr>
        <w:t>本工程水土流失调查及预测范围为工程建设扰动地表造成水土流失的防治责任范围，</w:t>
      </w:r>
      <w:r>
        <w:rPr>
          <w:rFonts w:hint="eastAsia"/>
          <w:color w:val="000000"/>
          <w:lang w:val="en-US" w:eastAsia="zh-CN"/>
        </w:rPr>
        <w:t>为</w:t>
      </w:r>
      <w:r>
        <w:rPr>
          <w:rFonts w:hint="eastAsia"/>
          <w:color w:val="000000"/>
        </w:rPr>
        <w:t>工程永久占地范围</w:t>
      </w:r>
      <w:r>
        <w:rPr>
          <w:rFonts w:hint="eastAsia"/>
          <w:color w:val="000000"/>
          <w:lang w:eastAsia="zh-CN"/>
        </w:rPr>
        <w:t>。</w:t>
      </w:r>
    </w:p>
    <w:p>
      <w:pPr>
        <w:pStyle w:val="24"/>
        <w:rPr>
          <w:rFonts w:hint="eastAsia" w:eastAsia="仿宋_GB2312"/>
          <w:color w:val="000000"/>
          <w:vertAlign w:val="baseline"/>
          <w:lang w:val="en-US" w:eastAsia="zh-CN"/>
        </w:rPr>
      </w:pPr>
      <w:r>
        <w:rPr>
          <w:rFonts w:hint="eastAsia"/>
          <w:color w:val="000000"/>
        </w:rPr>
        <w:t>根据对工程建设与水土流失相关性分析可知，该项目水土流失产生的范围为项目建设对地表及植被形成直接或间接扰动、破坏的范围，根据地形地貌、土地利用、地表组成物质及破坏、扰动方式等相关因素，对该项目可能导致水土流失的项目建设区分为</w:t>
      </w:r>
      <w:r>
        <w:rPr>
          <w:rFonts w:hint="eastAsia"/>
          <w:color w:val="000000"/>
          <w:lang w:val="en-US" w:eastAsia="zh-CN"/>
        </w:rPr>
        <w:t>建筑构物区、景观绿化区和附属设施区3</w:t>
      </w:r>
      <w:r>
        <w:rPr>
          <w:rFonts w:hint="eastAsia"/>
          <w:color w:val="000000"/>
        </w:rPr>
        <w:t>个预测单元，总面积</w:t>
      </w:r>
      <w:r>
        <w:rPr>
          <w:rFonts w:hint="eastAsia"/>
          <w:color w:val="000000"/>
          <w:lang w:val="en-US" w:eastAsia="zh-CN"/>
        </w:rPr>
        <w:t>1.02</w:t>
      </w:r>
      <w:r>
        <w:rPr>
          <w:rFonts w:hint="eastAsia"/>
          <w:color w:val="000000"/>
        </w:rPr>
        <w:t>h</w:t>
      </w:r>
      <w:r>
        <w:rPr>
          <w:rFonts w:hint="eastAsia"/>
          <w:color w:val="000000"/>
          <w:lang w:eastAsia="zh-CN"/>
        </w:rPr>
        <w:t>m²</w:t>
      </w:r>
      <w:r>
        <w:rPr>
          <w:rFonts w:hint="eastAsia"/>
          <w:color w:val="000000"/>
          <w:vertAlign w:val="baseline"/>
          <w:lang w:eastAsia="zh-CN"/>
        </w:rPr>
        <w:t>。</w:t>
      </w:r>
    </w:p>
    <w:p>
      <w:pPr>
        <w:pStyle w:val="6"/>
        <w:bidi w:val="0"/>
      </w:pPr>
      <w:r>
        <w:rPr>
          <w:rFonts w:hint="eastAsia"/>
        </w:rPr>
        <w:t>4</w:t>
      </w:r>
      <w:r>
        <w:t>.</w:t>
      </w:r>
      <w:r>
        <w:rPr>
          <w:rFonts w:hint="eastAsia"/>
          <w:lang w:val="en-US" w:eastAsia="zh-CN"/>
        </w:rPr>
        <w:t>3</w:t>
      </w:r>
      <w:r>
        <w:t>.2</w:t>
      </w:r>
      <w:r>
        <w:rPr>
          <w:rFonts w:hint="eastAsia"/>
        </w:rPr>
        <w:t>水土流失预测时段</w:t>
      </w:r>
    </w:p>
    <w:p>
      <w:pPr>
        <w:pStyle w:val="35"/>
        <w:ind w:firstLine="480"/>
      </w:pPr>
      <w:r>
        <w:t>本项目建设期水土流失</w:t>
      </w:r>
      <w:r>
        <w:rPr>
          <w:rFonts w:hint="eastAsia"/>
        </w:rPr>
        <w:t>调查</w:t>
      </w:r>
      <w:r>
        <w:t>是在对区域范围内影响水土流失的自然因素和工程建设中的人为因素分析基础上确定的。</w:t>
      </w:r>
      <w:r>
        <w:rPr>
          <w:highlight w:val="none"/>
        </w:rPr>
        <w:t>水土流失</w:t>
      </w:r>
      <w:r>
        <w:rPr>
          <w:rFonts w:hint="eastAsia"/>
          <w:highlight w:val="none"/>
        </w:rPr>
        <w:t>调查</w:t>
      </w:r>
      <w:r>
        <w:rPr>
          <w:highlight w:val="none"/>
        </w:rPr>
        <w:t>时段包括施工准备期、</w:t>
      </w:r>
      <w:r>
        <w:rPr>
          <w:rFonts w:hint="eastAsia"/>
          <w:highlight w:val="none"/>
        </w:rPr>
        <w:t>施工</w:t>
      </w:r>
      <w:r>
        <w:rPr>
          <w:highlight w:val="none"/>
        </w:rPr>
        <w:t>期和自然恢复期</w:t>
      </w:r>
      <w:r>
        <w:t>。</w:t>
      </w:r>
    </w:p>
    <w:p>
      <w:pPr>
        <w:pStyle w:val="35"/>
        <w:ind w:firstLine="480"/>
        <w:rPr>
          <w:rFonts w:hint="eastAsia" w:eastAsia="仿宋"/>
          <w:lang w:eastAsia="zh-CN"/>
        </w:rPr>
      </w:pPr>
      <w:r>
        <w:t>本项目</w:t>
      </w:r>
      <w:r>
        <w:rPr>
          <w:rFonts w:hint="eastAsia"/>
          <w:lang w:eastAsia="zh-CN"/>
        </w:rPr>
        <w:t>正在建设中</w:t>
      </w:r>
      <w:r>
        <w:t>，</w:t>
      </w:r>
      <w:r>
        <w:rPr>
          <w:rFonts w:hint="eastAsia"/>
          <w:lang w:eastAsia="zh-CN"/>
        </w:rPr>
        <w:t>建筑构物区大体已建设完成，等待后期附属设施建设与装饰绿化。</w:t>
      </w:r>
    </w:p>
    <w:p>
      <w:pPr>
        <w:pStyle w:val="36"/>
        <w:widowControl/>
        <w:adjustRightInd/>
        <w:snapToGrid/>
        <w:spacing w:line="360" w:lineRule="auto"/>
        <w:ind w:left="0" w:leftChars="0" w:firstLine="480" w:firstLineChars="200"/>
      </w:pPr>
      <w:r>
        <w:t>施工期（含施工准备期）：</w:t>
      </w:r>
      <w:r>
        <w:rPr>
          <w:rFonts w:hint="eastAsia"/>
          <w:highlight w:val="none"/>
          <w:lang w:eastAsia="zh-CN"/>
        </w:rPr>
        <w:t>本工程于</w:t>
      </w:r>
      <w:r>
        <w:rPr>
          <w:rFonts w:hint="eastAsia"/>
          <w:highlight w:val="none"/>
          <w:lang w:val="en-US" w:eastAsia="zh-CN"/>
        </w:rPr>
        <w:t>2020年10月开工，预计于2022年10月竣工。工期共计25个月。</w:t>
      </w:r>
      <w:r>
        <w:rPr>
          <w:rFonts w:hint="eastAsia"/>
          <w:highlight w:val="none"/>
        </w:rPr>
        <w:t>根据《</w:t>
      </w:r>
      <w:r>
        <w:rPr>
          <w:rFonts w:hint="eastAsia"/>
        </w:rPr>
        <w:t>生产建设项目水土保持技术标准》（GB50433-2018）4.5.6第3条施工期预测时间应按连续12个月为一年计；不足12个月，但达到一个雨（风）季长度的，按一年计；不足一个雨（风）季长度的，按占雨（风）季长度的比例计算。因此，本工程施工期调查</w:t>
      </w:r>
      <w:r>
        <w:t>时段按</w:t>
      </w:r>
      <w:r>
        <w:rPr>
          <w:rFonts w:hint="eastAsia"/>
          <w:highlight w:val="none"/>
          <w:lang w:val="en-US" w:eastAsia="zh-CN"/>
        </w:rPr>
        <w:t>2</w:t>
      </w:r>
      <w:r>
        <w:t>年计。</w:t>
      </w:r>
    </w:p>
    <w:p>
      <w:pPr>
        <w:pStyle w:val="35"/>
        <w:ind w:firstLine="480"/>
      </w:pPr>
      <w:r>
        <w:t>自然恢复期：</w:t>
      </w:r>
      <w:r>
        <w:rPr>
          <w:rFonts w:hint="eastAsia"/>
        </w:rPr>
        <w:t>根据《生产建设项目水土保持技术标准》（GB50433-2018）4.5.6第2条自然恢复期为施工扰动结束后，不采取水土保持措施的情况下,土壤侵蚀强度自然恢复到扰动前土壤侵蚀强度所需要的时间，应根据当地自然条件确定，一般情况下湿润区取2年，半湿润区取3年，干旱半干旱区取5年。</w:t>
      </w:r>
      <w:r>
        <w:t>结合方案设计水平年，确定自然恢复期预测时段为</w:t>
      </w:r>
      <w:r>
        <w:rPr>
          <w:rFonts w:hint="eastAsia"/>
        </w:rPr>
        <w:t>2</w:t>
      </w:r>
      <w:r>
        <w:t>年。</w:t>
      </w:r>
    </w:p>
    <w:p>
      <w:pPr>
        <w:pStyle w:val="24"/>
        <w:rPr>
          <w:rFonts w:hint="eastAsia"/>
          <w:color w:val="000000"/>
        </w:rPr>
      </w:pPr>
      <w:r>
        <w:rPr>
          <w:rFonts w:hint="eastAsia"/>
          <w:color w:val="000000"/>
        </w:rPr>
        <w:t>工程水土流失预测时段详见表4-</w:t>
      </w:r>
      <w:r>
        <w:rPr>
          <w:rFonts w:hint="eastAsia"/>
          <w:color w:val="000000"/>
          <w:lang w:val="en-US" w:eastAsia="zh-CN"/>
        </w:rPr>
        <w:t>3</w:t>
      </w:r>
      <w:r>
        <w:rPr>
          <w:rFonts w:hint="eastAsia"/>
          <w:color w:val="000000"/>
        </w:rPr>
        <w:t>。</w:t>
      </w:r>
    </w:p>
    <w:p>
      <w:pPr>
        <w:keepNext w:val="0"/>
        <w:keepLines w:val="0"/>
        <w:pageBreakBefore w:val="0"/>
        <w:widowControl w:val="0"/>
        <w:kinsoku/>
        <w:wordWrap/>
        <w:overflowPunct/>
        <w:topLinePunct w:val="0"/>
        <w:autoSpaceDE/>
        <w:autoSpaceDN/>
        <w:bidi w:val="0"/>
        <w:adjustRightInd w:val="0"/>
        <w:snapToGrid w:val="0"/>
        <w:spacing w:line="20" w:lineRule="atLeast"/>
        <w:ind w:firstLine="0" w:firstLineChars="0"/>
        <w:jc w:val="center"/>
        <w:textAlignment w:val="auto"/>
        <w:rPr>
          <w:b/>
          <w:color w:val="000000"/>
          <w:sz w:val="21"/>
        </w:rPr>
      </w:pPr>
      <w:r>
        <w:rPr>
          <w:rFonts w:hint="eastAsia"/>
          <w:b/>
          <w:color w:val="000000"/>
          <w:sz w:val="21"/>
        </w:rPr>
        <w:t>表4-</w:t>
      </w:r>
      <w:r>
        <w:rPr>
          <w:rFonts w:hint="eastAsia"/>
          <w:b/>
          <w:color w:val="000000"/>
          <w:sz w:val="21"/>
          <w:lang w:val="en-US" w:eastAsia="zh-CN"/>
        </w:rPr>
        <w:t>3</w:t>
      </w:r>
      <w:r>
        <w:rPr>
          <w:rFonts w:hint="eastAsia"/>
          <w:b/>
          <w:color w:val="000000"/>
          <w:sz w:val="21"/>
        </w:rPr>
        <w:t xml:space="preserve"> 水土流失调查及预测时段统计表</w:t>
      </w:r>
    </w:p>
    <w:tbl>
      <w:tblPr>
        <w:tblStyle w:val="19"/>
        <w:tblW w:w="50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1"/>
        <w:gridCol w:w="1070"/>
        <w:gridCol w:w="1482"/>
        <w:gridCol w:w="677"/>
        <w:gridCol w:w="1148"/>
        <w:gridCol w:w="1358"/>
        <w:gridCol w:w="11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vMerge w:val="restart"/>
            <w:tcBorders>
              <w:top w:val="single" w:color="auto" w:sz="12" w:space="0"/>
              <w:left w:val="single" w:color="auto" w:sz="12" w:space="0"/>
              <w:bottom w:val="single" w:color="auto" w:sz="4" w:space="0"/>
              <w:right w:val="single" w:color="auto" w:sz="4" w:space="0"/>
            </w:tcBorders>
            <w:noWrap w:val="0"/>
            <w:vAlign w:val="center"/>
          </w:tcPr>
          <w:p>
            <w:pPr>
              <w:pStyle w:val="31"/>
              <w:spacing w:line="20" w:lineRule="atLeast"/>
              <w:rPr>
                <w:color w:val="000000"/>
                <w:highlight w:val="none"/>
              </w:rPr>
            </w:pPr>
            <w:r>
              <w:rPr>
                <w:rFonts w:hint="eastAsia"/>
                <w:color w:val="000000"/>
                <w:highlight w:val="none"/>
              </w:rPr>
              <w:t>防治分区</w:t>
            </w:r>
          </w:p>
        </w:tc>
        <w:tc>
          <w:tcPr>
            <w:tcW w:w="4091" w:type="pct"/>
            <w:gridSpan w:val="6"/>
            <w:tcBorders>
              <w:top w:val="single" w:color="auto" w:sz="12" w:space="0"/>
              <w:left w:val="single" w:color="auto" w:sz="4" w:space="0"/>
              <w:bottom w:val="single" w:color="auto" w:sz="4" w:space="0"/>
              <w:right w:val="single" w:color="auto" w:sz="12" w:space="0"/>
            </w:tcBorders>
            <w:noWrap w:val="0"/>
            <w:vAlign w:val="center"/>
          </w:tcPr>
          <w:p>
            <w:pPr>
              <w:pStyle w:val="31"/>
              <w:spacing w:line="20" w:lineRule="atLeast"/>
              <w:rPr>
                <w:rFonts w:hint="eastAsia"/>
                <w:color w:val="000000"/>
                <w:highlight w:val="none"/>
              </w:rPr>
            </w:pPr>
            <w:r>
              <w:rPr>
                <w:rFonts w:hint="eastAsia"/>
                <w:color w:val="000000"/>
                <w:highlight w:val="none"/>
              </w:rPr>
              <w:t>预测面积和时间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vMerge w:val="continue"/>
            <w:tcBorders>
              <w:top w:val="single" w:color="auto" w:sz="4" w:space="0"/>
              <w:left w:val="single" w:color="auto" w:sz="12" w:space="0"/>
              <w:bottom w:val="single" w:color="auto" w:sz="4" w:space="0"/>
              <w:right w:val="single" w:color="auto" w:sz="4" w:space="0"/>
            </w:tcBorders>
            <w:noWrap w:val="0"/>
            <w:vAlign w:val="center"/>
          </w:tcPr>
          <w:p>
            <w:pPr>
              <w:pStyle w:val="31"/>
              <w:spacing w:line="20" w:lineRule="atLeast"/>
              <w:rPr>
                <w:color w:val="000000"/>
                <w:highlight w:val="none"/>
              </w:rPr>
            </w:pPr>
          </w:p>
        </w:tc>
        <w:tc>
          <w:tcPr>
            <w:tcW w:w="1927" w:type="pct"/>
            <w:gridSpan w:val="3"/>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eastAsia"/>
                <w:color w:val="000000"/>
                <w:highlight w:val="none"/>
              </w:rPr>
            </w:pPr>
            <w:r>
              <w:rPr>
                <w:rFonts w:hint="eastAsia"/>
                <w:color w:val="000000"/>
                <w:highlight w:val="none"/>
              </w:rPr>
              <w:t>施工期（20</w:t>
            </w:r>
            <w:r>
              <w:rPr>
                <w:rFonts w:hint="eastAsia"/>
                <w:color w:val="000000"/>
                <w:highlight w:val="none"/>
                <w:lang w:val="en-US" w:eastAsia="zh-CN"/>
              </w:rPr>
              <w:t>20</w:t>
            </w:r>
            <w:r>
              <w:rPr>
                <w:rFonts w:hint="eastAsia"/>
                <w:color w:val="000000"/>
                <w:highlight w:val="none"/>
              </w:rPr>
              <w:t>.</w:t>
            </w:r>
            <w:r>
              <w:rPr>
                <w:rFonts w:hint="eastAsia"/>
                <w:color w:val="000000"/>
                <w:highlight w:val="none"/>
                <w:lang w:val="en-US" w:eastAsia="zh-CN"/>
              </w:rPr>
              <w:t>10</w:t>
            </w:r>
            <w:r>
              <w:rPr>
                <w:rFonts w:hint="eastAsia"/>
                <w:color w:val="000000"/>
                <w:highlight w:val="none"/>
              </w:rPr>
              <w:t>-202</w:t>
            </w:r>
            <w:r>
              <w:rPr>
                <w:rFonts w:hint="eastAsia"/>
                <w:color w:val="000000"/>
                <w:highlight w:val="none"/>
                <w:lang w:val="en-US" w:eastAsia="zh-CN"/>
              </w:rPr>
              <w:t>2</w:t>
            </w:r>
            <w:r>
              <w:rPr>
                <w:rFonts w:hint="eastAsia"/>
                <w:color w:val="000000"/>
                <w:highlight w:val="none"/>
              </w:rPr>
              <w:t>.</w:t>
            </w:r>
            <w:r>
              <w:rPr>
                <w:rFonts w:hint="eastAsia"/>
                <w:color w:val="000000"/>
                <w:highlight w:val="none"/>
                <w:lang w:val="en-US" w:eastAsia="zh-CN"/>
              </w:rPr>
              <w:t>10</w:t>
            </w:r>
            <w:r>
              <w:rPr>
                <w:rFonts w:hint="eastAsia"/>
                <w:color w:val="000000"/>
                <w:highlight w:val="none"/>
              </w:rPr>
              <w:t>）</w:t>
            </w:r>
          </w:p>
        </w:tc>
        <w:tc>
          <w:tcPr>
            <w:tcW w:w="2164" w:type="pct"/>
            <w:gridSpan w:val="3"/>
            <w:tcBorders>
              <w:top w:val="single" w:color="auto" w:sz="4" w:space="0"/>
              <w:left w:val="single" w:color="auto" w:sz="4" w:space="0"/>
              <w:bottom w:val="single" w:color="auto" w:sz="4" w:space="0"/>
              <w:right w:val="single" w:color="auto" w:sz="12" w:space="0"/>
            </w:tcBorders>
            <w:noWrap w:val="0"/>
            <w:vAlign w:val="center"/>
          </w:tcPr>
          <w:p>
            <w:pPr>
              <w:pStyle w:val="31"/>
              <w:spacing w:line="20" w:lineRule="atLeast"/>
              <w:rPr>
                <w:color w:val="000000"/>
                <w:highlight w:val="none"/>
              </w:rPr>
            </w:pPr>
            <w:r>
              <w:rPr>
                <w:rFonts w:hint="eastAsia"/>
                <w:color w:val="000000"/>
                <w:highlight w:val="none"/>
              </w:rPr>
              <w:t>自然恢复期（202</w:t>
            </w:r>
            <w:r>
              <w:rPr>
                <w:rFonts w:hint="eastAsia"/>
                <w:color w:val="000000"/>
                <w:highlight w:val="none"/>
                <w:lang w:val="en-US" w:eastAsia="zh-CN"/>
              </w:rPr>
              <w:t>2</w:t>
            </w:r>
            <w:r>
              <w:rPr>
                <w:rFonts w:hint="eastAsia"/>
                <w:color w:val="000000"/>
                <w:highlight w:val="none"/>
              </w:rPr>
              <w:t>.</w:t>
            </w:r>
            <w:r>
              <w:rPr>
                <w:rFonts w:hint="eastAsia"/>
                <w:color w:val="000000"/>
                <w:highlight w:val="none"/>
                <w:lang w:val="en-US" w:eastAsia="zh-CN"/>
              </w:rPr>
              <w:t>10</w:t>
            </w:r>
            <w:r>
              <w:rPr>
                <w:rFonts w:hint="eastAsia"/>
                <w:color w:val="000000"/>
                <w:highlight w:val="none"/>
              </w:rPr>
              <w:t>-202</w:t>
            </w:r>
            <w:r>
              <w:rPr>
                <w:rFonts w:hint="eastAsia"/>
                <w:color w:val="000000"/>
                <w:highlight w:val="none"/>
                <w:lang w:val="en-US" w:eastAsia="zh-CN"/>
              </w:rPr>
              <w:t>4</w:t>
            </w:r>
            <w:r>
              <w:rPr>
                <w:rFonts w:hint="eastAsia"/>
                <w:color w:val="000000"/>
                <w:highlight w:val="none"/>
              </w:rPr>
              <w:t>.</w:t>
            </w:r>
            <w:r>
              <w:rPr>
                <w:rFonts w:hint="eastAsia"/>
                <w:color w:val="000000"/>
                <w:highlight w:val="none"/>
                <w:lang w:val="en-US" w:eastAsia="zh-CN"/>
              </w:rPr>
              <w:t>9</w:t>
            </w:r>
            <w:r>
              <w:rPr>
                <w:rFonts w:hint="eastAsia"/>
                <w:color w:val="00000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vMerge w:val="continue"/>
            <w:tcBorders>
              <w:top w:val="single" w:color="auto" w:sz="4" w:space="0"/>
              <w:left w:val="single" w:color="auto" w:sz="12" w:space="0"/>
              <w:bottom w:val="single" w:color="auto" w:sz="4" w:space="0"/>
              <w:right w:val="single" w:color="auto" w:sz="4" w:space="0"/>
            </w:tcBorders>
            <w:noWrap w:val="0"/>
            <w:vAlign w:val="center"/>
          </w:tcPr>
          <w:p>
            <w:pPr>
              <w:pStyle w:val="31"/>
              <w:spacing w:line="20" w:lineRule="atLeast"/>
              <w:rPr>
                <w:color w:val="000000"/>
                <w:highlight w:val="none"/>
              </w:rPr>
            </w:pPr>
          </w:p>
        </w:tc>
        <w:tc>
          <w:tcPr>
            <w:tcW w:w="63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color w:val="000000"/>
                <w:highlight w:val="none"/>
              </w:rPr>
            </w:pPr>
            <w:r>
              <w:rPr>
                <w:rFonts w:hint="eastAsia"/>
                <w:color w:val="000000"/>
                <w:highlight w:val="none"/>
                <w:lang w:val="en-US" w:eastAsia="zh-CN"/>
              </w:rPr>
              <w:t>预测</w:t>
            </w:r>
            <w:r>
              <w:rPr>
                <w:rFonts w:hint="eastAsia"/>
                <w:color w:val="000000"/>
                <w:highlight w:val="none"/>
              </w:rPr>
              <w:t>面积（</w:t>
            </w:r>
            <w:r>
              <w:rPr>
                <w:color w:val="000000"/>
                <w:highlight w:val="none"/>
              </w:rPr>
              <w:t>h</w:t>
            </w:r>
            <w:r>
              <w:rPr>
                <w:rFonts w:hint="eastAsia"/>
                <w:color w:val="000000"/>
                <w:highlight w:val="none"/>
                <w:lang w:eastAsia="zh-CN"/>
              </w:rPr>
              <w:t>m²</w:t>
            </w:r>
            <w:r>
              <w:rPr>
                <w:rFonts w:hint="eastAsia"/>
                <w:color w:val="000000"/>
                <w:highlight w:val="none"/>
              </w:rPr>
              <w:t>）</w:t>
            </w:r>
          </w:p>
        </w:tc>
        <w:tc>
          <w:tcPr>
            <w:tcW w:w="1288" w:type="pct"/>
            <w:gridSpan w:val="2"/>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eastAsia"/>
                <w:color w:val="000000"/>
                <w:highlight w:val="none"/>
              </w:rPr>
            </w:pPr>
            <w:r>
              <w:rPr>
                <w:rFonts w:hint="eastAsia"/>
                <w:color w:val="000000"/>
                <w:highlight w:val="none"/>
                <w:lang w:val="en-US" w:eastAsia="zh-CN"/>
              </w:rPr>
              <w:t>预测</w:t>
            </w:r>
            <w:r>
              <w:rPr>
                <w:rFonts w:hint="eastAsia"/>
                <w:color w:val="000000"/>
                <w:highlight w:val="none"/>
              </w:rPr>
              <w:t>时段</w:t>
            </w:r>
          </w:p>
          <w:p>
            <w:pPr>
              <w:pStyle w:val="31"/>
              <w:spacing w:line="20" w:lineRule="atLeast"/>
              <w:rPr>
                <w:color w:val="000000"/>
                <w:highlight w:val="none"/>
              </w:rPr>
            </w:pPr>
            <w:r>
              <w:rPr>
                <w:rFonts w:hint="eastAsia"/>
                <w:color w:val="000000"/>
                <w:highlight w:val="none"/>
              </w:rPr>
              <w:t>（</w:t>
            </w:r>
            <w:r>
              <w:rPr>
                <w:color w:val="000000"/>
                <w:highlight w:val="none"/>
              </w:rPr>
              <w:t>a</w:t>
            </w:r>
            <w:r>
              <w:rPr>
                <w:rFonts w:hint="eastAsia"/>
                <w:color w:val="000000"/>
                <w:highlight w:val="none"/>
              </w:rPr>
              <w:t>）</w:t>
            </w:r>
          </w:p>
        </w:tc>
        <w:tc>
          <w:tcPr>
            <w:tcW w:w="6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color w:val="000000"/>
                <w:highlight w:val="none"/>
              </w:rPr>
            </w:pPr>
            <w:r>
              <w:rPr>
                <w:rFonts w:hint="eastAsia"/>
                <w:color w:val="000000"/>
                <w:highlight w:val="none"/>
              </w:rPr>
              <w:t>预测面积（</w:t>
            </w:r>
            <w:r>
              <w:rPr>
                <w:color w:val="000000"/>
                <w:highlight w:val="none"/>
              </w:rPr>
              <w:t>h</w:t>
            </w:r>
            <w:r>
              <w:rPr>
                <w:rFonts w:hint="eastAsia"/>
                <w:color w:val="000000"/>
                <w:highlight w:val="none"/>
                <w:lang w:eastAsia="zh-CN"/>
              </w:rPr>
              <w:t>m²</w:t>
            </w:r>
            <w:r>
              <w:rPr>
                <w:rFonts w:hint="eastAsia"/>
                <w:color w:val="000000"/>
                <w:highlight w:val="none"/>
              </w:rPr>
              <w:t>）</w:t>
            </w:r>
          </w:p>
        </w:tc>
        <w:tc>
          <w:tcPr>
            <w:tcW w:w="1479" w:type="pct"/>
            <w:gridSpan w:val="2"/>
            <w:tcBorders>
              <w:top w:val="single" w:color="auto" w:sz="4" w:space="0"/>
              <w:left w:val="single" w:color="auto" w:sz="4" w:space="0"/>
              <w:bottom w:val="single" w:color="auto" w:sz="4" w:space="0"/>
              <w:right w:val="single" w:color="auto" w:sz="12" w:space="0"/>
            </w:tcBorders>
            <w:noWrap w:val="0"/>
            <w:vAlign w:val="center"/>
          </w:tcPr>
          <w:p>
            <w:pPr>
              <w:pStyle w:val="31"/>
              <w:spacing w:line="20" w:lineRule="atLeast"/>
              <w:rPr>
                <w:rFonts w:hint="eastAsia"/>
                <w:color w:val="000000"/>
                <w:highlight w:val="none"/>
              </w:rPr>
            </w:pPr>
            <w:r>
              <w:rPr>
                <w:rFonts w:hint="eastAsia"/>
                <w:color w:val="000000"/>
                <w:highlight w:val="none"/>
              </w:rPr>
              <w:t>预测时段</w:t>
            </w:r>
          </w:p>
          <w:p>
            <w:pPr>
              <w:pStyle w:val="31"/>
              <w:spacing w:line="20" w:lineRule="atLeast"/>
              <w:rPr>
                <w:color w:val="000000"/>
                <w:highlight w:val="none"/>
              </w:rPr>
            </w:pPr>
            <w:r>
              <w:rPr>
                <w:rFonts w:hint="eastAsia"/>
                <w:color w:val="000000"/>
                <w:highlight w:val="none"/>
              </w:rPr>
              <w:t>（</w:t>
            </w:r>
            <w:r>
              <w:rPr>
                <w:color w:val="000000"/>
                <w:highlight w:val="none"/>
              </w:rPr>
              <w:t>a</w:t>
            </w:r>
            <w:r>
              <w:rPr>
                <w:rFonts w:hint="eastAsia"/>
                <w:color w:val="00000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tcBorders>
              <w:top w:val="single" w:color="auto" w:sz="4" w:space="0"/>
              <w:left w:val="single" w:color="auto" w:sz="12" w:space="0"/>
              <w:bottom w:val="single" w:color="auto" w:sz="4" w:space="0"/>
              <w:right w:val="single" w:color="auto" w:sz="4" w:space="0"/>
            </w:tcBorders>
            <w:noWrap w:val="0"/>
            <w:vAlign w:val="center"/>
          </w:tcPr>
          <w:p>
            <w:pPr>
              <w:pStyle w:val="31"/>
              <w:spacing w:line="20" w:lineRule="atLeast"/>
              <w:rPr>
                <w:color w:val="000000"/>
                <w:highlight w:val="none"/>
              </w:rPr>
            </w:pPr>
            <w:r>
              <w:rPr>
                <w:rFonts w:hint="eastAsia"/>
                <w:color w:val="000000"/>
                <w:highlight w:val="none"/>
                <w:lang w:val="en-US" w:eastAsia="zh-CN"/>
              </w:rPr>
              <w:t>建筑构物</w:t>
            </w:r>
            <w:r>
              <w:rPr>
                <w:rFonts w:hint="eastAsia"/>
                <w:color w:val="000000"/>
                <w:highlight w:val="none"/>
              </w:rPr>
              <w:t>区</w:t>
            </w:r>
          </w:p>
        </w:tc>
        <w:tc>
          <w:tcPr>
            <w:tcW w:w="63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0.27</w:t>
            </w:r>
          </w:p>
        </w:tc>
        <w:tc>
          <w:tcPr>
            <w:tcW w:w="89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2020.10-2021.12</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1.33</w:t>
            </w:r>
          </w:p>
        </w:tc>
        <w:tc>
          <w:tcPr>
            <w:tcW w:w="68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eastAsia" w:eastAsia="宋体"/>
                <w:color w:val="000000"/>
                <w:highlight w:val="none"/>
                <w:lang w:val="en-US" w:eastAsia="zh-CN"/>
              </w:rPr>
            </w:pPr>
            <w:r>
              <w:rPr>
                <w:rFonts w:hint="eastAsia" w:eastAsia="宋体"/>
                <w:color w:val="000000"/>
                <w:highlight w:val="none"/>
                <w:lang w:val="en-US" w:eastAsia="zh-CN"/>
              </w:rPr>
              <w:t>/</w:t>
            </w:r>
          </w:p>
        </w:tc>
        <w:tc>
          <w:tcPr>
            <w:tcW w:w="82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eastAsia" w:eastAsia="宋体"/>
                <w:color w:val="000000"/>
                <w:highlight w:val="none"/>
                <w:lang w:val="en-US" w:eastAsia="zh-CN"/>
              </w:rPr>
            </w:pPr>
            <w:r>
              <w:rPr>
                <w:rFonts w:hint="eastAsia" w:eastAsia="宋体"/>
                <w:color w:val="000000"/>
                <w:highlight w:val="none"/>
                <w:lang w:val="en-US" w:eastAsia="zh-CN"/>
              </w:rPr>
              <w:t>/</w:t>
            </w:r>
          </w:p>
        </w:tc>
        <w:tc>
          <w:tcPr>
            <w:tcW w:w="654" w:type="pct"/>
            <w:tcBorders>
              <w:top w:val="single" w:color="auto" w:sz="4" w:space="0"/>
              <w:left w:val="single" w:color="auto" w:sz="4" w:space="0"/>
              <w:bottom w:val="single" w:color="auto" w:sz="4" w:space="0"/>
              <w:right w:val="single" w:color="auto" w:sz="12" w:space="0"/>
            </w:tcBorders>
            <w:noWrap w:val="0"/>
            <w:vAlign w:val="center"/>
          </w:tcPr>
          <w:p>
            <w:pPr>
              <w:pStyle w:val="31"/>
              <w:spacing w:line="20" w:lineRule="atLeast"/>
              <w:rPr>
                <w:rFonts w:hint="eastAsia" w:eastAsia="宋体"/>
                <w:color w:val="000000"/>
                <w:highlight w:val="none"/>
                <w:lang w:val="en-US" w:eastAsia="zh-CN"/>
              </w:rPr>
            </w:pPr>
            <w:r>
              <w:rPr>
                <w:rFonts w:hint="eastAsia" w:eastAsia="宋体"/>
                <w:color w:val="00000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tcBorders>
              <w:top w:val="single" w:color="auto" w:sz="4" w:space="0"/>
              <w:left w:val="single" w:color="auto" w:sz="12" w:space="0"/>
              <w:bottom w:val="single" w:color="auto" w:sz="4" w:space="0"/>
              <w:right w:val="single" w:color="auto" w:sz="4" w:space="0"/>
            </w:tcBorders>
            <w:noWrap w:val="0"/>
            <w:vAlign w:val="center"/>
          </w:tcPr>
          <w:p>
            <w:pPr>
              <w:pStyle w:val="31"/>
              <w:spacing w:line="20" w:lineRule="atLeast"/>
              <w:rPr>
                <w:color w:val="000000"/>
                <w:highlight w:val="none"/>
              </w:rPr>
            </w:pPr>
            <w:r>
              <w:rPr>
                <w:rFonts w:hint="eastAsia"/>
                <w:color w:val="000000"/>
                <w:highlight w:val="none"/>
                <w:lang w:val="en-US" w:eastAsia="zh-CN"/>
              </w:rPr>
              <w:t>附属设施</w:t>
            </w:r>
            <w:r>
              <w:rPr>
                <w:rFonts w:hint="eastAsia"/>
                <w:color w:val="000000"/>
                <w:highlight w:val="none"/>
              </w:rPr>
              <w:t>区</w:t>
            </w:r>
          </w:p>
        </w:tc>
        <w:tc>
          <w:tcPr>
            <w:tcW w:w="63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0.47</w:t>
            </w:r>
          </w:p>
        </w:tc>
        <w:tc>
          <w:tcPr>
            <w:tcW w:w="89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2021.10-2022.8</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1</w:t>
            </w:r>
          </w:p>
        </w:tc>
        <w:tc>
          <w:tcPr>
            <w:tcW w:w="685" w:type="pct"/>
            <w:tcBorders>
              <w:top w:val="single" w:color="auto" w:sz="4" w:space="0"/>
              <w:left w:val="single" w:color="auto" w:sz="4" w:space="0"/>
              <w:bottom w:val="single" w:color="auto" w:sz="4" w:space="0"/>
              <w:right w:val="single" w:color="auto" w:sz="4" w:space="0"/>
            </w:tcBorders>
            <w:noWrap w:val="0"/>
            <w:vAlign w:val="center"/>
          </w:tcPr>
          <w:p>
            <w:pPr>
              <w:spacing w:line="20" w:lineRule="atLeast"/>
              <w:jc w:val="center"/>
              <w:rPr>
                <w:rFonts w:hint="default" w:eastAsia="宋体"/>
                <w:color w:val="000000"/>
                <w:highlight w:val="none"/>
                <w:lang w:val="en-US" w:eastAsia="zh-CN"/>
              </w:rPr>
            </w:pPr>
            <w:r>
              <w:rPr>
                <w:rFonts w:hint="eastAsia" w:eastAsia="宋体"/>
                <w:color w:val="000000"/>
                <w:highlight w:val="none"/>
                <w:lang w:val="en-US" w:eastAsia="zh-CN"/>
              </w:rPr>
              <w:t>/</w:t>
            </w:r>
          </w:p>
        </w:tc>
        <w:tc>
          <w:tcPr>
            <w:tcW w:w="825" w:type="pct"/>
            <w:tcBorders>
              <w:top w:val="single" w:color="auto" w:sz="4" w:space="0"/>
              <w:left w:val="single" w:color="auto" w:sz="4" w:space="0"/>
              <w:bottom w:val="single" w:color="auto" w:sz="4" w:space="0"/>
              <w:right w:val="single" w:color="auto" w:sz="4" w:space="0"/>
            </w:tcBorders>
            <w:noWrap w:val="0"/>
            <w:vAlign w:val="center"/>
          </w:tcPr>
          <w:p>
            <w:pPr>
              <w:spacing w:line="20" w:lineRule="atLeast"/>
              <w:jc w:val="center"/>
              <w:rPr>
                <w:rFonts w:hint="default" w:eastAsia="宋体"/>
                <w:color w:val="000000"/>
                <w:highlight w:val="none"/>
                <w:lang w:val="en-US" w:eastAsia="zh-CN"/>
              </w:rPr>
            </w:pPr>
            <w:r>
              <w:rPr>
                <w:rFonts w:hint="eastAsia" w:eastAsia="宋体"/>
                <w:color w:val="000000"/>
                <w:highlight w:val="none"/>
                <w:lang w:val="en-US" w:eastAsia="zh-CN"/>
              </w:rPr>
              <w:t>/</w:t>
            </w:r>
          </w:p>
        </w:tc>
        <w:tc>
          <w:tcPr>
            <w:tcW w:w="654" w:type="pct"/>
            <w:tcBorders>
              <w:top w:val="single" w:color="auto" w:sz="4" w:space="0"/>
              <w:left w:val="single" w:color="auto" w:sz="4" w:space="0"/>
              <w:bottom w:val="single" w:color="auto" w:sz="4" w:space="0"/>
              <w:right w:val="single" w:color="auto" w:sz="12" w:space="0"/>
            </w:tcBorders>
            <w:noWrap w:val="0"/>
            <w:vAlign w:val="center"/>
          </w:tcPr>
          <w:p>
            <w:pPr>
              <w:spacing w:line="20" w:lineRule="atLeast"/>
              <w:jc w:val="center"/>
              <w:rPr>
                <w:rFonts w:hint="default" w:eastAsia="宋体"/>
                <w:color w:val="000000"/>
                <w:highlight w:val="none"/>
                <w:lang w:val="en-US" w:eastAsia="zh-CN"/>
              </w:rPr>
            </w:pPr>
            <w:r>
              <w:rPr>
                <w:rFonts w:hint="eastAsia" w:eastAsia="宋体"/>
                <w:color w:val="00000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908" w:type="pct"/>
            <w:tcBorders>
              <w:top w:val="single" w:color="auto" w:sz="4" w:space="0"/>
              <w:left w:val="single" w:color="auto" w:sz="12" w:space="0"/>
              <w:bottom w:val="single" w:color="auto" w:sz="12" w:space="0"/>
              <w:right w:val="single" w:color="auto" w:sz="4" w:space="0"/>
            </w:tcBorders>
            <w:noWrap w:val="0"/>
            <w:vAlign w:val="center"/>
          </w:tcPr>
          <w:p>
            <w:pPr>
              <w:pStyle w:val="31"/>
              <w:spacing w:line="20" w:lineRule="atLeast"/>
              <w:rPr>
                <w:rFonts w:hint="default"/>
                <w:color w:val="000000"/>
                <w:highlight w:val="none"/>
                <w:lang w:val="en-US" w:eastAsia="zh-CN"/>
              </w:rPr>
            </w:pPr>
            <w:r>
              <w:rPr>
                <w:rFonts w:hint="eastAsia"/>
                <w:color w:val="000000"/>
                <w:highlight w:val="none"/>
                <w:lang w:val="en-US" w:eastAsia="zh-CN"/>
              </w:rPr>
              <w:t>景观绿化区</w:t>
            </w:r>
          </w:p>
        </w:tc>
        <w:tc>
          <w:tcPr>
            <w:tcW w:w="638" w:type="pct"/>
            <w:tcBorders>
              <w:top w:val="single" w:color="auto" w:sz="4" w:space="0"/>
              <w:left w:val="single" w:color="auto" w:sz="4" w:space="0"/>
              <w:bottom w:val="single" w:color="auto" w:sz="12"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0.28</w:t>
            </w:r>
          </w:p>
        </w:tc>
        <w:tc>
          <w:tcPr>
            <w:tcW w:w="893" w:type="pct"/>
            <w:tcBorders>
              <w:top w:val="single" w:color="auto" w:sz="4" w:space="0"/>
              <w:left w:val="single" w:color="auto" w:sz="4" w:space="0"/>
              <w:bottom w:val="single" w:color="auto" w:sz="12"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2022.4-2022.10</w:t>
            </w:r>
          </w:p>
        </w:tc>
        <w:tc>
          <w:tcPr>
            <w:tcW w:w="395" w:type="pct"/>
            <w:tcBorders>
              <w:top w:val="single" w:color="auto" w:sz="4" w:space="0"/>
              <w:left w:val="single" w:color="auto" w:sz="4" w:space="0"/>
              <w:bottom w:val="single" w:color="auto" w:sz="12"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0.7</w:t>
            </w:r>
          </w:p>
        </w:tc>
        <w:tc>
          <w:tcPr>
            <w:tcW w:w="685" w:type="pct"/>
            <w:tcBorders>
              <w:top w:val="single" w:color="auto" w:sz="4" w:space="0"/>
              <w:left w:val="single" w:color="auto" w:sz="4" w:space="0"/>
              <w:bottom w:val="single" w:color="auto" w:sz="12"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0.28</w:t>
            </w:r>
          </w:p>
        </w:tc>
        <w:tc>
          <w:tcPr>
            <w:tcW w:w="825" w:type="pct"/>
            <w:tcBorders>
              <w:top w:val="single" w:color="auto" w:sz="4" w:space="0"/>
              <w:left w:val="single" w:color="auto" w:sz="4" w:space="0"/>
              <w:bottom w:val="single" w:color="auto" w:sz="12" w:space="0"/>
              <w:right w:val="single" w:color="auto" w:sz="4"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2022.10-2024.9</w:t>
            </w:r>
          </w:p>
        </w:tc>
        <w:tc>
          <w:tcPr>
            <w:tcW w:w="654" w:type="pct"/>
            <w:tcBorders>
              <w:top w:val="single" w:color="auto" w:sz="4" w:space="0"/>
              <w:left w:val="single" w:color="auto" w:sz="4" w:space="0"/>
              <w:bottom w:val="single" w:color="auto" w:sz="12" w:space="0"/>
              <w:right w:val="single" w:color="auto" w:sz="12" w:space="0"/>
            </w:tcBorders>
            <w:noWrap w:val="0"/>
            <w:vAlign w:val="center"/>
          </w:tcPr>
          <w:p>
            <w:pPr>
              <w:pStyle w:val="31"/>
              <w:spacing w:line="20" w:lineRule="atLeast"/>
              <w:rPr>
                <w:rFonts w:hint="default" w:eastAsia="宋体"/>
                <w:color w:val="000000"/>
                <w:highlight w:val="none"/>
                <w:lang w:val="en-US" w:eastAsia="zh-CN"/>
              </w:rPr>
            </w:pPr>
            <w:r>
              <w:rPr>
                <w:rFonts w:hint="eastAsia" w:eastAsia="宋体"/>
                <w:color w:val="000000"/>
                <w:highlight w:val="none"/>
                <w:lang w:val="en-US" w:eastAsia="zh-CN"/>
              </w:rPr>
              <w:t>2</w:t>
            </w:r>
          </w:p>
        </w:tc>
      </w:tr>
    </w:tbl>
    <w:p>
      <w:pPr>
        <w:pStyle w:val="6"/>
        <w:widowControl/>
        <w:spacing w:before="156" w:beforeLines="50"/>
        <w:rPr>
          <w:szCs w:val="28"/>
          <w:lang w:val="zh-CN"/>
        </w:rPr>
      </w:pPr>
      <w:r>
        <w:rPr>
          <w:szCs w:val="28"/>
        </w:rPr>
        <w:t>4.</w:t>
      </w:r>
      <w:r>
        <w:rPr>
          <w:rFonts w:hint="eastAsia"/>
          <w:szCs w:val="28"/>
          <w:lang w:val="en-US" w:eastAsia="zh-CN"/>
        </w:rPr>
        <w:t>3</w:t>
      </w:r>
      <w:r>
        <w:rPr>
          <w:szCs w:val="28"/>
        </w:rPr>
        <w:t>.3</w:t>
      </w:r>
      <w:r>
        <w:rPr>
          <w:szCs w:val="28"/>
          <w:lang w:val="zh-CN"/>
        </w:rPr>
        <w:t>土壤侵蚀模数</w:t>
      </w:r>
    </w:p>
    <w:p>
      <w:pPr>
        <w:spacing w:line="360" w:lineRule="auto"/>
        <w:ind w:firstLine="480" w:firstLineChars="200"/>
        <w:rPr>
          <w:szCs w:val="24"/>
        </w:rPr>
      </w:pPr>
      <w:bookmarkStart w:id="273" w:name="_Toc225656896"/>
      <w:r>
        <w:rPr>
          <w:szCs w:val="24"/>
        </w:rPr>
        <w:t>一、预测内容</w:t>
      </w:r>
      <w:bookmarkEnd w:id="273"/>
      <w:r>
        <w:rPr>
          <w:szCs w:val="24"/>
        </w:rPr>
        <w:t>及方法</w:t>
      </w:r>
    </w:p>
    <w:p>
      <w:pPr>
        <w:spacing w:line="360" w:lineRule="auto"/>
        <w:ind w:firstLine="480" w:firstLineChars="200"/>
        <w:rPr>
          <w:szCs w:val="24"/>
        </w:rPr>
      </w:pPr>
      <w:r>
        <w:rPr>
          <w:szCs w:val="24"/>
        </w:rPr>
        <w:t>（1）扰动地表面积</w:t>
      </w:r>
    </w:p>
    <w:p>
      <w:pPr>
        <w:spacing w:line="360" w:lineRule="auto"/>
        <w:ind w:firstLine="480" w:firstLineChars="200"/>
        <w:rPr>
          <w:szCs w:val="24"/>
        </w:rPr>
      </w:pPr>
      <w:r>
        <w:rPr>
          <w:szCs w:val="24"/>
        </w:rPr>
        <w:t>根据主体工程设计资料，对项目区进行了实地调查，经统计分析，确定实际扰动的地表面积。</w:t>
      </w:r>
    </w:p>
    <w:p>
      <w:pPr>
        <w:spacing w:line="360" w:lineRule="auto"/>
        <w:ind w:firstLine="480" w:firstLineChars="200"/>
        <w:rPr>
          <w:szCs w:val="24"/>
        </w:rPr>
      </w:pPr>
      <w:r>
        <w:rPr>
          <w:szCs w:val="24"/>
        </w:rPr>
        <w:t>（2）弃渣量</w:t>
      </w:r>
    </w:p>
    <w:p>
      <w:pPr>
        <w:spacing w:line="360" w:lineRule="auto"/>
        <w:ind w:firstLine="480" w:firstLineChars="200"/>
        <w:rPr>
          <w:szCs w:val="24"/>
        </w:rPr>
      </w:pPr>
      <w:r>
        <w:rPr>
          <w:szCs w:val="24"/>
        </w:rPr>
        <w:t>通过查阅主体工程设计资料，根据工程的开挖回填量，结合施工组织设计、土石方平衡分析等，对各分区产生的弃渣量进行预测。</w:t>
      </w:r>
    </w:p>
    <w:p>
      <w:pPr>
        <w:spacing w:line="360" w:lineRule="auto"/>
        <w:ind w:firstLine="480" w:firstLineChars="200"/>
        <w:rPr>
          <w:szCs w:val="24"/>
        </w:rPr>
      </w:pPr>
      <w:r>
        <w:rPr>
          <w:szCs w:val="24"/>
        </w:rPr>
        <w:t>（3）水土流失量</w:t>
      </w:r>
    </w:p>
    <w:p>
      <w:pPr>
        <w:spacing w:line="360" w:lineRule="auto"/>
        <w:ind w:firstLine="480" w:firstLineChars="200"/>
        <w:rPr>
          <w:szCs w:val="24"/>
        </w:rPr>
      </w:pPr>
      <w:r>
        <w:rPr>
          <w:szCs w:val="24"/>
        </w:rPr>
        <w:t>水土流失量预测采用侵蚀模数法进行水土流失预测。计算公式如下：</w:t>
      </w:r>
    </w:p>
    <w:p>
      <w:pPr>
        <w:spacing w:line="360" w:lineRule="auto"/>
        <w:ind w:firstLine="480" w:firstLineChars="200"/>
        <w:rPr>
          <w:szCs w:val="24"/>
        </w:rPr>
      </w:pPr>
      <w:r>
        <w:rPr>
          <w:szCs w:val="24"/>
        </w:rPr>
        <w:object>
          <v:shape id="_x0000_i1029" o:spt="75" type="#_x0000_t75" style="height:33.5pt;width:141.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p>
    <w:p>
      <w:pPr>
        <w:spacing w:line="360" w:lineRule="auto"/>
        <w:ind w:firstLine="480" w:firstLineChars="200"/>
        <w:rPr>
          <w:szCs w:val="24"/>
        </w:rPr>
      </w:pPr>
      <w:r>
        <w:rPr>
          <w:szCs w:val="24"/>
        </w:rPr>
        <w:object>
          <v:shape id="_x0000_i1030" o:spt="75" type="#_x0000_t75" style="height:33.5pt;width:159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p>
    <w:p>
      <w:pPr>
        <w:spacing w:line="360" w:lineRule="auto"/>
        <w:ind w:firstLine="480" w:firstLineChars="200"/>
        <w:rPr>
          <w:szCs w:val="24"/>
        </w:rPr>
      </w:pPr>
      <w:r>
        <w:rPr>
          <w:szCs w:val="24"/>
        </w:rPr>
        <w:t>式中：W——土壤流失量，t；</w:t>
      </w:r>
    </w:p>
    <w:p>
      <w:pPr>
        <w:spacing w:line="360" w:lineRule="auto"/>
        <w:ind w:firstLine="480" w:firstLineChars="200"/>
        <w:rPr>
          <w:szCs w:val="24"/>
        </w:rPr>
      </w:pPr>
      <w:r>
        <w:rPr>
          <w:szCs w:val="24"/>
        </w:rPr>
        <w:t>ΔW——新增土壤流失量，t；</w:t>
      </w:r>
    </w:p>
    <w:p>
      <w:pPr>
        <w:spacing w:line="360" w:lineRule="auto"/>
        <w:ind w:firstLine="480" w:firstLineChars="200"/>
        <w:rPr>
          <w:szCs w:val="24"/>
        </w:rPr>
      </w:pPr>
      <w:r>
        <w:rPr>
          <w:szCs w:val="24"/>
        </w:rPr>
        <w:t>Fji——某时段某单元的预测面积，k</w:t>
      </w:r>
      <w:r>
        <w:rPr>
          <w:rFonts w:hint="eastAsia"/>
          <w:szCs w:val="24"/>
          <w:lang w:eastAsia="zh-CN"/>
        </w:rPr>
        <w:t>m²</w:t>
      </w:r>
      <w:r>
        <w:rPr>
          <w:szCs w:val="24"/>
        </w:rPr>
        <w:t>；</w:t>
      </w:r>
    </w:p>
    <w:p>
      <w:pPr>
        <w:spacing w:line="360" w:lineRule="auto"/>
        <w:ind w:firstLine="480" w:firstLineChars="200"/>
        <w:rPr>
          <w:szCs w:val="24"/>
        </w:rPr>
      </w:pPr>
      <w:r>
        <w:rPr>
          <w:szCs w:val="24"/>
        </w:rPr>
        <w:t>Mji——某时段某单元的土壤侵蚀模数，t/(k</w:t>
      </w:r>
      <w:r>
        <w:rPr>
          <w:rFonts w:hint="eastAsia"/>
          <w:szCs w:val="24"/>
          <w:lang w:eastAsia="zh-CN"/>
        </w:rPr>
        <w:t>m²</w:t>
      </w:r>
      <w:r>
        <w:rPr>
          <w:szCs w:val="24"/>
        </w:rPr>
        <w:t>·a)；</w:t>
      </w:r>
    </w:p>
    <w:p>
      <w:pPr>
        <w:spacing w:line="360" w:lineRule="auto"/>
        <w:ind w:firstLine="480" w:firstLineChars="200"/>
        <w:rPr>
          <w:szCs w:val="24"/>
        </w:rPr>
      </w:pPr>
      <w:r>
        <w:rPr>
          <w:szCs w:val="24"/>
        </w:rPr>
        <w:t>ΔMji——某时段某单元的新增土壤侵蚀模数，t/(k</w:t>
      </w:r>
      <w:r>
        <w:rPr>
          <w:rFonts w:hint="eastAsia"/>
          <w:szCs w:val="24"/>
          <w:lang w:eastAsia="zh-CN"/>
        </w:rPr>
        <w:t>m²</w:t>
      </w:r>
      <w:r>
        <w:rPr>
          <w:szCs w:val="24"/>
        </w:rPr>
        <w:t>·a)，只计正值，负值按0计；</w:t>
      </w:r>
    </w:p>
    <w:p>
      <w:pPr>
        <w:spacing w:line="360" w:lineRule="auto"/>
        <w:ind w:firstLine="480" w:firstLineChars="200"/>
        <w:rPr>
          <w:szCs w:val="24"/>
        </w:rPr>
      </w:pPr>
      <w:r>
        <w:rPr>
          <w:szCs w:val="24"/>
        </w:rPr>
        <w:t>Tji——某时段某单元的预测时间，a。</w:t>
      </w:r>
    </w:p>
    <w:p>
      <w:pPr>
        <w:spacing w:line="360" w:lineRule="auto"/>
        <w:ind w:firstLine="480" w:firstLineChars="200"/>
        <w:rPr>
          <w:szCs w:val="24"/>
        </w:rPr>
      </w:pPr>
      <w:r>
        <w:rPr>
          <w:szCs w:val="24"/>
        </w:rPr>
        <w:t>i——预测单元，1，2，3，……n；</w:t>
      </w:r>
    </w:p>
    <w:p>
      <w:pPr>
        <w:spacing w:line="360" w:lineRule="auto"/>
        <w:ind w:firstLine="480" w:firstLineChars="200"/>
        <w:rPr>
          <w:szCs w:val="24"/>
        </w:rPr>
      </w:pPr>
      <w:r>
        <w:rPr>
          <w:szCs w:val="24"/>
        </w:rPr>
        <w:t>j——预测时段，1，2，指施工期、自然恢复期；</w:t>
      </w:r>
    </w:p>
    <w:p>
      <w:pPr>
        <w:spacing w:line="360" w:lineRule="auto"/>
        <w:ind w:firstLine="480" w:firstLineChars="200"/>
        <w:rPr>
          <w:szCs w:val="24"/>
        </w:rPr>
      </w:pPr>
      <w:r>
        <w:rPr>
          <w:szCs w:val="24"/>
        </w:rPr>
        <w:t>（4）水土流失危害</w:t>
      </w:r>
    </w:p>
    <w:p>
      <w:pPr>
        <w:spacing w:line="360" w:lineRule="auto"/>
        <w:ind w:firstLine="480" w:firstLineChars="200"/>
        <w:rPr>
          <w:szCs w:val="24"/>
        </w:rPr>
      </w:pPr>
      <w:r>
        <w:rPr>
          <w:szCs w:val="24"/>
        </w:rPr>
        <w:t>根据本工程的布局、施工工艺以及项目区地形地貌等，结合实地调查分析，分析可能造成的水土流失危害。</w:t>
      </w:r>
    </w:p>
    <w:p>
      <w:pPr>
        <w:spacing w:line="360" w:lineRule="auto"/>
        <w:ind w:firstLine="480" w:firstLineChars="200"/>
        <w:rPr>
          <w:szCs w:val="24"/>
        </w:rPr>
      </w:pPr>
      <w:r>
        <w:rPr>
          <w:szCs w:val="24"/>
        </w:rPr>
        <w:t>二、预测参数</w:t>
      </w:r>
    </w:p>
    <w:p>
      <w:pPr>
        <w:spacing w:line="360" w:lineRule="auto"/>
        <w:ind w:firstLine="480" w:firstLineChars="200"/>
        <w:rPr>
          <w:kern w:val="28"/>
          <w:szCs w:val="24"/>
        </w:rPr>
      </w:pPr>
      <w:r>
        <w:rPr>
          <w:kern w:val="28"/>
          <w:szCs w:val="24"/>
        </w:rPr>
        <w:t>（1）原地表侵蚀模数</w:t>
      </w:r>
    </w:p>
    <w:p>
      <w:pPr>
        <w:spacing w:line="360" w:lineRule="auto"/>
        <w:ind w:firstLine="480" w:firstLineChars="200"/>
        <w:rPr>
          <w:szCs w:val="24"/>
        </w:rPr>
      </w:pPr>
      <w:r>
        <w:rPr>
          <w:kern w:val="28"/>
          <w:szCs w:val="24"/>
          <w:lang w:val="zh-CN"/>
        </w:rPr>
        <w:t>原地表土壤侵蚀模数采用调查得到的侵蚀模数。通过对项目建设区水土流失现状调查，根据水土流失因子调查表，参照《土壤侵蚀分类分级标准》，计算出各预测单元的原地表土壤侵蚀模数，</w:t>
      </w:r>
      <w:r>
        <w:rPr>
          <w:szCs w:val="24"/>
        </w:rPr>
        <w:t>平均土壤侵蚀模数为</w:t>
      </w:r>
      <w:r>
        <w:rPr>
          <w:rFonts w:hint="eastAsia"/>
          <w:szCs w:val="24"/>
          <w:lang w:val="en-US" w:eastAsia="zh-CN"/>
        </w:rPr>
        <w:t>557</w:t>
      </w:r>
      <w:r>
        <w:rPr>
          <w:szCs w:val="24"/>
        </w:rPr>
        <w:t>t/(k</w:t>
      </w:r>
      <w:r>
        <w:rPr>
          <w:rFonts w:hint="eastAsia"/>
          <w:szCs w:val="24"/>
          <w:lang w:eastAsia="zh-CN"/>
        </w:rPr>
        <w:t>m²</w:t>
      </w:r>
      <w:r>
        <w:rPr>
          <w:szCs w:val="24"/>
        </w:rPr>
        <w:t>·a)。</w:t>
      </w:r>
    </w:p>
    <w:p>
      <w:pPr>
        <w:spacing w:line="360" w:lineRule="auto"/>
        <w:ind w:firstLine="480" w:firstLineChars="200"/>
        <w:rPr>
          <w:kern w:val="28"/>
          <w:szCs w:val="24"/>
        </w:rPr>
      </w:pPr>
      <w:r>
        <w:rPr>
          <w:kern w:val="28"/>
          <w:szCs w:val="24"/>
        </w:rPr>
        <w:t>（2）自然恢复期侵蚀模数</w:t>
      </w:r>
    </w:p>
    <w:p>
      <w:pPr>
        <w:widowControl/>
        <w:autoSpaceDE w:val="0"/>
        <w:autoSpaceDN w:val="0"/>
        <w:spacing w:line="360" w:lineRule="auto"/>
        <w:ind w:firstLine="480" w:firstLineChars="200"/>
        <w:rPr>
          <w:rFonts w:hint="eastAsia"/>
          <w:lang w:val="en-US" w:eastAsia="zh-CN"/>
        </w:rPr>
      </w:pPr>
      <w:r>
        <w:rPr>
          <w:szCs w:val="24"/>
        </w:rPr>
        <w:t>自然恢复期即指各单元施工扰动结束后未采取水土保持措施条件下，松散裸露面逐步趋于稳定、植被自然恢复，土壤侵蚀强度减弱并接近原背景值所需的时间。在这期间，空闲地和未治理区域在初期林草覆盖率短时间内很小，不能减缓雨滴对地表的溅蚀，拦蓄径流对地表冲刷。预测时采用侵蚀模数法进行，依据实施的植物措施后期生长情况，定期对水土流失情况进行调查，再结合项目区的植物措施实施地点的立地条件等各因素以及经验分析，确定自然恢复期各防治分区的侵蚀强度及其侵蚀模数</w:t>
      </w:r>
      <w:r>
        <w:rPr>
          <w:kern w:val="28"/>
          <w:szCs w:val="24"/>
          <w:lang w:val="zh-CN"/>
        </w:rPr>
        <w:t>。</w:t>
      </w:r>
    </w:p>
    <w:p>
      <w:pPr>
        <w:pStyle w:val="6"/>
        <w:widowControl/>
        <w:rPr>
          <w:bCs/>
          <w:position w:val="4"/>
          <w:sz w:val="30"/>
          <w:szCs w:val="30"/>
          <w:lang w:val="zh-CN"/>
        </w:rPr>
      </w:pPr>
      <w:bookmarkStart w:id="274" w:name="_Toc32421"/>
      <w:bookmarkStart w:id="275" w:name="_Toc11376"/>
      <w:r>
        <w:rPr>
          <w:rFonts w:hint="eastAsia"/>
          <w:bCs/>
          <w:position w:val="4"/>
          <w:sz w:val="30"/>
          <w:szCs w:val="30"/>
        </w:rPr>
        <w:t>4</w:t>
      </w:r>
      <w:r>
        <w:rPr>
          <w:bCs/>
          <w:position w:val="4"/>
          <w:sz w:val="30"/>
          <w:szCs w:val="30"/>
        </w:rPr>
        <w:t>.</w:t>
      </w:r>
      <w:r>
        <w:rPr>
          <w:rFonts w:hint="eastAsia"/>
          <w:bCs/>
          <w:position w:val="4"/>
          <w:sz w:val="30"/>
          <w:szCs w:val="30"/>
          <w:lang w:val="en-US" w:eastAsia="zh-CN"/>
        </w:rPr>
        <w:t>3</w:t>
      </w:r>
      <w:r>
        <w:rPr>
          <w:bCs/>
          <w:position w:val="4"/>
          <w:sz w:val="30"/>
          <w:szCs w:val="30"/>
        </w:rPr>
        <w:t>.4</w:t>
      </w:r>
      <w:r>
        <w:rPr>
          <w:rFonts w:hint="eastAsia"/>
          <w:bCs/>
          <w:position w:val="4"/>
          <w:sz w:val="30"/>
          <w:szCs w:val="30"/>
        </w:rPr>
        <w:t>水土流失</w:t>
      </w:r>
      <w:r>
        <w:rPr>
          <w:rFonts w:hint="eastAsia"/>
          <w:bCs/>
          <w:position w:val="4"/>
          <w:sz w:val="30"/>
          <w:szCs w:val="30"/>
          <w:lang w:val="zh-CN"/>
        </w:rPr>
        <w:t>调查</w:t>
      </w:r>
      <w:r>
        <w:rPr>
          <w:bCs/>
          <w:position w:val="4"/>
          <w:sz w:val="30"/>
          <w:szCs w:val="30"/>
          <w:lang w:val="zh-CN"/>
        </w:rPr>
        <w:t>结果</w:t>
      </w:r>
      <w:bookmarkEnd w:id="274"/>
      <w:bookmarkEnd w:id="275"/>
    </w:p>
    <w:p>
      <w:pPr>
        <w:spacing w:line="500" w:lineRule="exact"/>
        <w:ind w:firstLine="480" w:firstLineChars="200"/>
      </w:pPr>
      <w:r>
        <w:t>根据以上水土流失调查分区和时段，</w:t>
      </w:r>
      <w:r>
        <w:rPr>
          <w:rFonts w:hint="eastAsia"/>
        </w:rPr>
        <w:t>计算</w:t>
      </w:r>
      <w:r>
        <w:t>项目各分区在各调查时段水土流失量的统计表，具体详见表</w:t>
      </w:r>
      <w:r>
        <w:rPr>
          <w:rFonts w:hint="eastAsia"/>
        </w:rPr>
        <w:t>4</w:t>
      </w:r>
      <w:r>
        <w:t>-</w:t>
      </w:r>
      <w:r>
        <w:rPr>
          <w:rFonts w:hint="eastAsia"/>
        </w:rPr>
        <w:t>4</w:t>
      </w:r>
      <w:r>
        <w:t>。</w:t>
      </w:r>
    </w:p>
    <w:p>
      <w:pPr>
        <w:jc w:val="center"/>
        <w:rPr>
          <w:b/>
          <w:spacing w:val="4"/>
          <w:sz w:val="22"/>
          <w:szCs w:val="22"/>
        </w:rPr>
      </w:pPr>
      <w:r>
        <w:rPr>
          <w:b/>
          <w:spacing w:val="4"/>
          <w:sz w:val="22"/>
          <w:szCs w:val="22"/>
        </w:rPr>
        <w:t>表4-</w:t>
      </w:r>
      <w:r>
        <w:rPr>
          <w:rFonts w:hint="eastAsia"/>
          <w:b/>
          <w:spacing w:val="4"/>
          <w:sz w:val="22"/>
          <w:szCs w:val="22"/>
        </w:rPr>
        <w:t>4</w:t>
      </w:r>
      <w:r>
        <w:rPr>
          <w:b/>
          <w:spacing w:val="4"/>
          <w:sz w:val="22"/>
          <w:szCs w:val="22"/>
        </w:rPr>
        <w:t>水土流失量</w:t>
      </w:r>
      <w:r>
        <w:rPr>
          <w:rFonts w:hint="eastAsia"/>
          <w:b/>
          <w:spacing w:val="4"/>
          <w:sz w:val="22"/>
          <w:szCs w:val="22"/>
        </w:rPr>
        <w:t>调查</w:t>
      </w:r>
      <w:r>
        <w:rPr>
          <w:b/>
          <w:spacing w:val="4"/>
          <w:sz w:val="22"/>
          <w:szCs w:val="22"/>
        </w:rPr>
        <w:t>统计表</w:t>
      </w:r>
    </w:p>
    <w:tbl>
      <w:tblPr>
        <w:tblStyle w:val="19"/>
        <w:tblW w:w="4997" w:type="pct"/>
        <w:tblInd w:w="0" w:type="dxa"/>
        <w:tblLayout w:type="fixed"/>
        <w:tblCellMar>
          <w:top w:w="0" w:type="dxa"/>
          <w:left w:w="0" w:type="dxa"/>
          <w:bottom w:w="0" w:type="dxa"/>
          <w:right w:w="0" w:type="dxa"/>
        </w:tblCellMar>
      </w:tblPr>
      <w:tblGrid>
        <w:gridCol w:w="976"/>
        <w:gridCol w:w="869"/>
        <w:gridCol w:w="923"/>
        <w:gridCol w:w="878"/>
        <w:gridCol w:w="878"/>
        <w:gridCol w:w="721"/>
        <w:gridCol w:w="699"/>
        <w:gridCol w:w="699"/>
        <w:gridCol w:w="699"/>
        <w:gridCol w:w="990"/>
      </w:tblGrid>
      <w:tr>
        <w:tblPrEx>
          <w:tblCellMar>
            <w:top w:w="0" w:type="dxa"/>
            <w:left w:w="0" w:type="dxa"/>
            <w:bottom w:w="0" w:type="dxa"/>
            <w:right w:w="0" w:type="dxa"/>
          </w:tblCellMar>
        </w:tblPrEx>
        <w:trPr>
          <w:trHeight w:val="1170" w:hRule="atLeast"/>
        </w:trPr>
        <w:tc>
          <w:tcPr>
            <w:tcW w:w="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调查时段</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调查单元</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土壤侵蚀模数背景值（</w:t>
            </w:r>
            <w:r>
              <w:rPr>
                <w:kern w:val="0"/>
                <w:sz w:val="18"/>
                <w:szCs w:val="18"/>
                <w:lang w:bidi="ar"/>
              </w:rPr>
              <w:t>t/k</w:t>
            </w:r>
            <w:r>
              <w:rPr>
                <w:rFonts w:hint="eastAsia"/>
                <w:kern w:val="0"/>
                <w:sz w:val="18"/>
                <w:szCs w:val="18"/>
                <w:lang w:eastAsia="zh-CN" w:bidi="ar"/>
              </w:rPr>
              <w:t>m²</w:t>
            </w:r>
            <w:r>
              <w:rPr>
                <w:kern w:val="0"/>
                <w:sz w:val="18"/>
                <w:szCs w:val="18"/>
                <w:lang w:bidi="ar"/>
              </w:rPr>
              <w:t>.a)</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扰动后土壤侵蚀模数值（</w:t>
            </w:r>
            <w:r>
              <w:rPr>
                <w:kern w:val="0"/>
                <w:sz w:val="18"/>
                <w:szCs w:val="18"/>
                <w:lang w:bidi="ar"/>
              </w:rPr>
              <w:t>t/k</w:t>
            </w:r>
            <w:r>
              <w:rPr>
                <w:rFonts w:hint="eastAsia"/>
                <w:kern w:val="0"/>
                <w:sz w:val="18"/>
                <w:szCs w:val="18"/>
                <w:lang w:eastAsia="zh-CN" w:bidi="ar"/>
              </w:rPr>
              <w:t>m²</w:t>
            </w:r>
            <w:r>
              <w:rPr>
                <w:kern w:val="0"/>
                <w:sz w:val="18"/>
                <w:szCs w:val="18"/>
                <w:lang w:bidi="ar"/>
              </w:rPr>
              <w:t>.a)</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侵蚀面积（</w:t>
            </w:r>
            <w:r>
              <w:rPr>
                <w:rFonts w:hint="eastAsia"/>
                <w:kern w:val="0"/>
                <w:sz w:val="18"/>
                <w:szCs w:val="18"/>
                <w:lang w:eastAsia="zh-CN" w:bidi="ar"/>
              </w:rPr>
              <w:t>hm²</w:t>
            </w: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侵蚀时间（</w:t>
            </w:r>
            <w:r>
              <w:rPr>
                <w:kern w:val="0"/>
                <w:sz w:val="18"/>
                <w:szCs w:val="18"/>
                <w:lang w:bidi="ar"/>
              </w:rPr>
              <w:t>a)</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背景流失量（</w:t>
            </w:r>
            <w:r>
              <w:rPr>
                <w:kern w:val="0"/>
                <w:sz w:val="18"/>
                <w:szCs w:val="18"/>
                <w:lang w:bidi="ar"/>
              </w:rPr>
              <w:t>t)</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调查流失量（</w:t>
            </w:r>
            <w:r>
              <w:rPr>
                <w:kern w:val="0"/>
                <w:sz w:val="18"/>
                <w:szCs w:val="18"/>
                <w:lang w:bidi="ar"/>
              </w:rPr>
              <w:t>t)</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新增流失量（</w:t>
            </w:r>
            <w:r>
              <w:rPr>
                <w:kern w:val="0"/>
                <w:sz w:val="18"/>
                <w:szCs w:val="18"/>
                <w:lang w:bidi="ar"/>
              </w:rPr>
              <w:t>t)</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占新增流失比重（%</w:t>
            </w:r>
            <w:r>
              <w:rPr>
                <w:kern w:val="0"/>
                <w:sz w:val="18"/>
                <w:szCs w:val="18"/>
                <w:lang w:bidi="ar"/>
              </w:rPr>
              <w:t>)</w:t>
            </w:r>
          </w:p>
        </w:tc>
      </w:tr>
      <w:tr>
        <w:tblPrEx>
          <w:tblCellMar>
            <w:top w:w="0" w:type="dxa"/>
            <w:left w:w="0" w:type="dxa"/>
            <w:bottom w:w="0" w:type="dxa"/>
            <w:right w:w="0" w:type="dxa"/>
          </w:tblCellMar>
        </w:tblPrEx>
        <w:trPr>
          <w:trHeight w:val="285" w:hRule="atLeast"/>
        </w:trPr>
        <w:tc>
          <w:tcPr>
            <w:tcW w:w="58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施工期</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建构筑物区</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350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2500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default" w:ascii="仿宋_GB2312" w:hAnsi="宋体" w:cs="仿宋_GB2312"/>
                <w:kern w:val="0"/>
                <w:sz w:val="18"/>
                <w:szCs w:val="18"/>
                <w:lang w:val="en-US" w:eastAsia="zh-CN" w:bidi="ar"/>
              </w:rPr>
              <w:t>0.</w:t>
            </w:r>
            <w:r>
              <w:rPr>
                <w:rFonts w:hint="eastAsia" w:ascii="仿宋_GB2312" w:hAnsi="宋体" w:cs="仿宋_GB2312"/>
                <w:kern w:val="0"/>
                <w:sz w:val="18"/>
                <w:szCs w:val="18"/>
                <w:lang w:val="en-US" w:eastAsia="zh-CN" w:bidi="ar"/>
              </w:rPr>
              <w:t>27</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20" w:lineRule="atLeast"/>
              <w:ind w:firstLine="0" w:firstLineChars="0"/>
              <w:rPr>
                <w:rFonts w:hint="default"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1.33</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1.26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8.98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7.72 </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47 </w:t>
            </w:r>
          </w:p>
        </w:tc>
      </w:tr>
      <w:tr>
        <w:tblPrEx>
          <w:tblCellMar>
            <w:top w:w="0" w:type="dxa"/>
            <w:left w:w="0" w:type="dxa"/>
            <w:bottom w:w="0" w:type="dxa"/>
            <w:right w:w="0" w:type="dxa"/>
          </w:tblCellMar>
        </w:tblPrEx>
        <w:trPr>
          <w:trHeight w:val="285" w:hRule="atLeast"/>
        </w:trPr>
        <w:tc>
          <w:tcPr>
            <w:tcW w:w="58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cs="仿宋_GB2312"/>
                <w:sz w:val="18"/>
                <w:szCs w:val="18"/>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eastAsia="仿宋" w:cs="仿宋_GB2312"/>
                <w:sz w:val="18"/>
                <w:szCs w:val="18"/>
                <w:lang w:eastAsia="zh-CN"/>
              </w:rPr>
            </w:pPr>
            <w:r>
              <w:rPr>
                <w:rFonts w:hint="eastAsia" w:ascii="仿宋_GB2312" w:hAnsi="宋体" w:cs="仿宋_GB2312"/>
                <w:kern w:val="0"/>
                <w:sz w:val="18"/>
                <w:szCs w:val="18"/>
                <w:lang w:eastAsia="zh-CN" w:bidi="ar"/>
              </w:rPr>
              <w:t>附属设施区</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800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2000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default" w:ascii="仿宋_GB2312" w:hAnsi="宋体" w:cs="仿宋_GB2312"/>
                <w:kern w:val="0"/>
                <w:sz w:val="18"/>
                <w:szCs w:val="18"/>
                <w:lang w:val="en-US" w:eastAsia="zh-CN" w:bidi="ar"/>
              </w:rPr>
              <w:t>0.</w:t>
            </w:r>
            <w:r>
              <w:rPr>
                <w:rFonts w:hint="eastAsia" w:ascii="仿宋_GB2312" w:hAnsi="宋体" w:cs="仿宋_GB2312"/>
                <w:kern w:val="0"/>
                <w:sz w:val="18"/>
                <w:szCs w:val="18"/>
                <w:lang w:val="en-US" w:eastAsia="zh-CN" w:bidi="ar"/>
              </w:rPr>
              <w:t>47</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20" w:lineRule="atLeast"/>
              <w:ind w:firstLine="0" w:firstLineChars="0"/>
              <w:jc w:val="center"/>
              <w:rPr>
                <w:rFonts w:hint="default"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3.76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9.40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lang w:val="en-US" w:eastAsia="zh-CN"/>
              </w:rPr>
            </w:pPr>
            <w:r>
              <w:rPr>
                <w:rFonts w:hint="eastAsia" w:ascii="仿宋" w:hAnsi="仿宋" w:eastAsia="仿宋" w:cs="仿宋"/>
                <w:i w:val="0"/>
                <w:color w:val="000000"/>
                <w:kern w:val="0"/>
                <w:sz w:val="18"/>
                <w:szCs w:val="18"/>
                <w:u w:val="none"/>
                <w:lang w:val="en-US" w:eastAsia="zh-CN" w:bidi="ar"/>
              </w:rPr>
              <w:t xml:space="preserve">5.64 </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34 </w:t>
            </w:r>
          </w:p>
        </w:tc>
      </w:tr>
      <w:tr>
        <w:tblPrEx>
          <w:tblCellMar>
            <w:top w:w="0" w:type="dxa"/>
            <w:left w:w="0" w:type="dxa"/>
            <w:bottom w:w="0" w:type="dxa"/>
            <w:right w:w="0" w:type="dxa"/>
          </w:tblCellMar>
        </w:tblPrEx>
        <w:trPr>
          <w:trHeight w:val="285" w:hRule="atLeast"/>
        </w:trPr>
        <w:tc>
          <w:tcPr>
            <w:tcW w:w="58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cs="仿宋_GB2312"/>
                <w:sz w:val="18"/>
                <w:szCs w:val="18"/>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景观绿化区</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bidi="ar"/>
              </w:rPr>
            </w:pPr>
            <w:r>
              <w:rPr>
                <w:rFonts w:hint="eastAsia" w:ascii="仿宋_GB2312" w:hAnsi="宋体" w:cs="仿宋_GB2312"/>
                <w:kern w:val="0"/>
                <w:sz w:val="18"/>
                <w:szCs w:val="18"/>
                <w:lang w:val="en-US" w:eastAsia="zh-CN" w:bidi="ar"/>
              </w:rPr>
              <w:t>350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2000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0.28</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20" w:lineRule="atLeast"/>
              <w:ind w:firstLine="0" w:firstLineChars="0"/>
              <w:rPr>
                <w:rFonts w:hint="default"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0.7</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0.69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3.92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3.23 </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19 </w:t>
            </w:r>
          </w:p>
        </w:tc>
      </w:tr>
      <w:tr>
        <w:tblPrEx>
          <w:tblCellMar>
            <w:top w:w="0" w:type="dxa"/>
            <w:left w:w="0" w:type="dxa"/>
            <w:bottom w:w="0" w:type="dxa"/>
            <w:right w:w="0" w:type="dxa"/>
          </w:tblCellMar>
        </w:tblPrEx>
        <w:trPr>
          <w:trHeight w:val="285" w:hRule="atLeast"/>
        </w:trPr>
        <w:tc>
          <w:tcPr>
            <w:tcW w:w="585"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r>
              <w:rPr>
                <w:rFonts w:hint="eastAsia" w:ascii="仿宋_GB2312" w:hAnsi="宋体" w:cs="仿宋_GB2312"/>
                <w:kern w:val="0"/>
                <w:sz w:val="18"/>
                <w:szCs w:val="18"/>
                <w:lang w:bidi="ar"/>
              </w:rPr>
              <w:t>小计</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5.70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22.30 </w:t>
            </w:r>
          </w:p>
        </w:tc>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 w:hAnsi="仿宋" w:eastAsia="仿宋" w:cs="仿宋"/>
                <w:i w:val="0"/>
                <w:color w:val="000000"/>
                <w:kern w:val="0"/>
                <w:sz w:val="18"/>
                <w:szCs w:val="18"/>
                <w:u w:val="none"/>
                <w:lang w:val="en-US" w:eastAsia="zh-CN" w:bidi="ar"/>
              </w:rPr>
              <w:t xml:space="preserve">16.59 </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仿宋_GB2312" w:hAnsi="宋体" w:eastAsia="仿宋" w:cs="仿宋_GB2312"/>
                <w:kern w:val="0"/>
                <w:sz w:val="18"/>
                <w:szCs w:val="18"/>
                <w:lang w:val="en-US" w:eastAsia="zh-CN" w:bidi="ar"/>
              </w:rPr>
            </w:pPr>
          </w:p>
        </w:tc>
      </w:tr>
      <w:tr>
        <w:tblPrEx>
          <w:tblCellMar>
            <w:top w:w="0" w:type="dxa"/>
            <w:left w:w="0" w:type="dxa"/>
            <w:bottom w:w="0" w:type="dxa"/>
            <w:right w:w="0" w:type="dxa"/>
          </w:tblCellMar>
        </w:tblPrEx>
        <w:trPr>
          <w:trHeight w:val="285" w:hRule="atLeast"/>
        </w:trPr>
        <w:tc>
          <w:tcPr>
            <w:tcW w:w="110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合计</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cs="仿宋_GB2312"/>
                <w:kern w:val="0"/>
                <w:sz w:val="18"/>
                <w:szCs w:val="18"/>
                <w:lang w:bidi="ar"/>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 w:cs="仿宋_GB2312"/>
                <w:kern w:val="0"/>
                <w:sz w:val="18"/>
                <w:szCs w:val="18"/>
                <w:lang w:val="en-US" w:eastAsia="zh-CN" w:bidi="ar"/>
              </w:rPr>
            </w:pPr>
          </w:p>
        </w:tc>
      </w:tr>
      <w:tr>
        <w:tblPrEx>
          <w:tblCellMar>
            <w:top w:w="0" w:type="dxa"/>
            <w:left w:w="0" w:type="dxa"/>
            <w:bottom w:w="0" w:type="dxa"/>
            <w:right w:w="0" w:type="dxa"/>
          </w:tblCellMar>
        </w:tblPrEx>
        <w:trPr>
          <w:trHeight w:val="285" w:hRule="atLeast"/>
        </w:trPr>
        <w:tc>
          <w:tcPr>
            <w:tcW w:w="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自然恢复期</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景观绿化区</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bidi="ar"/>
              </w:rPr>
            </w:pPr>
            <w:r>
              <w:rPr>
                <w:rFonts w:hint="eastAsia" w:ascii="仿宋_GB2312" w:hAnsi="宋体" w:cs="仿宋_GB2312"/>
                <w:kern w:val="0"/>
                <w:sz w:val="18"/>
                <w:szCs w:val="18"/>
                <w:lang w:val="en-US" w:eastAsia="zh-CN" w:bidi="ar"/>
              </w:rPr>
              <w:t>557</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eastAsia" w:ascii="仿宋_GB2312" w:hAnsi="宋体" w:cs="仿宋_GB2312"/>
                <w:kern w:val="0"/>
                <w:sz w:val="18"/>
                <w:szCs w:val="18"/>
                <w:lang w:val="en-US" w:eastAsia="zh-CN" w:bidi="ar"/>
              </w:rPr>
              <w:t>300</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cs="仿宋_GB2312"/>
                <w:kern w:val="0"/>
                <w:sz w:val="18"/>
                <w:szCs w:val="18"/>
                <w:lang w:val="en-US" w:eastAsia="zh-CN" w:bidi="ar"/>
              </w:rPr>
            </w:pPr>
            <w:r>
              <w:rPr>
                <w:rFonts w:hint="default" w:ascii="仿宋_GB2312" w:hAnsi="宋体" w:cs="仿宋_GB2312"/>
                <w:kern w:val="0"/>
                <w:sz w:val="18"/>
                <w:szCs w:val="18"/>
                <w:lang w:val="en-US" w:eastAsia="zh-CN" w:bidi="ar"/>
              </w:rPr>
              <w:t>0.</w:t>
            </w:r>
            <w:r>
              <w:rPr>
                <w:rFonts w:hint="eastAsia" w:ascii="仿宋_GB2312" w:hAnsi="宋体" w:cs="仿宋_GB2312"/>
                <w:kern w:val="0"/>
                <w:sz w:val="18"/>
                <w:szCs w:val="18"/>
                <w:lang w:val="en-US" w:eastAsia="zh-CN" w:bidi="ar"/>
              </w:rPr>
              <w:t>28</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eastAsia="仿宋" w:cs="仿宋_GB2312"/>
                <w:kern w:val="0"/>
                <w:sz w:val="18"/>
                <w:szCs w:val="18"/>
                <w:lang w:val="en-US" w:eastAsia="zh-CN" w:bidi="ar"/>
              </w:rPr>
            </w:pPr>
            <w:r>
              <w:rPr>
                <w:rFonts w:hint="eastAsia" w:ascii="仿宋_GB2312" w:hAnsi="宋体" w:cs="仿宋_GB2312"/>
                <w:kern w:val="0"/>
                <w:sz w:val="18"/>
                <w:szCs w:val="18"/>
                <w:lang w:val="en-US" w:eastAsia="zh-CN" w:bidi="ar"/>
              </w:rPr>
              <w:t>4.45</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eastAsia="仿宋" w:cs="仿宋_GB2312"/>
                <w:kern w:val="0"/>
                <w:sz w:val="18"/>
                <w:szCs w:val="18"/>
                <w:lang w:val="en-US" w:eastAsia="zh-CN" w:bidi="ar"/>
              </w:rPr>
            </w:pPr>
            <w:r>
              <w:rPr>
                <w:rFonts w:hint="eastAsia" w:ascii="仿宋_GB2312" w:hAnsi="宋体" w:cs="仿宋_GB2312"/>
                <w:kern w:val="0"/>
                <w:sz w:val="18"/>
                <w:szCs w:val="18"/>
                <w:lang w:val="en-US" w:eastAsia="zh-CN" w:bidi="ar"/>
              </w:rPr>
              <w:t>1.68</w:t>
            </w:r>
            <w:r>
              <w:rPr>
                <w:rFonts w:hint="eastAsia" w:ascii="仿宋_GB2312" w:hAnsi="宋体" w:eastAsia="仿宋" w:cs="仿宋_GB2312"/>
                <w:kern w:val="0"/>
                <w:sz w:val="18"/>
                <w:szCs w:val="18"/>
                <w:lang w:val="en-US" w:eastAsia="zh-CN" w:bidi="ar"/>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eastAsia="仿宋" w:cs="仿宋_GB2312"/>
                <w:kern w:val="0"/>
                <w:sz w:val="18"/>
                <w:szCs w:val="18"/>
                <w:lang w:val="en-US" w:eastAsia="zh-CN" w:bidi="ar"/>
              </w:rPr>
            </w:pPr>
            <w:r>
              <w:rPr>
                <w:rFonts w:hint="eastAsia" w:ascii="仿宋_GB2312" w:hAnsi="宋体" w:cs="仿宋_GB2312"/>
                <w:kern w:val="0"/>
                <w:sz w:val="18"/>
                <w:szCs w:val="18"/>
                <w:lang w:val="en-US" w:eastAsia="zh-CN" w:bidi="ar"/>
              </w:rPr>
              <w:t>-2.77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 xml:space="preserve">0.00 </w:t>
            </w:r>
          </w:p>
        </w:tc>
      </w:tr>
      <w:tr>
        <w:tblPrEx>
          <w:tblCellMar>
            <w:top w:w="0" w:type="dxa"/>
            <w:left w:w="0" w:type="dxa"/>
            <w:bottom w:w="0" w:type="dxa"/>
            <w:right w:w="0" w:type="dxa"/>
          </w:tblCellMar>
        </w:tblPrEx>
        <w:trPr>
          <w:trHeight w:val="285" w:hRule="atLeast"/>
        </w:trPr>
        <w:tc>
          <w:tcPr>
            <w:tcW w:w="110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cs="仿宋_GB2312"/>
                <w:sz w:val="18"/>
                <w:szCs w:val="18"/>
              </w:rPr>
            </w:pPr>
            <w:r>
              <w:rPr>
                <w:rFonts w:hint="eastAsia" w:ascii="仿宋_GB2312" w:hAnsi="宋体" w:cs="仿宋_GB2312"/>
                <w:kern w:val="0"/>
                <w:sz w:val="18"/>
                <w:szCs w:val="18"/>
                <w:lang w:bidi="ar"/>
              </w:rPr>
              <w:t>总计</w:t>
            </w:r>
          </w:p>
        </w:tc>
        <w:tc>
          <w:tcPr>
            <w:tcW w:w="5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eastAsia="宋体"/>
                <w:sz w:val="20"/>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eastAsia="宋体"/>
                <w:sz w:val="20"/>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eastAsia="宋体"/>
                <w:sz w:val="20"/>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 w:cs="仿宋_GB2312"/>
                <w:kern w:val="0"/>
                <w:sz w:val="18"/>
                <w:szCs w:val="18"/>
                <w:lang w:val="en-US" w:eastAsia="zh-CN" w:bidi="ar"/>
              </w:rPr>
            </w:pPr>
            <w:r>
              <w:rPr>
                <w:rFonts w:hint="eastAsia" w:ascii="仿宋_GB2312" w:hAnsi="宋体" w:eastAsia="仿宋" w:cs="仿宋_GB2312"/>
                <w:kern w:val="0"/>
                <w:sz w:val="18"/>
                <w:szCs w:val="18"/>
                <w:lang w:val="en-US" w:eastAsia="zh-CN" w:bidi="ar"/>
              </w:rPr>
              <w:t>100</w:t>
            </w:r>
          </w:p>
        </w:tc>
      </w:tr>
    </w:tbl>
    <w:p>
      <w:pPr>
        <w:ind w:firstLine="480" w:firstLineChars="200"/>
        <w:rPr>
          <w:rFonts w:hint="eastAsia"/>
          <w:lang w:val="en-US" w:eastAsia="zh-CN"/>
        </w:rPr>
      </w:pPr>
      <w:r>
        <w:t>据各工程单元的预测时段、水土流失面积及土壤侵蚀模数，预测由于本项目的建设扰</w:t>
      </w:r>
      <w:r>
        <w:rPr>
          <w:highlight w:val="none"/>
        </w:rPr>
        <w:t xml:space="preserve">动，在不采取水土保持措施的情况下，将产生水土流失总量 </w:t>
      </w:r>
      <w:r>
        <w:rPr>
          <w:rFonts w:hint="eastAsia"/>
          <w:highlight w:val="none"/>
          <w:lang w:val="en-US" w:eastAsia="zh-CN"/>
        </w:rPr>
        <w:t>22.30</w:t>
      </w:r>
      <w:r>
        <w:rPr>
          <w:highlight w:val="none"/>
        </w:rPr>
        <w:t>t，其中背景流失量</w:t>
      </w:r>
      <w:r>
        <w:rPr>
          <w:rFonts w:hint="eastAsia"/>
          <w:highlight w:val="none"/>
          <w:lang w:val="en-US" w:eastAsia="zh-CN"/>
        </w:rPr>
        <w:t>5.70</w:t>
      </w:r>
      <w:r>
        <w:rPr>
          <w:highlight w:val="none"/>
        </w:rPr>
        <w:t xml:space="preserve"> t，工程建设新增流失量</w:t>
      </w:r>
      <w:r>
        <w:rPr>
          <w:rFonts w:hint="eastAsia"/>
          <w:highlight w:val="none"/>
          <w:lang w:val="en-US" w:eastAsia="zh-CN"/>
        </w:rPr>
        <w:t>16.59</w:t>
      </w:r>
      <w:r>
        <w:rPr>
          <w:highlight w:val="none"/>
        </w:rPr>
        <w:t>t。</w:t>
      </w:r>
      <w:r>
        <w:rPr>
          <w:rFonts w:hint="eastAsia"/>
          <w:color w:val="auto"/>
          <w:highlight w:val="none"/>
        </w:rPr>
        <w:t>因此，</w:t>
      </w:r>
      <w:r>
        <w:rPr>
          <w:rFonts w:hint="eastAsia"/>
          <w:color w:val="auto"/>
          <w:highlight w:val="none"/>
          <w:lang w:val="en-US" w:eastAsia="zh-CN"/>
        </w:rPr>
        <w:t>施工期</w:t>
      </w:r>
      <w:r>
        <w:rPr>
          <w:rFonts w:hint="eastAsia"/>
          <w:color w:val="auto"/>
          <w:highlight w:val="none"/>
        </w:rPr>
        <w:t>应作为工程区水土流失防治和水土保持监测的重点时段，</w:t>
      </w:r>
      <w:r>
        <w:rPr>
          <w:rFonts w:hint="eastAsia"/>
          <w:color w:val="auto"/>
          <w:highlight w:val="none"/>
          <w:lang w:eastAsia="zh-CN"/>
        </w:rPr>
        <w:t>建筑构物区</w:t>
      </w:r>
      <w:r>
        <w:rPr>
          <w:rFonts w:hint="eastAsia"/>
          <w:color w:val="auto"/>
          <w:highlight w:val="none"/>
        </w:rPr>
        <w:t>应作为水土保持监测的重点区域。</w:t>
      </w:r>
    </w:p>
    <w:p>
      <w:pPr>
        <w:pStyle w:val="4"/>
        <w:bidi w:val="0"/>
        <w:rPr>
          <w:rFonts w:hint="eastAsia"/>
          <w:lang w:val="en-US" w:eastAsia="zh-CN"/>
        </w:rPr>
      </w:pPr>
      <w:bookmarkStart w:id="276" w:name="_Toc21852"/>
      <w:bookmarkStart w:id="277" w:name="_Toc14848"/>
      <w:bookmarkStart w:id="278" w:name="_Toc12287"/>
      <w:bookmarkStart w:id="279" w:name="_Toc14957"/>
      <w:bookmarkStart w:id="280" w:name="_Toc11817"/>
      <w:r>
        <w:rPr>
          <w:rFonts w:hint="eastAsia"/>
          <w:lang w:val="en-US" w:eastAsia="zh-CN"/>
        </w:rPr>
        <w:t>4.4水土流失危害分析</w:t>
      </w:r>
      <w:bookmarkEnd w:id="276"/>
      <w:bookmarkEnd w:id="277"/>
      <w:bookmarkEnd w:id="278"/>
      <w:bookmarkEnd w:id="279"/>
      <w:bookmarkEnd w:id="280"/>
    </w:p>
    <w:p>
      <w:pPr>
        <w:ind w:firstLine="480"/>
        <w:rPr>
          <w:rFonts w:hint="eastAsia"/>
          <w:color w:val="000000"/>
          <w:highlight w:val="none"/>
        </w:rPr>
      </w:pPr>
      <w:r>
        <w:rPr>
          <w:rFonts w:hint="eastAsia"/>
          <w:color w:val="000000"/>
          <w:highlight w:val="none"/>
        </w:rPr>
        <w:t>根据以上对项目建设期水土流失的</w:t>
      </w:r>
      <w:r>
        <w:rPr>
          <w:rFonts w:hint="eastAsia"/>
          <w:color w:val="000000"/>
          <w:highlight w:val="none"/>
          <w:lang w:val="en-US" w:eastAsia="zh-CN"/>
        </w:rPr>
        <w:t>预测</w:t>
      </w:r>
      <w:r>
        <w:rPr>
          <w:rFonts w:hint="eastAsia"/>
          <w:color w:val="000000"/>
          <w:highlight w:val="none"/>
        </w:rPr>
        <w:t>分析，本工程</w:t>
      </w:r>
      <w:r>
        <w:rPr>
          <w:rFonts w:hint="eastAsia"/>
          <w:color w:val="000000"/>
          <w:highlight w:val="none"/>
          <w:lang w:val="en-US" w:eastAsia="zh-CN"/>
        </w:rPr>
        <w:t>将在</w:t>
      </w:r>
      <w:r>
        <w:rPr>
          <w:rFonts w:hint="eastAsia"/>
          <w:color w:val="000000"/>
          <w:highlight w:val="none"/>
        </w:rPr>
        <w:t>建设过程中，一方面扰动项目区地形地貌，损坏原有地表植被，使其原有的蓄水保土功能降低或丧失；另一方面施工过程中</w:t>
      </w:r>
      <w:r>
        <w:rPr>
          <w:rFonts w:hint="eastAsia"/>
          <w:color w:val="000000"/>
          <w:highlight w:val="none"/>
          <w:lang w:val="en-US" w:eastAsia="zh-CN"/>
        </w:rPr>
        <w:t>的</w:t>
      </w:r>
      <w:r>
        <w:rPr>
          <w:rFonts w:hint="eastAsia"/>
          <w:color w:val="000000"/>
          <w:highlight w:val="none"/>
        </w:rPr>
        <w:t>基础开挖等易造成水土流失。</w:t>
      </w:r>
    </w:p>
    <w:p>
      <w:pPr>
        <w:ind w:firstLine="480"/>
        <w:rPr>
          <w:rFonts w:hint="default" w:eastAsia="仿宋_GB2312"/>
          <w:color w:val="auto"/>
          <w:highlight w:val="none"/>
          <w:lang w:val="en-US" w:eastAsia="zh-CN"/>
        </w:rPr>
      </w:pPr>
      <w:r>
        <w:rPr>
          <w:rFonts w:hint="eastAsia"/>
          <w:color w:val="auto"/>
          <w:highlight w:val="none"/>
        </w:rPr>
        <w:t>本工程</w:t>
      </w:r>
      <w:r>
        <w:rPr>
          <w:rFonts w:hint="eastAsia"/>
          <w:color w:val="auto"/>
          <w:highlight w:val="none"/>
          <w:lang w:eastAsia="zh-CN"/>
        </w:rPr>
        <w:t>即将完工</w:t>
      </w:r>
      <w:r>
        <w:rPr>
          <w:rFonts w:hint="eastAsia"/>
          <w:color w:val="auto"/>
          <w:highlight w:val="none"/>
        </w:rPr>
        <w:t>，</w:t>
      </w:r>
      <w:r>
        <w:rPr>
          <w:rFonts w:hint="eastAsia"/>
          <w:color w:val="auto"/>
          <w:highlight w:val="none"/>
          <w:lang w:val="en-US" w:eastAsia="zh-CN"/>
        </w:rPr>
        <w:t>如果在施工</w:t>
      </w:r>
      <w:r>
        <w:rPr>
          <w:rFonts w:hint="eastAsia"/>
          <w:color w:val="auto"/>
          <w:highlight w:val="none"/>
        </w:rPr>
        <w:t>期间没有</w:t>
      </w:r>
      <w:r>
        <w:rPr>
          <w:rFonts w:hint="eastAsia"/>
          <w:color w:val="auto"/>
          <w:highlight w:val="none"/>
          <w:lang w:val="en-US" w:eastAsia="zh-CN"/>
        </w:rPr>
        <w:t>采取</w:t>
      </w:r>
      <w:r>
        <w:rPr>
          <w:rFonts w:hint="eastAsia"/>
          <w:color w:val="auto"/>
          <w:highlight w:val="none"/>
        </w:rPr>
        <w:t>各项</w:t>
      </w:r>
      <w:r>
        <w:rPr>
          <w:rFonts w:hint="eastAsia"/>
          <w:color w:val="auto"/>
          <w:highlight w:val="none"/>
          <w:lang w:val="en-US" w:eastAsia="zh-CN"/>
        </w:rPr>
        <w:t>措施，将一定程度上加剧项目区的水土流失，</w:t>
      </w:r>
      <w:r>
        <w:rPr>
          <w:rFonts w:hint="eastAsia"/>
          <w:color w:val="auto"/>
          <w:highlight w:val="none"/>
        </w:rPr>
        <w:t>对项目所在区域生态环境产生一定的危害</w:t>
      </w:r>
      <w:r>
        <w:rPr>
          <w:rFonts w:hint="eastAsia"/>
          <w:color w:val="auto"/>
          <w:highlight w:val="none"/>
          <w:lang w:eastAsia="zh-CN"/>
        </w:rPr>
        <w:t>，</w:t>
      </w:r>
      <w:r>
        <w:rPr>
          <w:rFonts w:hint="eastAsia"/>
          <w:color w:val="auto"/>
          <w:highlight w:val="none"/>
          <w:lang w:val="en-US" w:eastAsia="zh-CN"/>
        </w:rPr>
        <w:t>影响项目正常施工，具体表现在：</w:t>
      </w:r>
    </w:p>
    <w:p>
      <w:pPr>
        <w:ind w:firstLine="480"/>
        <w:rPr>
          <w:rFonts w:hint="default" w:eastAsia="仿宋_GB2312"/>
          <w:color w:val="auto"/>
          <w:highlight w:val="none"/>
          <w:lang w:val="en-US" w:eastAsia="zh-CN"/>
        </w:rPr>
      </w:pPr>
      <w:r>
        <w:rPr>
          <w:color w:val="auto"/>
          <w:highlight w:val="none"/>
        </w:rPr>
        <w:t>1</w:t>
      </w:r>
      <w:r>
        <w:rPr>
          <w:rFonts w:hint="eastAsia"/>
          <w:color w:val="auto"/>
          <w:highlight w:val="none"/>
        </w:rPr>
        <w:t>、场地排水沟（管）在运行期间</w:t>
      </w:r>
      <w:r>
        <w:rPr>
          <w:rFonts w:hint="eastAsia"/>
          <w:color w:val="auto"/>
          <w:highlight w:val="none"/>
          <w:lang w:val="en-US" w:eastAsia="zh-CN"/>
        </w:rPr>
        <w:t>将</w:t>
      </w:r>
      <w:r>
        <w:rPr>
          <w:rFonts w:hint="eastAsia"/>
          <w:color w:val="auto"/>
          <w:highlight w:val="none"/>
        </w:rPr>
        <w:t>有少量泥沙和地表杂物汇入，若不定期清理，将会在排水沟（管）中淤积，导致排水不畅，增加水土流失量</w:t>
      </w:r>
      <w:r>
        <w:rPr>
          <w:rFonts w:hint="eastAsia"/>
          <w:color w:val="auto"/>
          <w:highlight w:val="none"/>
          <w:lang w:eastAsia="zh-CN"/>
        </w:rPr>
        <w:t>，</w:t>
      </w:r>
      <w:r>
        <w:rPr>
          <w:rFonts w:hint="eastAsia"/>
          <w:color w:val="auto"/>
          <w:highlight w:val="none"/>
          <w:lang w:val="en-US" w:eastAsia="zh-CN"/>
        </w:rPr>
        <w:t>堵塞市政排水系统。</w:t>
      </w:r>
    </w:p>
    <w:p>
      <w:pPr>
        <w:ind w:firstLine="480"/>
        <w:rPr>
          <w:rFonts w:hint="eastAsia"/>
          <w:color w:val="auto"/>
          <w:highlight w:val="none"/>
        </w:rPr>
      </w:pPr>
      <w:r>
        <w:rPr>
          <w:color w:val="auto"/>
          <w:highlight w:val="none"/>
        </w:rPr>
        <w:t>2</w:t>
      </w:r>
      <w:r>
        <w:rPr>
          <w:rFonts w:hint="eastAsia"/>
          <w:color w:val="auto"/>
          <w:highlight w:val="none"/>
        </w:rPr>
        <w:t>、绿化区域内应对土壤进行定期翻松，确保植物生长良好，充分发挥其水土保持效益，避免雨水冲刷，增加水土流失。</w:t>
      </w:r>
    </w:p>
    <w:p>
      <w:pPr>
        <w:ind w:firstLine="480"/>
        <w:rPr>
          <w:color w:val="auto"/>
          <w:szCs w:val="32"/>
          <w:highlight w:val="none"/>
        </w:rPr>
      </w:pPr>
      <w:r>
        <w:rPr>
          <w:rFonts w:hint="eastAsia"/>
          <w:color w:val="auto"/>
          <w:highlight w:val="none"/>
          <w:lang w:val="en-US" w:eastAsia="zh-CN"/>
        </w:rPr>
        <w:t>3、工程占地和材料的运输、堆放都将对占地范围内的地表造成一定程度的破坏，改变原地貌，</w:t>
      </w:r>
      <w:r>
        <w:rPr>
          <w:color w:val="auto"/>
          <w:szCs w:val="32"/>
          <w:highlight w:val="none"/>
        </w:rPr>
        <w:t>对原有的水土保持设施造成破坏，减弱土壤的抗冲蚀性，造成新的人为水土流失。</w:t>
      </w:r>
    </w:p>
    <w:p>
      <w:pPr>
        <w:ind w:firstLine="480"/>
        <w:rPr>
          <w:color w:val="auto"/>
          <w:szCs w:val="32"/>
          <w:highlight w:val="none"/>
        </w:rPr>
      </w:pPr>
      <w:r>
        <w:rPr>
          <w:rFonts w:hint="eastAsia"/>
          <w:color w:val="auto"/>
          <w:highlight w:val="none"/>
          <w:lang w:val="en-US" w:eastAsia="zh-CN"/>
        </w:rPr>
        <w:t>4、</w:t>
      </w:r>
      <w:r>
        <w:rPr>
          <w:rFonts w:hint="eastAsia"/>
          <w:color w:val="auto"/>
          <w:highlight w:val="none"/>
        </w:rPr>
        <w:t>项目区土壤侵蚀主要为水力侵蚀和重力侵蚀，以水力侵蚀为主，且施工期经历雨季，</w:t>
      </w:r>
      <w:r>
        <w:rPr>
          <w:rFonts w:hint="eastAsia"/>
          <w:color w:val="auto"/>
          <w:highlight w:val="none"/>
          <w:lang w:val="en-US" w:eastAsia="zh-CN"/>
        </w:rPr>
        <w:t>基础</w:t>
      </w:r>
      <w:r>
        <w:rPr>
          <w:color w:val="auto"/>
          <w:szCs w:val="32"/>
          <w:highlight w:val="none"/>
        </w:rPr>
        <w:t>、沟槽</w:t>
      </w:r>
      <w:r>
        <w:rPr>
          <w:rFonts w:hint="eastAsia"/>
          <w:color w:val="auto"/>
          <w:szCs w:val="32"/>
          <w:highlight w:val="none"/>
          <w:lang w:val="en-US" w:eastAsia="zh-CN"/>
        </w:rPr>
        <w:t>等</w:t>
      </w:r>
      <w:r>
        <w:rPr>
          <w:color w:val="auto"/>
          <w:szCs w:val="32"/>
          <w:highlight w:val="none"/>
        </w:rPr>
        <w:t>的开挖将破坏原地表，使土壤裸露，土体松散，同时工程建设中产生的临时堆积的松散的</w:t>
      </w:r>
      <w:r>
        <w:rPr>
          <w:rFonts w:hint="eastAsia"/>
          <w:color w:val="auto"/>
          <w:szCs w:val="32"/>
          <w:highlight w:val="none"/>
        </w:rPr>
        <w:t>土石方</w:t>
      </w:r>
      <w:r>
        <w:rPr>
          <w:color w:val="auto"/>
          <w:szCs w:val="32"/>
          <w:highlight w:val="none"/>
        </w:rPr>
        <w:t>，如不及时采取防护措施，这些不稳定的裸露土受雨水特别是暴雨的冲刷，极易产生水土流失。</w:t>
      </w:r>
    </w:p>
    <w:p>
      <w:pPr>
        <w:bidi w:val="0"/>
        <w:ind w:firstLine="480" w:firstLineChars="200"/>
        <w:rPr>
          <w:rFonts w:hint="default" w:eastAsia="仿宋_GB2312"/>
          <w:color w:val="auto"/>
          <w:szCs w:val="32"/>
          <w:highlight w:val="none"/>
          <w:lang w:val="en-US" w:eastAsia="zh-CN"/>
        </w:rPr>
      </w:pPr>
      <w:r>
        <w:rPr>
          <w:rFonts w:hint="eastAsia"/>
          <w:color w:val="auto"/>
          <w:highlight w:val="none"/>
          <w:lang w:val="en-US" w:eastAsia="zh-CN"/>
        </w:rPr>
        <w:t>5、</w:t>
      </w:r>
      <w:r>
        <w:rPr>
          <w:color w:val="auto"/>
          <w:szCs w:val="32"/>
          <w:highlight w:val="none"/>
        </w:rPr>
        <w:t>工程施工过程中如不采取预防保护和临时措施，易产生扬尘，影响场地内和周边环境</w:t>
      </w:r>
      <w:r>
        <w:rPr>
          <w:rFonts w:hint="eastAsia"/>
          <w:color w:val="auto"/>
          <w:szCs w:val="32"/>
          <w:highlight w:val="none"/>
          <w:lang w:eastAsia="zh-CN"/>
        </w:rPr>
        <w:t>，</w:t>
      </w:r>
      <w:r>
        <w:rPr>
          <w:rFonts w:hint="eastAsia"/>
          <w:color w:val="auto"/>
          <w:szCs w:val="32"/>
          <w:highlight w:val="none"/>
          <w:lang w:val="en-US" w:eastAsia="zh-CN"/>
        </w:rPr>
        <w:t>且项目区距离大渡河直线距离仅几百米，严重的水土流失将对河道环境、行洪安全等产生不良影响。</w:t>
      </w:r>
    </w:p>
    <w:p>
      <w:pPr>
        <w:ind w:firstLine="480"/>
        <w:rPr>
          <w:rFonts w:ascii="Times New Roman" w:hAnsi="Times New Roman"/>
          <w:color w:val="auto"/>
          <w:highlight w:val="none"/>
        </w:rPr>
      </w:pPr>
      <w:r>
        <w:rPr>
          <w:rFonts w:hint="eastAsia"/>
          <w:highlight w:val="none"/>
          <w:lang w:val="en-US" w:eastAsia="zh-CN"/>
        </w:rPr>
        <w:t>6、</w:t>
      </w:r>
      <w:r>
        <w:rPr>
          <w:rFonts w:ascii="Times New Roman" w:hAnsi="Times New Roman"/>
          <w:color w:val="auto"/>
          <w:highlight w:val="none"/>
        </w:rPr>
        <w:t>项目</w:t>
      </w:r>
      <w:r>
        <w:rPr>
          <w:rFonts w:hint="eastAsia" w:ascii="Times New Roman" w:hAnsi="Times New Roman"/>
          <w:color w:val="auto"/>
          <w:highlight w:val="none"/>
          <w:lang w:val="en-US" w:eastAsia="zh-CN"/>
        </w:rPr>
        <w:t>施工期间</w:t>
      </w:r>
      <w:r>
        <w:rPr>
          <w:rFonts w:ascii="Times New Roman" w:hAnsi="Times New Roman"/>
          <w:color w:val="auto"/>
          <w:highlight w:val="none"/>
        </w:rPr>
        <w:t>如不采取有效防护措施，极易产生严重水土流失，影响工程施工，严重时可能诱发施工安全事故，所以建设单位及施工单位要高度重视水土流失防治工作，在施工过程中及时采取相应的临时防护措施加以防护。</w:t>
      </w:r>
    </w:p>
    <w:p>
      <w:pPr>
        <w:pStyle w:val="4"/>
        <w:rPr>
          <w:rFonts w:hint="default" w:eastAsia="仿宋_GB2312"/>
          <w:color w:val="000000"/>
          <w:highlight w:val="none"/>
          <w:lang w:val="en-US" w:eastAsia="zh-CN"/>
        </w:rPr>
      </w:pPr>
      <w:bookmarkStart w:id="281" w:name="_Toc48656937"/>
      <w:bookmarkStart w:id="282" w:name="_Toc19623"/>
      <w:bookmarkStart w:id="283" w:name="_Toc4351"/>
      <w:bookmarkStart w:id="284" w:name="_Toc24243"/>
      <w:bookmarkStart w:id="285" w:name="_Toc25097"/>
      <w:bookmarkStart w:id="286" w:name="_Toc5106"/>
      <w:r>
        <w:rPr>
          <w:rFonts w:hint="eastAsia"/>
          <w:color w:val="000000"/>
          <w:highlight w:val="none"/>
        </w:rPr>
        <w:t>4</w:t>
      </w:r>
      <w:r>
        <w:rPr>
          <w:color w:val="000000"/>
          <w:highlight w:val="none"/>
        </w:rPr>
        <w:t>.</w:t>
      </w:r>
      <w:bookmarkEnd w:id="281"/>
      <w:r>
        <w:rPr>
          <w:rFonts w:hint="eastAsia"/>
          <w:color w:val="000000"/>
          <w:highlight w:val="none"/>
          <w:lang w:val="en-US" w:eastAsia="zh-CN"/>
        </w:rPr>
        <w:t>5指导性意见</w:t>
      </w:r>
      <w:bookmarkEnd w:id="282"/>
      <w:bookmarkEnd w:id="283"/>
      <w:bookmarkEnd w:id="284"/>
      <w:bookmarkEnd w:id="285"/>
      <w:bookmarkEnd w:id="286"/>
    </w:p>
    <w:p>
      <w:pPr>
        <w:pStyle w:val="6"/>
        <w:rPr>
          <w:color w:val="auto"/>
          <w:highlight w:val="none"/>
        </w:rPr>
      </w:pPr>
      <w:bookmarkStart w:id="287" w:name="_Toc31832"/>
      <w:bookmarkStart w:id="288" w:name="_Toc17464894"/>
      <w:r>
        <w:rPr>
          <w:rFonts w:hint="eastAsia"/>
          <w:color w:val="auto"/>
          <w:highlight w:val="none"/>
        </w:rPr>
        <w:t>4</w:t>
      </w:r>
      <w:r>
        <w:rPr>
          <w:color w:val="auto"/>
          <w:highlight w:val="none"/>
        </w:rPr>
        <w:t>.</w:t>
      </w:r>
      <w:r>
        <w:rPr>
          <w:rFonts w:hint="eastAsia"/>
          <w:color w:val="auto"/>
          <w:highlight w:val="none"/>
          <w:lang w:val="en-US" w:eastAsia="zh-CN"/>
        </w:rPr>
        <w:t>5</w:t>
      </w:r>
      <w:r>
        <w:rPr>
          <w:color w:val="auto"/>
          <w:highlight w:val="none"/>
        </w:rPr>
        <w:t xml:space="preserve">.1 </w:t>
      </w:r>
      <w:r>
        <w:rPr>
          <w:rFonts w:hint="eastAsia"/>
          <w:color w:val="auto"/>
          <w:highlight w:val="none"/>
        </w:rPr>
        <w:t>综合分析</w:t>
      </w:r>
      <w:bookmarkEnd w:id="287"/>
      <w:bookmarkEnd w:id="288"/>
    </w:p>
    <w:p>
      <w:pPr>
        <w:ind w:firstLine="480"/>
        <w:rPr>
          <w:color w:val="auto"/>
          <w:highlight w:val="none"/>
        </w:rPr>
      </w:pPr>
      <w:r>
        <w:rPr>
          <w:color w:val="auto"/>
          <w:highlight w:val="none"/>
          <w:lang w:bidi="ar"/>
        </w:rPr>
        <w:t>通过对工程建设过程中水土流失类型、分布及水土流失量进行综合分析和预测，可知工程建设过程中，由于建设项目</w:t>
      </w:r>
      <w:r>
        <w:rPr>
          <w:rFonts w:hint="eastAsia"/>
          <w:color w:val="auto"/>
          <w:highlight w:val="none"/>
          <w:lang w:val="en-US" w:eastAsia="zh-CN" w:bidi="ar"/>
        </w:rPr>
        <w:t>部分</w:t>
      </w:r>
      <w:r>
        <w:rPr>
          <w:color w:val="auto"/>
          <w:highlight w:val="none"/>
          <w:lang w:bidi="ar"/>
        </w:rPr>
        <w:t>基础开挖和回填等单元的人为施工活动，在未防护的情况下，会造成严重的水土流失。主要预测结论如下：</w:t>
      </w:r>
    </w:p>
    <w:p>
      <w:pPr>
        <w:ind w:firstLine="480"/>
        <w:rPr>
          <w:color w:val="auto"/>
          <w:highlight w:val="none"/>
        </w:rPr>
      </w:pPr>
      <w:r>
        <w:rPr>
          <w:rFonts w:hint="eastAsia"/>
          <w:color w:val="auto"/>
          <w:highlight w:val="none"/>
        </w:rPr>
        <w:t>（1）</w:t>
      </w:r>
      <w:r>
        <w:rPr>
          <w:color w:val="auto"/>
          <w:highlight w:val="none"/>
        </w:rPr>
        <w:t>工程建设共扰动地表面积为</w:t>
      </w:r>
      <w:r>
        <w:rPr>
          <w:rFonts w:hint="eastAsia"/>
          <w:color w:val="auto"/>
          <w:highlight w:val="none"/>
          <w:lang w:val="en-US" w:eastAsia="zh-CN"/>
        </w:rPr>
        <w:t>1.02</w:t>
      </w:r>
      <w:r>
        <w:rPr>
          <w:color w:val="auto"/>
          <w:highlight w:val="none"/>
        </w:rPr>
        <w:t>h</w:t>
      </w:r>
      <w:r>
        <w:rPr>
          <w:rFonts w:hint="eastAsia"/>
          <w:color w:val="auto"/>
          <w:highlight w:val="none"/>
          <w:lang w:eastAsia="zh-CN"/>
        </w:rPr>
        <w:t>m²</w:t>
      </w:r>
      <w:r>
        <w:rPr>
          <w:color w:val="auto"/>
          <w:highlight w:val="none"/>
        </w:rPr>
        <w:t>；</w:t>
      </w:r>
    </w:p>
    <w:p>
      <w:pPr>
        <w:ind w:firstLine="480"/>
        <w:rPr>
          <w:rFonts w:hint="default" w:eastAsia="仿宋_GB2312"/>
          <w:color w:val="auto"/>
          <w:highlight w:val="none"/>
          <w:lang w:val="en-US" w:eastAsia="zh-CN"/>
        </w:rPr>
      </w:pPr>
      <w:r>
        <w:rPr>
          <w:rFonts w:hint="eastAsia"/>
          <w:color w:val="auto"/>
          <w:highlight w:val="none"/>
        </w:rPr>
        <w:t>（2）本项目土石方总开挖量为</w:t>
      </w:r>
      <w:r>
        <w:rPr>
          <w:rFonts w:hint="eastAsia"/>
          <w:color w:val="auto"/>
          <w:highlight w:val="none"/>
          <w:lang w:val="en-US" w:eastAsia="zh-CN"/>
        </w:rPr>
        <w:t>1.1</w:t>
      </w:r>
      <w:r>
        <w:rPr>
          <w:rFonts w:hint="eastAsia"/>
          <w:color w:val="auto"/>
          <w:highlight w:val="none"/>
        </w:rPr>
        <w:t>万</w:t>
      </w:r>
      <w:r>
        <w:rPr>
          <w:rFonts w:hint="eastAsia"/>
          <w:color w:val="auto"/>
          <w:highlight w:val="none"/>
          <w:lang w:eastAsia="zh-CN"/>
        </w:rPr>
        <w:t>m³</w:t>
      </w:r>
      <w:r>
        <w:rPr>
          <w:rFonts w:hint="eastAsia"/>
          <w:color w:val="auto"/>
          <w:highlight w:val="none"/>
        </w:rPr>
        <w:t>，土石方回填量</w:t>
      </w:r>
      <w:r>
        <w:rPr>
          <w:rFonts w:hint="eastAsia"/>
          <w:color w:val="auto"/>
          <w:highlight w:val="none"/>
          <w:lang w:val="en-US" w:eastAsia="zh-CN"/>
        </w:rPr>
        <w:t>0.83</w:t>
      </w:r>
      <w:r>
        <w:rPr>
          <w:rFonts w:hint="eastAsia"/>
          <w:color w:val="auto"/>
          <w:highlight w:val="none"/>
        </w:rPr>
        <w:t>万</w:t>
      </w:r>
      <w:r>
        <w:rPr>
          <w:rFonts w:hint="eastAsia"/>
          <w:color w:val="auto"/>
          <w:highlight w:val="none"/>
          <w:lang w:eastAsia="zh-CN"/>
        </w:rPr>
        <w:t>m³</w:t>
      </w:r>
      <w:r>
        <w:rPr>
          <w:rFonts w:hint="eastAsia"/>
          <w:color w:val="auto"/>
          <w:highlight w:val="none"/>
        </w:rPr>
        <w:t>（含</w:t>
      </w:r>
      <w:r>
        <w:rPr>
          <w:rFonts w:hint="eastAsia"/>
          <w:color w:val="auto"/>
          <w:highlight w:val="none"/>
          <w:lang w:val="en-US" w:eastAsia="zh-CN"/>
        </w:rPr>
        <w:t>外购种植土0.14</w:t>
      </w:r>
      <w:r>
        <w:rPr>
          <w:rFonts w:hint="eastAsia"/>
          <w:color w:val="auto"/>
          <w:highlight w:val="none"/>
        </w:rPr>
        <w:t>万</w:t>
      </w:r>
      <w:r>
        <w:rPr>
          <w:rFonts w:hint="eastAsia"/>
          <w:color w:val="auto"/>
          <w:highlight w:val="none"/>
          <w:lang w:eastAsia="zh-CN"/>
        </w:rPr>
        <w:t>m³</w:t>
      </w:r>
      <w:r>
        <w:rPr>
          <w:rFonts w:hint="eastAsia"/>
          <w:color w:val="auto"/>
          <w:highlight w:val="none"/>
        </w:rPr>
        <w:t>）</w:t>
      </w:r>
      <w:r>
        <w:rPr>
          <w:rFonts w:hint="eastAsia"/>
          <w:color w:val="auto"/>
          <w:highlight w:val="none"/>
          <w:lang w:val="en-US" w:eastAsia="zh-CN"/>
        </w:rPr>
        <w:t>，产生借方0.14万</w:t>
      </w:r>
      <w:r>
        <w:rPr>
          <w:rFonts w:hint="eastAsia"/>
          <w:color w:val="auto"/>
          <w:highlight w:val="none"/>
          <w:lang w:eastAsia="zh-CN"/>
        </w:rPr>
        <w:t>m³（含</w:t>
      </w:r>
      <w:r>
        <w:rPr>
          <w:rFonts w:hint="eastAsia"/>
          <w:color w:val="auto"/>
          <w:highlight w:val="none"/>
          <w:lang w:val="en-US" w:eastAsia="zh-CN"/>
        </w:rPr>
        <w:t>种植土0.14</w:t>
      </w:r>
      <w:r>
        <w:rPr>
          <w:rFonts w:hint="eastAsia"/>
          <w:color w:val="auto"/>
          <w:highlight w:val="none"/>
        </w:rPr>
        <w:t>万</w:t>
      </w:r>
      <w:r>
        <w:rPr>
          <w:rFonts w:hint="eastAsia"/>
          <w:color w:val="auto"/>
          <w:highlight w:val="none"/>
          <w:lang w:eastAsia="zh-CN"/>
        </w:rPr>
        <w:t>m³），</w:t>
      </w:r>
      <w:r>
        <w:rPr>
          <w:rFonts w:hint="eastAsia"/>
          <w:color w:val="auto"/>
          <w:highlight w:val="none"/>
          <w:lang w:val="en-US" w:eastAsia="zh-CN"/>
        </w:rPr>
        <w:t>产生弃方0.41</w:t>
      </w:r>
      <w:r>
        <w:rPr>
          <w:rFonts w:hint="eastAsia"/>
          <w:color w:val="auto"/>
          <w:highlight w:val="none"/>
        </w:rPr>
        <w:t>万</w:t>
      </w:r>
      <w:r>
        <w:rPr>
          <w:rFonts w:hint="eastAsia"/>
          <w:color w:val="auto"/>
          <w:highlight w:val="none"/>
          <w:lang w:eastAsia="zh-CN"/>
        </w:rPr>
        <w:t>m³</w:t>
      </w:r>
      <w:r>
        <w:rPr>
          <w:rFonts w:hint="default" w:ascii="Times New Roman" w:hAnsi="Times New Roman" w:eastAsia="仿宋_GB2312" w:cs="Times New Roman"/>
          <w:color w:val="auto"/>
          <w:kern w:val="1"/>
          <w:sz w:val="24"/>
          <w:szCs w:val="24"/>
          <w:highlight w:val="none"/>
        </w:rPr>
        <w:t>由建</w:t>
      </w:r>
      <w:r>
        <w:rPr>
          <w:rFonts w:hint="default" w:ascii="Times New Roman" w:hAnsi="Times New Roman" w:eastAsia="仿宋_GB2312" w:cs="Times New Roman"/>
          <w:color w:val="auto"/>
          <w:kern w:val="1"/>
          <w:sz w:val="24"/>
          <w:szCs w:val="24"/>
        </w:rPr>
        <w:t>设单</w:t>
      </w:r>
      <w:r>
        <w:rPr>
          <w:rFonts w:hint="default" w:ascii="Times New Roman" w:hAnsi="Times New Roman" w:eastAsia="仿宋_GB2312" w:cs="Times New Roman"/>
          <w:color w:val="auto"/>
          <w:kern w:val="1"/>
          <w:sz w:val="24"/>
          <w:szCs w:val="24"/>
          <w:highlight w:val="none"/>
        </w:rPr>
        <w:t>位统一运至</w:t>
      </w:r>
      <w:r>
        <w:rPr>
          <w:rFonts w:hint="eastAsia" w:eastAsia="仿宋_GB2312" w:cs="Times New Roman"/>
          <w:color w:val="auto"/>
          <w:kern w:val="1"/>
          <w:sz w:val="24"/>
          <w:szCs w:val="24"/>
          <w:highlight w:val="none"/>
          <w:lang w:eastAsia="zh-CN"/>
        </w:rPr>
        <w:t>秦家岸弃土场。</w:t>
      </w:r>
    </w:p>
    <w:p>
      <w:pPr>
        <w:ind w:firstLine="480"/>
        <w:rPr>
          <w:rFonts w:hint="eastAsia"/>
          <w:color w:val="auto"/>
          <w:highlight w:val="none"/>
        </w:rPr>
      </w:pPr>
      <w:r>
        <w:rPr>
          <w:rFonts w:hint="eastAsia"/>
          <w:color w:val="auto"/>
          <w:highlight w:val="none"/>
        </w:rPr>
        <w:t>（3）</w:t>
      </w:r>
      <w:r>
        <w:rPr>
          <w:rFonts w:hint="eastAsia"/>
          <w:color w:val="auto"/>
          <w:highlight w:val="none"/>
          <w:lang w:val="en-US" w:eastAsia="zh-CN"/>
        </w:rPr>
        <w:t>由分析得，</w:t>
      </w:r>
      <w:r>
        <w:rPr>
          <w:rFonts w:hint="eastAsia"/>
          <w:color w:val="auto"/>
          <w:highlight w:val="none"/>
        </w:rPr>
        <w:t>本项目工程建设产生水土流失量为</w:t>
      </w:r>
      <w:r>
        <w:rPr>
          <w:rFonts w:hint="eastAsia"/>
          <w:color w:val="auto"/>
          <w:highlight w:val="none"/>
          <w:lang w:val="en-US" w:eastAsia="zh-CN"/>
        </w:rPr>
        <w:t>22.30t</w:t>
      </w:r>
      <w:r>
        <w:rPr>
          <w:rFonts w:hint="eastAsia"/>
          <w:color w:val="auto"/>
          <w:highlight w:val="none"/>
        </w:rPr>
        <w:t>，新增水土流失总量为</w:t>
      </w:r>
      <w:r>
        <w:rPr>
          <w:rFonts w:hint="eastAsia"/>
          <w:color w:val="auto"/>
          <w:highlight w:val="none"/>
          <w:lang w:val="en-US" w:eastAsia="zh-CN"/>
        </w:rPr>
        <w:t>16.59</w:t>
      </w:r>
      <w:r>
        <w:rPr>
          <w:color w:val="auto"/>
          <w:highlight w:val="none"/>
        </w:rPr>
        <w:t>t</w:t>
      </w:r>
      <w:r>
        <w:rPr>
          <w:rFonts w:hint="eastAsia"/>
          <w:color w:val="auto"/>
          <w:highlight w:val="none"/>
        </w:rPr>
        <w:t>。新增水土流失量中，</w:t>
      </w:r>
      <w:r>
        <w:rPr>
          <w:rFonts w:hint="eastAsia" w:cs="Times New Roman"/>
          <w:color w:val="auto"/>
          <w:highlight w:val="none"/>
          <w:lang w:eastAsia="zh-CN"/>
        </w:rPr>
        <w:t>建筑构物区</w:t>
      </w:r>
      <w:r>
        <w:rPr>
          <w:rFonts w:hint="eastAsia" w:ascii="Times New Roman" w:hAnsi="Times New Roman" w:cs="Times New Roman"/>
          <w:color w:val="auto"/>
          <w:highlight w:val="none"/>
          <w:lang w:eastAsia="zh-CN"/>
        </w:rPr>
        <w:t>新增水土流失量</w:t>
      </w:r>
      <w:r>
        <w:rPr>
          <w:rFonts w:hint="eastAsia" w:cs="Times New Roman"/>
          <w:color w:val="auto"/>
          <w:highlight w:val="none"/>
          <w:lang w:val="en-US" w:eastAsia="zh-CN"/>
        </w:rPr>
        <w:t>7.72t</w:t>
      </w:r>
      <w:r>
        <w:rPr>
          <w:rFonts w:hint="eastAsia" w:ascii="Times New Roman" w:hAnsi="Times New Roman" w:cs="Times New Roman"/>
          <w:color w:val="auto"/>
          <w:highlight w:val="none"/>
          <w:lang w:eastAsia="zh-CN"/>
        </w:rPr>
        <w:t>，占新增水土流失总量的</w:t>
      </w:r>
      <w:r>
        <w:rPr>
          <w:rFonts w:hint="eastAsia" w:cs="Times New Roman"/>
          <w:color w:val="auto"/>
          <w:highlight w:val="none"/>
          <w:lang w:val="en-US" w:eastAsia="zh-CN"/>
        </w:rPr>
        <w:t>47%</w:t>
      </w:r>
      <w:r>
        <w:rPr>
          <w:rFonts w:hint="eastAsia"/>
          <w:color w:val="auto"/>
          <w:highlight w:val="none"/>
        </w:rPr>
        <w:t>；</w:t>
      </w:r>
      <w:r>
        <w:rPr>
          <w:rFonts w:hint="eastAsia"/>
          <w:color w:val="auto"/>
          <w:highlight w:val="none"/>
          <w:lang w:eastAsia="zh-CN"/>
        </w:rPr>
        <w:t>因此</w:t>
      </w:r>
      <w:r>
        <w:rPr>
          <w:rFonts w:hint="eastAsia"/>
          <w:color w:val="auto"/>
          <w:highlight w:val="none"/>
          <w:lang w:val="en-US" w:eastAsia="zh-CN"/>
        </w:rPr>
        <w:t>施工期</w:t>
      </w:r>
      <w:r>
        <w:rPr>
          <w:rFonts w:hint="eastAsia"/>
          <w:color w:val="auto"/>
          <w:highlight w:val="none"/>
        </w:rPr>
        <w:t>是产生水土流失最为严重的时期</w:t>
      </w:r>
      <w:r>
        <w:rPr>
          <w:rFonts w:hint="eastAsia"/>
          <w:color w:val="auto"/>
          <w:highlight w:val="none"/>
          <w:lang w:eastAsia="zh-CN"/>
        </w:rPr>
        <w:t>，建筑构物区</w:t>
      </w:r>
      <w:r>
        <w:rPr>
          <w:rFonts w:hint="eastAsia"/>
          <w:color w:val="auto"/>
          <w:highlight w:val="none"/>
        </w:rPr>
        <w:t>是水土流失的集中区域。因此，</w:t>
      </w:r>
      <w:r>
        <w:rPr>
          <w:rFonts w:hint="eastAsia"/>
          <w:color w:val="auto"/>
          <w:highlight w:val="none"/>
          <w:lang w:val="en-US" w:eastAsia="zh-CN"/>
        </w:rPr>
        <w:t>施工期</w:t>
      </w:r>
      <w:r>
        <w:rPr>
          <w:rFonts w:hint="eastAsia"/>
          <w:color w:val="auto"/>
          <w:highlight w:val="none"/>
        </w:rPr>
        <w:t>应作为工程区水土流失防治和水土保持监测的重点时段，</w:t>
      </w:r>
      <w:r>
        <w:rPr>
          <w:rFonts w:hint="eastAsia"/>
          <w:color w:val="auto"/>
          <w:highlight w:val="none"/>
          <w:lang w:eastAsia="zh-CN"/>
        </w:rPr>
        <w:t>建筑构物区</w:t>
      </w:r>
      <w:r>
        <w:rPr>
          <w:rFonts w:hint="eastAsia"/>
          <w:color w:val="auto"/>
          <w:highlight w:val="none"/>
        </w:rPr>
        <w:t>应作为水土保持监测的重点区域。</w:t>
      </w:r>
    </w:p>
    <w:p>
      <w:pPr>
        <w:ind w:left="0" w:leftChars="0" w:firstLine="480" w:firstLineChars="200"/>
        <w:rPr>
          <w:rFonts w:hint="eastAsia"/>
          <w:color w:val="auto"/>
          <w:highlight w:val="none"/>
        </w:rPr>
      </w:pPr>
      <w:r>
        <w:rPr>
          <w:rFonts w:hint="eastAsia"/>
          <w:color w:val="auto"/>
          <w:highlight w:val="none"/>
        </w:rPr>
        <w:t>（4）</w:t>
      </w:r>
      <w:r>
        <w:rPr>
          <w:color w:val="auto"/>
          <w:highlight w:val="none"/>
          <w:lang w:bidi="ar"/>
        </w:rPr>
        <w:t>工程建设对当地水土流失的影响主要表现为施工过程中</w:t>
      </w:r>
      <w:r>
        <w:rPr>
          <w:rFonts w:hint="eastAsia"/>
          <w:color w:val="auto"/>
          <w:highlight w:val="none"/>
        </w:rPr>
        <w:t>场地平整、</w:t>
      </w:r>
      <w:r>
        <w:rPr>
          <w:rFonts w:hint="eastAsia"/>
          <w:color w:val="auto"/>
          <w:highlight w:val="none"/>
          <w:lang w:val="en-US" w:eastAsia="zh-CN"/>
        </w:rPr>
        <w:t>设施基础</w:t>
      </w:r>
      <w:r>
        <w:rPr>
          <w:color w:val="auto"/>
          <w:highlight w:val="none"/>
        </w:rPr>
        <w:t>开挖、</w:t>
      </w:r>
      <w:r>
        <w:rPr>
          <w:rFonts w:hint="eastAsia"/>
          <w:color w:val="auto"/>
          <w:highlight w:val="none"/>
        </w:rPr>
        <w:t>土方回填</w:t>
      </w:r>
      <w:r>
        <w:rPr>
          <w:color w:val="auto"/>
          <w:highlight w:val="none"/>
        </w:rPr>
        <w:t>都严重影响土壤的稳定性，加剧水土流失的发生，</w:t>
      </w:r>
      <w:r>
        <w:rPr>
          <w:rFonts w:hint="eastAsia"/>
          <w:color w:val="auto"/>
          <w:highlight w:val="none"/>
        </w:rPr>
        <w:t>且项目位于高密度城区，施工区在汛期将发生严重的水土流失，可能对附近城市重要水道的水质造成污染，造成市政雨水管网淤积，影响城市沟道泄洪能力，加重城市排水防洪压力。</w:t>
      </w:r>
    </w:p>
    <w:p>
      <w:pPr>
        <w:pStyle w:val="6"/>
        <w:bidi w:val="0"/>
        <w:rPr>
          <w:rFonts w:hint="eastAsia"/>
          <w:highlight w:val="none"/>
          <w:lang w:val="en-US" w:eastAsia="zh-CN"/>
        </w:rPr>
      </w:pPr>
      <w:bookmarkStart w:id="289" w:name="_Toc27664"/>
      <w:r>
        <w:rPr>
          <w:rFonts w:hint="eastAsia"/>
          <w:highlight w:val="none"/>
          <w:lang w:val="en-US" w:eastAsia="zh-CN"/>
        </w:rPr>
        <w:t>4.5.2 指导意见</w:t>
      </w:r>
      <w:bookmarkEnd w:id="289"/>
    </w:p>
    <w:p>
      <w:pPr>
        <w:ind w:firstLine="480"/>
        <w:rPr>
          <w:color w:val="auto"/>
          <w:highlight w:val="none"/>
        </w:rPr>
      </w:pPr>
      <w:r>
        <w:rPr>
          <w:color w:val="auto"/>
          <w:highlight w:val="none"/>
        </w:rPr>
        <w:t>为确保本工程在施工过程中产生的水土流失在可控及允许范围内，针对上述分析提出如下指导性意见：</w:t>
      </w:r>
    </w:p>
    <w:p>
      <w:pPr>
        <w:ind w:firstLine="480"/>
        <w:rPr>
          <w:color w:val="auto"/>
          <w:highlight w:val="none"/>
        </w:rPr>
      </w:pPr>
      <w:r>
        <w:rPr>
          <w:color w:val="auto"/>
          <w:highlight w:val="none"/>
        </w:rPr>
        <w:t>（1）根据《中华人民共和国水土保持法》规定，为控制项目建设期新增水土流失，保护生态环境，同时保障项目施工、运行安全，对本工程进行水土保持综合治理是必要的。因此，本方案将在明确水土流失防治责任范围的前提下，根据工程不同施工区域特点和水土流失预测结果，</w:t>
      </w:r>
      <w:r>
        <w:rPr>
          <w:rFonts w:hint="eastAsia" w:cs="Times New Roman"/>
          <w:color w:val="auto"/>
          <w:highlight w:val="none"/>
          <w:lang w:eastAsia="zh-CN"/>
        </w:rPr>
        <w:t>建筑构物区</w:t>
      </w:r>
      <w:r>
        <w:rPr>
          <w:rFonts w:hint="eastAsia"/>
          <w:color w:val="auto"/>
          <w:highlight w:val="none"/>
        </w:rPr>
        <w:t>列</w:t>
      </w:r>
      <w:r>
        <w:rPr>
          <w:color w:val="auto"/>
          <w:highlight w:val="none"/>
        </w:rPr>
        <w:t>为水土流失防治的重点。</w:t>
      </w:r>
    </w:p>
    <w:p>
      <w:pPr>
        <w:ind w:firstLine="480"/>
        <w:rPr>
          <w:color w:val="auto"/>
          <w:highlight w:val="none"/>
        </w:rPr>
      </w:pPr>
      <w:r>
        <w:rPr>
          <w:color w:val="auto"/>
          <w:highlight w:val="none"/>
        </w:rPr>
        <w:t>（2）水土保持措施采用植物措施、工程措施和临时措施相结合的方式。永久工程排水措施已由主体工程进行设计。本方案将通过对主体工程设计中具有水土保持功能的措施进行评价，将具有水土保持功能的各项措施纳入水土保持总体布局中，按水土保持要求对主体工程施工提出补充和完善措施，补充</w:t>
      </w:r>
      <w:r>
        <w:rPr>
          <w:rFonts w:hint="eastAsia"/>
          <w:color w:val="auto"/>
          <w:highlight w:val="none"/>
          <w:lang w:val="en-US" w:eastAsia="zh-CN"/>
        </w:rPr>
        <w:t>建筑构物区、</w:t>
      </w:r>
      <w:r>
        <w:rPr>
          <w:rFonts w:hint="eastAsia"/>
          <w:color w:val="auto"/>
          <w:highlight w:val="none"/>
          <w:lang w:eastAsia="zh-CN"/>
        </w:rPr>
        <w:t>附属设施区和景观绿化区的临时遮盖措施，</w:t>
      </w:r>
      <w:r>
        <w:rPr>
          <w:color w:val="auto"/>
          <w:highlight w:val="none"/>
        </w:rPr>
        <w:t>充分发挥保障项目建设安全、减少水土流失的目的。</w:t>
      </w:r>
    </w:p>
    <w:p>
      <w:pPr>
        <w:ind w:firstLine="480"/>
        <w:rPr>
          <w:color w:val="auto"/>
          <w:highlight w:val="none"/>
        </w:rPr>
      </w:pPr>
      <w:r>
        <w:rPr>
          <w:color w:val="auto"/>
          <w:highlight w:val="none"/>
        </w:rPr>
        <w:t>（3）水土保持措施的进度安排应和主体工程进度相配合。本工程的水土流失大部分发生在施工期。因此施工过程中水土保持措施进度安排对于减少水土流失量非常重要，水土保持措施的功能必须在主体工程的施工过程中发挥作用。所以，水土保持工程实施与进度必须与主体工程一致，防止水土流失防治措施与主体工程脱节。</w:t>
      </w:r>
    </w:p>
    <w:p>
      <w:pPr>
        <w:ind w:firstLine="480" w:firstLineChars="200"/>
        <w:rPr>
          <w:rFonts w:hint="eastAsia" w:eastAsia="仿宋_GB2312"/>
          <w:highlight w:val="none"/>
          <w:lang w:val="en-US" w:eastAsia="zh-CN"/>
        </w:rPr>
      </w:pPr>
      <w:r>
        <w:rPr>
          <w:color w:val="auto"/>
          <w:highlight w:val="none"/>
        </w:rPr>
        <w:t>（4）水土保持监测地段和时段的选择要体现本工程建设的水土流失特点。从前面的预测结果可以看出，工程施工扰动，令项目区内水土流失迅速增加，施工结束后，工程防护和植物防护都已完成，水土流失得到有效控制，各项水土保持措施开始发挥功效。到了运行初期，水土保持的工程措施和植物措施都已完备，项目区的水土流失逐渐达到新的平衡状态，周边的生态环境得到改善。因此，水土流失监测的重点时段为施工期（含施工准备期），</w:t>
      </w:r>
      <w:r>
        <w:rPr>
          <w:rFonts w:hint="eastAsia"/>
          <w:color w:val="auto"/>
          <w:highlight w:val="none"/>
          <w:lang w:val="en-US" w:eastAsia="zh-CN"/>
        </w:rPr>
        <w:t>根据</w:t>
      </w:r>
      <w:r>
        <w:rPr>
          <w:rFonts w:hint="eastAsia"/>
          <w:color w:val="auto"/>
          <w:highlight w:val="none"/>
        </w:rPr>
        <w:t>预测</w:t>
      </w:r>
      <w:r>
        <w:rPr>
          <w:color w:val="auto"/>
          <w:highlight w:val="none"/>
        </w:rPr>
        <w:t>结果，将</w:t>
      </w:r>
      <w:r>
        <w:rPr>
          <w:rFonts w:hint="eastAsia"/>
          <w:color w:val="auto"/>
          <w:highlight w:val="none"/>
          <w:lang w:eastAsia="zh-CN"/>
        </w:rPr>
        <w:t>建筑构物区</w:t>
      </w:r>
      <w:r>
        <w:rPr>
          <w:color w:val="auto"/>
          <w:highlight w:val="none"/>
        </w:rPr>
        <w:t>定为水土流失监测的重点单元，施工期是水土保持监测的重点时段</w:t>
      </w:r>
      <w:r>
        <w:rPr>
          <w:rFonts w:hint="eastAsia"/>
          <w:color w:val="auto"/>
          <w:highlight w:val="none"/>
          <w:lang w:eastAsia="zh-CN"/>
        </w:rPr>
        <w:t>。</w:t>
      </w:r>
    </w:p>
    <w:p>
      <w:pPr>
        <w:pStyle w:val="2"/>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
        <w:bidi w:val="0"/>
        <w:jc w:val="center"/>
        <w:rPr>
          <w:rFonts w:hint="eastAsia"/>
        </w:rPr>
      </w:pPr>
      <w:bookmarkStart w:id="290" w:name="_Toc29030"/>
      <w:bookmarkStart w:id="291" w:name="_Toc16997"/>
      <w:bookmarkStart w:id="292" w:name="_Toc9900"/>
      <w:bookmarkStart w:id="293" w:name="_Toc48656938"/>
      <w:bookmarkStart w:id="294" w:name="_Toc22635"/>
      <w:bookmarkStart w:id="295" w:name="_Toc31726"/>
      <w:bookmarkStart w:id="296" w:name="_Toc28002"/>
      <w:bookmarkStart w:id="297" w:name="_Toc31183"/>
      <w:bookmarkStart w:id="298" w:name="_Toc21842"/>
      <w:bookmarkStart w:id="299" w:name="_Toc29470"/>
      <w:r>
        <w:t xml:space="preserve">5 </w:t>
      </w:r>
      <w:r>
        <w:rPr>
          <w:rFonts w:hint="eastAsia"/>
        </w:rPr>
        <w:t>水土保持措施设计</w:t>
      </w:r>
      <w:bookmarkEnd w:id="290"/>
      <w:bookmarkEnd w:id="291"/>
      <w:bookmarkEnd w:id="292"/>
      <w:bookmarkEnd w:id="293"/>
      <w:bookmarkEnd w:id="294"/>
      <w:bookmarkEnd w:id="295"/>
    </w:p>
    <w:p>
      <w:pPr>
        <w:pStyle w:val="4"/>
        <w:outlineLvl w:val="1"/>
        <w:rPr>
          <w:szCs w:val="28"/>
        </w:rPr>
      </w:pPr>
      <w:bookmarkStart w:id="300" w:name="_Toc17103"/>
      <w:bookmarkStart w:id="301" w:name="_Toc13456"/>
      <w:r>
        <w:rPr>
          <w:bCs/>
          <w:spacing w:val="0"/>
          <w:kern w:val="30"/>
          <w:szCs w:val="30"/>
        </w:rPr>
        <w:t>5.1防治区划分</w:t>
      </w:r>
      <w:bookmarkEnd w:id="296"/>
      <w:bookmarkEnd w:id="297"/>
      <w:bookmarkEnd w:id="298"/>
      <w:bookmarkEnd w:id="299"/>
      <w:bookmarkEnd w:id="300"/>
      <w:bookmarkEnd w:id="301"/>
    </w:p>
    <w:p>
      <w:pPr>
        <w:pStyle w:val="24"/>
        <w:rPr>
          <w:rFonts w:hint="eastAsia"/>
          <w:color w:val="000000"/>
          <w:highlight w:val="none"/>
        </w:rPr>
      </w:pPr>
      <w:r>
        <w:rPr>
          <w:rFonts w:hint="eastAsia"/>
          <w:color w:val="000000"/>
          <w:highlight w:val="none"/>
        </w:rPr>
        <w:t>根据《生产建设项目水土保持技术标准》（GB50433-2018）等相关技术规范、标准规定和分区原则，将本工程分为</w:t>
      </w:r>
      <w:r>
        <w:rPr>
          <w:rFonts w:hint="eastAsia"/>
          <w:bCs/>
          <w:szCs w:val="24"/>
          <w:highlight w:val="none"/>
        </w:rPr>
        <w:t>建构筑物区</w:t>
      </w:r>
      <w:r>
        <w:rPr>
          <w:szCs w:val="24"/>
          <w:highlight w:val="none"/>
        </w:rPr>
        <w:t>、附属设施区</w:t>
      </w:r>
      <w:r>
        <w:rPr>
          <w:rFonts w:hint="eastAsia"/>
          <w:szCs w:val="24"/>
          <w:highlight w:val="none"/>
          <w:lang w:eastAsia="zh-CN"/>
        </w:rPr>
        <w:t>、景观绿化区</w:t>
      </w:r>
      <w:r>
        <w:rPr>
          <w:rFonts w:hint="eastAsia"/>
          <w:color w:val="000000"/>
          <w:highlight w:val="none"/>
          <w:lang w:val="en-US" w:eastAsia="zh-CN"/>
        </w:rPr>
        <w:t>3</w:t>
      </w:r>
      <w:r>
        <w:rPr>
          <w:rFonts w:hint="eastAsia"/>
          <w:color w:val="000000"/>
          <w:highlight w:val="none"/>
        </w:rPr>
        <w:t>个防治分区。</w:t>
      </w:r>
    </w:p>
    <w:p>
      <w:pPr>
        <w:bidi w:val="0"/>
        <w:jc w:val="center"/>
        <w:rPr>
          <w:rFonts w:hint="eastAsia"/>
          <w:b/>
          <w:bCs/>
          <w:sz w:val="21"/>
          <w:szCs w:val="16"/>
          <w:lang w:val="en-US" w:eastAsia="zh-CN"/>
        </w:rPr>
      </w:pPr>
      <w:bookmarkStart w:id="302" w:name="_Toc18329"/>
      <w:bookmarkStart w:id="303" w:name="_Toc11210"/>
      <w:bookmarkStart w:id="304" w:name="_Toc31456"/>
      <w:bookmarkStart w:id="305" w:name="_Toc28232"/>
      <w:bookmarkStart w:id="306" w:name="_Toc16456"/>
      <w:r>
        <w:rPr>
          <w:rFonts w:hint="eastAsia"/>
          <w:b/>
          <w:bCs/>
          <w:sz w:val="21"/>
          <w:szCs w:val="16"/>
          <w:lang w:val="en-US" w:eastAsia="zh-CN"/>
        </w:rPr>
        <w:t>表5-1 工程水土流失防治分区表             单位：hm²</w:t>
      </w:r>
      <w:bookmarkEnd w:id="302"/>
      <w:bookmarkEnd w:id="303"/>
      <w:bookmarkEnd w:id="304"/>
      <w:bookmarkEnd w:id="305"/>
      <w:bookmarkEnd w:id="306"/>
    </w:p>
    <w:tbl>
      <w:tblPr>
        <w:tblStyle w:val="19"/>
        <w:tblW w:w="52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73"/>
        <w:gridCol w:w="2180"/>
        <w:gridCol w:w="2275"/>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233" w:type="pct"/>
            <w:vMerge w:val="restart"/>
            <w:tcBorders>
              <w:tl2br w:val="nil"/>
              <w:tr2bl w:val="nil"/>
            </w:tcBorders>
            <w:noWrap/>
            <w:tcMar>
              <w:top w:w="15" w:type="dxa"/>
              <w:left w:w="15" w:type="dxa"/>
              <w:right w:w="15" w:type="dxa"/>
            </w:tcMar>
            <w:vAlign w:val="center"/>
          </w:tcPr>
          <w:p>
            <w:pPr>
              <w:widowControl/>
              <w:jc w:val="center"/>
              <w:textAlignment w:val="center"/>
              <w:rPr>
                <w:sz w:val="21"/>
                <w:szCs w:val="21"/>
              </w:rPr>
            </w:pPr>
            <w:r>
              <w:rPr>
                <w:kern w:val="0"/>
                <w:sz w:val="21"/>
                <w:szCs w:val="21"/>
                <w:lang w:bidi="ar"/>
              </w:rPr>
              <w:t>项目组成</w:t>
            </w:r>
          </w:p>
        </w:tc>
        <w:tc>
          <w:tcPr>
            <w:tcW w:w="1236" w:type="pct"/>
            <w:vMerge w:val="restart"/>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小计</w:t>
            </w:r>
          </w:p>
        </w:tc>
        <w:tc>
          <w:tcPr>
            <w:tcW w:w="2529" w:type="pct"/>
            <w:gridSpan w:val="2"/>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水土保持防治责任范围表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233" w:type="pct"/>
            <w:vMerge w:val="continue"/>
            <w:tcBorders>
              <w:tl2br w:val="nil"/>
              <w:tr2bl w:val="nil"/>
            </w:tcBorders>
            <w:noWrap/>
            <w:tcMar>
              <w:top w:w="15" w:type="dxa"/>
              <w:left w:w="15" w:type="dxa"/>
              <w:right w:w="15" w:type="dxa"/>
            </w:tcMar>
            <w:vAlign w:val="center"/>
          </w:tcPr>
          <w:p>
            <w:pPr>
              <w:widowControl/>
              <w:jc w:val="center"/>
              <w:textAlignment w:val="center"/>
              <w:rPr>
                <w:sz w:val="21"/>
                <w:szCs w:val="21"/>
              </w:rPr>
            </w:pPr>
          </w:p>
        </w:tc>
        <w:tc>
          <w:tcPr>
            <w:tcW w:w="1236" w:type="pct"/>
            <w:vMerge w:val="continue"/>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p>
        </w:tc>
        <w:tc>
          <w:tcPr>
            <w:tcW w:w="1290" w:type="pct"/>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项目建设区</w:t>
            </w:r>
          </w:p>
        </w:tc>
        <w:tc>
          <w:tcPr>
            <w:tcW w:w="1238" w:type="pct"/>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直接影响区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233" w:type="pct"/>
            <w:tcBorders>
              <w:tl2br w:val="nil"/>
              <w:tr2bl w:val="nil"/>
            </w:tcBorders>
            <w:noWrap/>
            <w:tcMar>
              <w:top w:w="15" w:type="dxa"/>
              <w:left w:w="15" w:type="dxa"/>
              <w:right w:w="15" w:type="dxa"/>
            </w:tcMar>
            <w:vAlign w:val="center"/>
          </w:tcPr>
          <w:p>
            <w:pPr>
              <w:widowControl/>
              <w:jc w:val="center"/>
              <w:textAlignment w:val="center"/>
              <w:rPr>
                <w:sz w:val="21"/>
                <w:szCs w:val="21"/>
              </w:rPr>
            </w:pPr>
            <w:r>
              <w:rPr>
                <w:rFonts w:hint="eastAsia"/>
                <w:kern w:val="0"/>
                <w:sz w:val="21"/>
                <w:szCs w:val="21"/>
                <w:lang w:bidi="ar"/>
              </w:rPr>
              <w:t>建构筑物区</w:t>
            </w:r>
          </w:p>
        </w:tc>
        <w:tc>
          <w:tcPr>
            <w:tcW w:w="1236"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bCs/>
                <w:kern w:val="0"/>
                <w:sz w:val="21"/>
                <w:szCs w:val="21"/>
                <w:lang w:val="en-US" w:eastAsia="zh-CN" w:bidi="ar-SA"/>
              </w:rPr>
            </w:pPr>
            <w:r>
              <w:rPr>
                <w:rFonts w:hint="eastAsia"/>
                <w:kern w:val="0"/>
                <w:sz w:val="21"/>
                <w:szCs w:val="21"/>
                <w:lang w:bidi="ar"/>
              </w:rPr>
              <w:t>0.</w:t>
            </w:r>
            <w:r>
              <w:rPr>
                <w:rFonts w:hint="eastAsia"/>
                <w:kern w:val="0"/>
                <w:sz w:val="21"/>
                <w:szCs w:val="21"/>
                <w:lang w:val="en-US" w:eastAsia="zh-CN" w:bidi="ar"/>
              </w:rPr>
              <w:t>27</w:t>
            </w:r>
          </w:p>
        </w:tc>
        <w:tc>
          <w:tcPr>
            <w:tcW w:w="2275" w:type="dxa"/>
            <w:tcBorders>
              <w:tl2br w:val="nil"/>
              <w:tr2bl w:val="nil"/>
            </w:tcBorders>
            <w:noWrap/>
            <w:tcMar>
              <w:top w:w="15" w:type="dxa"/>
              <w:left w:w="15" w:type="dxa"/>
              <w:right w:w="15" w:type="dxa"/>
            </w:tcMar>
            <w:vAlign w:val="center"/>
          </w:tcPr>
          <w:p>
            <w:pPr>
              <w:widowControl/>
              <w:jc w:val="center"/>
              <w:textAlignment w:val="center"/>
              <w:rPr>
                <w:rFonts w:ascii="Times New Roman" w:hAnsi="Times New Roman" w:eastAsia="仿宋_GB2312" w:cs="Times New Roman"/>
                <w:bCs/>
                <w:kern w:val="0"/>
                <w:sz w:val="21"/>
                <w:szCs w:val="21"/>
                <w:lang w:val="en-US" w:eastAsia="zh-CN" w:bidi="ar-SA"/>
              </w:rPr>
            </w:pPr>
            <w:r>
              <w:rPr>
                <w:rFonts w:hint="eastAsia"/>
                <w:kern w:val="0"/>
                <w:sz w:val="21"/>
                <w:szCs w:val="21"/>
                <w:lang w:bidi="ar"/>
              </w:rPr>
              <w:t>0.</w:t>
            </w:r>
            <w:r>
              <w:rPr>
                <w:rFonts w:hint="eastAsia"/>
                <w:kern w:val="0"/>
                <w:sz w:val="21"/>
                <w:szCs w:val="21"/>
                <w:lang w:val="en-US" w:eastAsia="zh-CN" w:bidi="ar"/>
              </w:rPr>
              <w:t>27</w:t>
            </w:r>
          </w:p>
        </w:tc>
        <w:tc>
          <w:tcPr>
            <w:tcW w:w="1238" w:type="pct"/>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233" w:type="pct"/>
            <w:tcBorders>
              <w:tl2br w:val="nil"/>
              <w:tr2bl w:val="nil"/>
            </w:tcBorders>
            <w:noWrap/>
            <w:tcMar>
              <w:top w:w="15" w:type="dxa"/>
              <w:left w:w="15" w:type="dxa"/>
              <w:right w:w="15" w:type="dxa"/>
            </w:tcMar>
            <w:vAlign w:val="center"/>
          </w:tcPr>
          <w:p>
            <w:pPr>
              <w:widowControl/>
              <w:jc w:val="center"/>
              <w:textAlignment w:val="center"/>
              <w:rPr>
                <w:sz w:val="21"/>
                <w:szCs w:val="21"/>
              </w:rPr>
            </w:pPr>
            <w:r>
              <w:rPr>
                <w:kern w:val="0"/>
                <w:sz w:val="21"/>
                <w:szCs w:val="21"/>
                <w:lang w:bidi="ar"/>
              </w:rPr>
              <w:t>附属设施区</w:t>
            </w:r>
          </w:p>
        </w:tc>
        <w:tc>
          <w:tcPr>
            <w:tcW w:w="1236"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仿宋" w:cs="Times New Roman"/>
                <w:bCs/>
                <w:kern w:val="0"/>
                <w:sz w:val="21"/>
                <w:szCs w:val="21"/>
                <w:lang w:val="en-US" w:eastAsia="zh-CN" w:bidi="ar-SA"/>
              </w:rPr>
            </w:pPr>
            <w:r>
              <w:rPr>
                <w:kern w:val="0"/>
                <w:sz w:val="21"/>
                <w:szCs w:val="21"/>
                <w:lang w:bidi="ar"/>
              </w:rPr>
              <w:t>0.</w:t>
            </w:r>
            <w:r>
              <w:rPr>
                <w:rFonts w:hint="eastAsia"/>
                <w:kern w:val="0"/>
                <w:sz w:val="21"/>
                <w:szCs w:val="21"/>
                <w:lang w:val="en-US" w:eastAsia="zh-CN" w:bidi="ar"/>
              </w:rPr>
              <w:t>47</w:t>
            </w:r>
          </w:p>
        </w:tc>
        <w:tc>
          <w:tcPr>
            <w:tcW w:w="2275" w:type="dxa"/>
            <w:tcBorders>
              <w:tl2br w:val="nil"/>
              <w:tr2bl w:val="nil"/>
            </w:tcBorders>
            <w:noWrap/>
            <w:tcMar>
              <w:top w:w="15" w:type="dxa"/>
              <w:left w:w="15" w:type="dxa"/>
              <w:right w:w="15" w:type="dxa"/>
            </w:tcMar>
            <w:vAlign w:val="center"/>
          </w:tcPr>
          <w:p>
            <w:pPr>
              <w:widowControl/>
              <w:jc w:val="center"/>
              <w:textAlignment w:val="center"/>
              <w:rPr>
                <w:rFonts w:hint="eastAsia" w:ascii="Times New Roman" w:hAnsi="Times New Roman" w:eastAsia="仿宋_GB2312" w:cs="Times New Roman"/>
                <w:bCs/>
                <w:kern w:val="0"/>
                <w:sz w:val="21"/>
                <w:szCs w:val="21"/>
                <w:lang w:val="en-US" w:eastAsia="zh-CN" w:bidi="ar-SA"/>
              </w:rPr>
            </w:pPr>
            <w:r>
              <w:rPr>
                <w:kern w:val="0"/>
                <w:sz w:val="21"/>
                <w:szCs w:val="21"/>
                <w:lang w:bidi="ar"/>
              </w:rPr>
              <w:t>0.</w:t>
            </w:r>
            <w:r>
              <w:rPr>
                <w:rFonts w:hint="eastAsia"/>
                <w:kern w:val="0"/>
                <w:sz w:val="21"/>
                <w:szCs w:val="21"/>
                <w:lang w:val="en-US" w:eastAsia="zh-CN" w:bidi="ar"/>
              </w:rPr>
              <w:t>47</w:t>
            </w:r>
          </w:p>
        </w:tc>
        <w:tc>
          <w:tcPr>
            <w:tcW w:w="1238" w:type="pct"/>
            <w:tcBorders>
              <w:tl2br w:val="nil"/>
              <w:tr2bl w:val="nil"/>
            </w:tcBorders>
            <w:noWrap/>
            <w:tcMar>
              <w:top w:w="15" w:type="dxa"/>
              <w:left w:w="15" w:type="dxa"/>
              <w:right w:w="15" w:type="dxa"/>
            </w:tcMar>
            <w:vAlign w:val="center"/>
          </w:tcPr>
          <w:p>
            <w:pPr>
              <w:widowControl/>
              <w:jc w:val="center"/>
              <w:textAlignment w:val="center"/>
              <w:rPr>
                <w:kern w:val="0"/>
                <w:sz w:val="21"/>
                <w:szCs w:val="21"/>
                <w:lang w:bidi="ar"/>
              </w:rPr>
            </w:pPr>
            <w:r>
              <w:rPr>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0" w:type="auto"/>
            <w:vAlign w:val="center"/>
          </w:tcPr>
          <w:p>
            <w:pPr>
              <w:widowControl/>
              <w:jc w:val="center"/>
              <w:textAlignment w:val="center"/>
              <w:rPr>
                <w:rFonts w:hint="eastAsia" w:eastAsia="仿宋"/>
                <w:sz w:val="21"/>
                <w:szCs w:val="21"/>
                <w:lang w:eastAsia="zh-CN"/>
              </w:rPr>
            </w:pPr>
            <w:r>
              <w:rPr>
                <w:rFonts w:hint="eastAsia"/>
                <w:sz w:val="21"/>
                <w:szCs w:val="21"/>
                <w:lang w:eastAsia="zh-CN"/>
              </w:rPr>
              <w:t>景观绿化区</w:t>
            </w:r>
          </w:p>
        </w:tc>
        <w:tc>
          <w:tcPr>
            <w:tcW w:w="0" w:type="auto"/>
            <w:vAlign w:val="center"/>
          </w:tcPr>
          <w:p>
            <w:pPr>
              <w:widowControl/>
              <w:jc w:val="center"/>
              <w:textAlignment w:val="center"/>
              <w:rPr>
                <w:rFonts w:hint="default" w:ascii="Times New Roman" w:hAnsi="Times New Roman" w:eastAsia="仿宋_GB2312" w:cs="Times New Roman"/>
                <w:bCs/>
                <w:kern w:val="0"/>
                <w:sz w:val="21"/>
                <w:szCs w:val="21"/>
                <w:lang w:val="en-US" w:eastAsia="zh-CN" w:bidi="ar-SA"/>
              </w:rPr>
            </w:pPr>
            <w:r>
              <w:rPr>
                <w:rFonts w:hint="eastAsia"/>
                <w:kern w:val="0"/>
                <w:sz w:val="21"/>
                <w:szCs w:val="21"/>
                <w:lang w:val="en-US" w:eastAsia="zh-CN" w:bidi="ar"/>
              </w:rPr>
              <w:t>0.28</w:t>
            </w:r>
          </w:p>
        </w:tc>
        <w:tc>
          <w:tcPr>
            <w:tcW w:w="2275" w:type="dxa"/>
            <w:vAlign w:val="center"/>
          </w:tcPr>
          <w:p>
            <w:pPr>
              <w:widowControl/>
              <w:jc w:val="center"/>
              <w:textAlignment w:val="center"/>
              <w:rPr>
                <w:rFonts w:ascii="Times New Roman" w:hAnsi="Times New Roman" w:eastAsia="仿宋_GB2312" w:cs="Times New Roman"/>
                <w:bCs/>
                <w:kern w:val="0"/>
                <w:sz w:val="21"/>
                <w:szCs w:val="21"/>
                <w:lang w:val="en-US" w:eastAsia="zh-CN" w:bidi="ar-SA"/>
              </w:rPr>
            </w:pPr>
            <w:r>
              <w:rPr>
                <w:rFonts w:hint="eastAsia"/>
                <w:kern w:val="0"/>
                <w:sz w:val="21"/>
                <w:szCs w:val="21"/>
                <w:lang w:val="en-US" w:eastAsia="zh-CN" w:bidi="ar"/>
              </w:rPr>
              <w:t>0.28</w:t>
            </w:r>
          </w:p>
        </w:tc>
        <w:tc>
          <w:tcPr>
            <w:tcW w:w="0" w:type="auto"/>
            <w:vAlign w:val="center"/>
          </w:tcPr>
          <w:p>
            <w:pPr>
              <w:widowControl/>
              <w:jc w:val="center"/>
              <w:textAlignment w:val="center"/>
              <w:rPr>
                <w:kern w:val="0"/>
                <w:sz w:val="21"/>
                <w:szCs w:val="21"/>
                <w:lang w:bidi="ar"/>
              </w:rPr>
            </w:pPr>
            <w:r>
              <w:rPr>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0" w:type="auto"/>
            <w:vAlign w:val="center"/>
          </w:tcPr>
          <w:p>
            <w:pPr>
              <w:widowControl/>
              <w:jc w:val="center"/>
              <w:textAlignment w:val="center"/>
              <w:rPr>
                <w:rFonts w:ascii="Times New Roman" w:hAnsi="Times New Roman" w:eastAsia="仿宋" w:cs="Times New Roman"/>
                <w:kern w:val="2"/>
                <w:sz w:val="21"/>
                <w:szCs w:val="21"/>
                <w:lang w:val="en-US" w:eastAsia="zh-CN" w:bidi="ar-SA"/>
              </w:rPr>
            </w:pPr>
            <w:r>
              <w:rPr>
                <w:sz w:val="21"/>
                <w:szCs w:val="21"/>
              </w:rPr>
              <w:t>合计</w:t>
            </w:r>
          </w:p>
        </w:tc>
        <w:tc>
          <w:tcPr>
            <w:tcW w:w="0" w:type="auto"/>
            <w:vAlign w:val="center"/>
          </w:tcPr>
          <w:p>
            <w:pPr>
              <w:widowControl/>
              <w:jc w:val="center"/>
              <w:textAlignment w:val="center"/>
              <w:rPr>
                <w:rFonts w:hint="default" w:ascii="Times New Roman" w:hAnsi="Times New Roman" w:eastAsia="仿宋_GB2312" w:cs="Times New Roman"/>
                <w:bCs/>
                <w:kern w:val="0"/>
                <w:sz w:val="21"/>
                <w:szCs w:val="21"/>
                <w:lang w:val="en-US" w:eastAsia="zh-CN" w:bidi="ar-SA"/>
              </w:rPr>
            </w:pPr>
            <w:r>
              <w:rPr>
                <w:rFonts w:hint="eastAsia"/>
                <w:kern w:val="0"/>
                <w:sz w:val="21"/>
                <w:szCs w:val="21"/>
                <w:lang w:val="en-US" w:eastAsia="zh-CN" w:bidi="ar"/>
              </w:rPr>
              <w:t>1.02</w:t>
            </w:r>
          </w:p>
        </w:tc>
        <w:tc>
          <w:tcPr>
            <w:tcW w:w="2275" w:type="dxa"/>
            <w:vAlign w:val="center"/>
          </w:tcPr>
          <w:p>
            <w:pPr>
              <w:widowControl/>
              <w:jc w:val="center"/>
              <w:textAlignment w:val="center"/>
              <w:rPr>
                <w:rFonts w:hint="eastAsia" w:ascii="Times New Roman" w:hAnsi="Times New Roman" w:eastAsia="仿宋_GB2312" w:cs="Times New Roman"/>
                <w:bCs/>
                <w:kern w:val="0"/>
                <w:sz w:val="21"/>
                <w:szCs w:val="21"/>
                <w:lang w:val="en-US" w:eastAsia="zh-CN" w:bidi="ar-SA"/>
              </w:rPr>
            </w:pPr>
            <w:r>
              <w:rPr>
                <w:rFonts w:hint="eastAsia"/>
                <w:kern w:val="0"/>
                <w:sz w:val="21"/>
                <w:szCs w:val="21"/>
                <w:lang w:val="en-US" w:eastAsia="zh-CN" w:bidi="ar"/>
              </w:rPr>
              <w:t>1.02</w:t>
            </w:r>
          </w:p>
        </w:tc>
        <w:tc>
          <w:tcPr>
            <w:tcW w:w="0" w:type="auto"/>
            <w:vAlign w:val="center"/>
          </w:tcPr>
          <w:p>
            <w:pPr>
              <w:widowControl/>
              <w:jc w:val="center"/>
              <w:textAlignment w:val="center"/>
              <w:rPr>
                <w:rFonts w:ascii="Times New Roman" w:hAnsi="Times New Roman" w:eastAsia="仿宋" w:cs="Times New Roman"/>
                <w:kern w:val="0"/>
                <w:sz w:val="21"/>
                <w:szCs w:val="21"/>
                <w:lang w:val="en-US" w:eastAsia="zh-CN" w:bidi="ar"/>
              </w:rPr>
            </w:pPr>
            <w:r>
              <w:rPr>
                <w:kern w:val="0"/>
                <w:sz w:val="21"/>
                <w:szCs w:val="21"/>
                <w:lang w:bidi="ar"/>
              </w:rPr>
              <w:t>-</w:t>
            </w:r>
          </w:p>
        </w:tc>
      </w:tr>
    </w:tbl>
    <w:p>
      <w:pPr>
        <w:pStyle w:val="4"/>
        <w:rPr>
          <w:color w:val="000000"/>
        </w:rPr>
      </w:pPr>
      <w:bookmarkStart w:id="307" w:name="_Toc24845"/>
      <w:bookmarkStart w:id="308" w:name="_Toc25134"/>
      <w:bookmarkStart w:id="309" w:name="_Toc22705"/>
      <w:bookmarkStart w:id="310" w:name="_Toc25977"/>
      <w:bookmarkStart w:id="311" w:name="_Toc48656940"/>
      <w:r>
        <w:rPr>
          <w:color w:val="000000"/>
        </w:rPr>
        <w:t xml:space="preserve">5.2 </w:t>
      </w:r>
      <w:r>
        <w:rPr>
          <w:rFonts w:hint="eastAsia"/>
          <w:color w:val="000000"/>
        </w:rPr>
        <w:t>措施总体布局</w:t>
      </w:r>
      <w:bookmarkEnd w:id="307"/>
      <w:bookmarkEnd w:id="308"/>
      <w:bookmarkEnd w:id="309"/>
      <w:bookmarkEnd w:id="310"/>
      <w:bookmarkEnd w:id="311"/>
    </w:p>
    <w:p>
      <w:pPr>
        <w:ind w:firstLine="480"/>
        <w:rPr>
          <w:rFonts w:hint="eastAsia"/>
          <w:color w:val="000000"/>
          <w:lang w:val="en-US" w:eastAsia="zh-CN"/>
        </w:rPr>
      </w:pPr>
      <w:r>
        <w:rPr>
          <w:rFonts w:hint="eastAsia"/>
          <w:color w:val="000000"/>
          <w:lang w:val="en-US" w:eastAsia="zh-CN"/>
        </w:rPr>
        <w:t>在水土流失防治措施体系中首先应搞好预防保护措施，其次在布设防治措施中应遵循以下原则：</w:t>
      </w:r>
    </w:p>
    <w:p>
      <w:pPr>
        <w:numPr>
          <w:ilvl w:val="0"/>
          <w:numId w:val="8"/>
        </w:numPr>
        <w:bidi w:val="0"/>
        <w:ind w:left="0" w:leftChars="0" w:firstLine="480" w:firstLineChars="200"/>
        <w:rPr>
          <w:rFonts w:hint="eastAsia"/>
          <w:lang w:val="en-US" w:eastAsia="zh-CN"/>
        </w:rPr>
      </w:pPr>
      <w:r>
        <w:rPr>
          <w:rFonts w:hint="eastAsia"/>
          <w:lang w:val="en-US" w:eastAsia="zh-CN"/>
        </w:rPr>
        <w:t>坚持防治结合，因地制宜、因害设防、全面布局、科学配置的原则；</w:t>
      </w:r>
    </w:p>
    <w:p>
      <w:pPr>
        <w:numPr>
          <w:ilvl w:val="0"/>
          <w:numId w:val="8"/>
        </w:numPr>
        <w:bidi w:val="0"/>
        <w:ind w:left="0" w:leftChars="0" w:firstLine="480" w:firstLineChars="200"/>
        <w:rPr>
          <w:rFonts w:hint="default"/>
          <w:lang w:val="en-US" w:eastAsia="zh-CN"/>
        </w:rPr>
      </w:pPr>
      <w:r>
        <w:rPr>
          <w:rFonts w:hint="eastAsia"/>
          <w:lang w:val="en-US" w:eastAsia="zh-CN"/>
        </w:rPr>
        <w:t>综合防治的原则；</w:t>
      </w:r>
    </w:p>
    <w:p>
      <w:pPr>
        <w:numPr>
          <w:ilvl w:val="0"/>
          <w:numId w:val="8"/>
        </w:numPr>
        <w:bidi w:val="0"/>
        <w:ind w:left="0" w:leftChars="0" w:firstLine="480" w:firstLineChars="200"/>
        <w:rPr>
          <w:rFonts w:hint="eastAsia"/>
          <w:lang w:val="en-US" w:eastAsia="zh-CN"/>
        </w:rPr>
      </w:pPr>
      <w:r>
        <w:rPr>
          <w:rFonts w:hint="eastAsia"/>
          <w:lang w:val="en-US" w:eastAsia="zh-CN"/>
        </w:rPr>
        <w:t>整体性原则；</w:t>
      </w:r>
    </w:p>
    <w:p>
      <w:pPr>
        <w:numPr>
          <w:ilvl w:val="0"/>
          <w:numId w:val="8"/>
        </w:numPr>
        <w:bidi w:val="0"/>
        <w:ind w:left="0" w:leftChars="0" w:firstLine="480" w:firstLineChars="200"/>
        <w:rPr>
          <w:rFonts w:hint="default"/>
          <w:lang w:val="en-US" w:eastAsia="zh-CN"/>
        </w:rPr>
      </w:pPr>
      <w:r>
        <w:rPr>
          <w:rFonts w:hint="eastAsia"/>
          <w:lang w:val="en-US" w:eastAsia="zh-CN"/>
        </w:rPr>
        <w:t>合理安排施工时序，根据水土流失的情况，采取临时措施、永久措施相结合的方式，全过程防治；</w:t>
      </w:r>
    </w:p>
    <w:p>
      <w:pPr>
        <w:bidi w:val="0"/>
        <w:ind w:left="0" w:leftChars="0" w:firstLine="480" w:firstLineChars="200"/>
        <w:rPr>
          <w:rFonts w:hint="default"/>
          <w:lang w:val="en-US" w:eastAsia="zh-CN"/>
        </w:rPr>
      </w:pPr>
      <w:r>
        <w:rPr>
          <w:rFonts w:hint="eastAsia"/>
          <w:lang w:val="en-US" w:eastAsia="zh-CN"/>
        </w:rPr>
        <w:t>5、注重吸收当地水土保持的成功经验，尽量选用当地材料，做到技术上可靠，经济上合理。</w:t>
      </w:r>
    </w:p>
    <w:p>
      <w:pPr>
        <w:ind w:firstLine="480"/>
        <w:rPr>
          <w:rFonts w:hint="eastAsia"/>
          <w:color w:val="000000"/>
        </w:rPr>
      </w:pPr>
      <w:r>
        <w:rPr>
          <w:rFonts w:hint="eastAsia"/>
          <w:color w:val="000000"/>
        </w:rPr>
        <w:t>根据</w:t>
      </w:r>
      <w:r>
        <w:rPr>
          <w:rFonts w:hint="eastAsia"/>
          <w:color w:val="000000"/>
          <w:lang w:val="en-US" w:eastAsia="zh-CN"/>
        </w:rPr>
        <w:t>查阅工程资料</w:t>
      </w:r>
      <w:r>
        <w:rPr>
          <w:rFonts w:hint="eastAsia"/>
          <w:color w:val="000000"/>
        </w:rPr>
        <w:t>，本项目</w:t>
      </w:r>
      <w:r>
        <w:rPr>
          <w:rFonts w:hint="eastAsia"/>
          <w:color w:val="000000"/>
          <w:lang w:val="en-US" w:eastAsia="zh-CN"/>
        </w:rPr>
        <w:t>设计方案有</w:t>
      </w:r>
      <w:r>
        <w:rPr>
          <w:rFonts w:hint="eastAsia"/>
          <w:color w:val="000000"/>
        </w:rPr>
        <w:t>雨水管道、</w:t>
      </w:r>
      <w:r>
        <w:rPr>
          <w:rFonts w:hint="eastAsia"/>
          <w:color w:val="000000"/>
          <w:lang w:eastAsia="zh-CN"/>
        </w:rPr>
        <w:t>临时</w:t>
      </w:r>
      <w:r>
        <w:rPr>
          <w:rFonts w:hint="eastAsia"/>
          <w:color w:val="000000"/>
          <w:lang w:val="en-US" w:eastAsia="zh-CN"/>
        </w:rPr>
        <w:t>排水沟</w:t>
      </w:r>
      <w:r>
        <w:rPr>
          <w:rFonts w:hint="eastAsia"/>
          <w:color w:val="000000"/>
        </w:rPr>
        <w:t>、景观绿化等</w:t>
      </w:r>
      <w:r>
        <w:rPr>
          <w:rFonts w:hint="eastAsia"/>
          <w:color w:val="000000"/>
          <w:lang w:val="en-US" w:eastAsia="zh-CN"/>
        </w:rPr>
        <w:t>各类</w:t>
      </w:r>
      <w:r>
        <w:rPr>
          <w:rFonts w:hint="eastAsia"/>
          <w:color w:val="000000"/>
        </w:rPr>
        <w:t>水土保持措施，对于防治场地水土流失起到了重要的作用。根据现场调查结合主体工程资料分析，本项目实施的水土保持措施体系即总体布局如下。</w:t>
      </w:r>
    </w:p>
    <w:p>
      <w:pPr>
        <w:pStyle w:val="25"/>
        <w:rPr>
          <w:rFonts w:hint="eastAsia"/>
        </w:rPr>
      </w:pPr>
      <w:r>
        <w:rPr>
          <w:rFonts w:hint="eastAsia"/>
        </w:rPr>
        <w:t>表5</w:t>
      </w:r>
      <w:r>
        <w:t>-</w:t>
      </w:r>
      <w:r>
        <w:rPr>
          <w:rFonts w:hint="eastAsia"/>
          <w:lang w:val="en-US" w:eastAsia="zh-CN"/>
        </w:rPr>
        <w:t>2</w:t>
      </w:r>
      <w:r>
        <w:t xml:space="preserve">  </w:t>
      </w:r>
      <w:r>
        <w:rPr>
          <w:rFonts w:hint="eastAsia"/>
        </w:rPr>
        <w:t>水土流失防治措施体系及总体布局表</w:t>
      </w:r>
    </w:p>
    <w:tbl>
      <w:tblPr>
        <w:tblStyle w:val="19"/>
        <w:tblpPr w:leftFromText="180" w:rightFromText="180" w:vertAnchor="text" w:horzAnchor="page" w:tblpX="1782" w:tblpY="456"/>
        <w:tblOverlap w:val="never"/>
        <w:tblW w:w="4770" w:type="pct"/>
        <w:jc w:val="center"/>
        <w:shd w:val="clear" w:color="auto" w:fill="auto"/>
        <w:tblLayout w:type="fixed"/>
        <w:tblCellMar>
          <w:top w:w="0" w:type="dxa"/>
          <w:left w:w="0" w:type="dxa"/>
          <w:bottom w:w="0" w:type="dxa"/>
          <w:right w:w="0" w:type="dxa"/>
        </w:tblCellMar>
      </w:tblPr>
      <w:tblGrid>
        <w:gridCol w:w="1278"/>
        <w:gridCol w:w="1530"/>
        <w:gridCol w:w="2595"/>
        <w:gridCol w:w="2550"/>
      </w:tblGrid>
      <w:tr>
        <w:tblPrEx>
          <w:shd w:val="clear" w:color="auto" w:fill="auto"/>
          <w:tblCellMar>
            <w:top w:w="0" w:type="dxa"/>
            <w:left w:w="0" w:type="dxa"/>
            <w:bottom w:w="0" w:type="dxa"/>
            <w:right w:w="0" w:type="dxa"/>
          </w:tblCellMar>
        </w:tblPrEx>
        <w:trPr>
          <w:trHeight w:val="90"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项目组成</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措施类型</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措施名称</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Style w:val="37"/>
                <w:rFonts w:hint="eastAsia"/>
                <w:sz w:val="21"/>
                <w:szCs w:val="21"/>
              </w:rPr>
              <w:t>投资属性</w:t>
            </w:r>
          </w:p>
        </w:tc>
      </w:tr>
      <w:tr>
        <w:tblPrEx>
          <w:tblCellMar>
            <w:top w:w="0" w:type="dxa"/>
            <w:left w:w="0" w:type="dxa"/>
            <w:bottom w:w="0" w:type="dxa"/>
            <w:right w:w="0" w:type="dxa"/>
          </w:tblCellMar>
        </w:tblPrEx>
        <w:trPr>
          <w:trHeight w:val="362" w:hRule="atLeast"/>
          <w:jc w:val="center"/>
        </w:trPr>
        <w:tc>
          <w:tcPr>
            <w:tcW w:w="127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建构筑物区</w:t>
            </w:r>
          </w:p>
        </w:tc>
        <w:tc>
          <w:tcPr>
            <w:tcW w:w="153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临时措施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default" w:ascii="Times New Roman" w:hAnsi="Times New Roman" w:cs="Times New Roman"/>
                <w:kern w:val="0"/>
                <w:sz w:val="20"/>
                <w:szCs w:val="22"/>
                <w:lang w:val="en-US" w:eastAsia="zh-CN" w:bidi="ar"/>
              </w:rPr>
              <w:t>临时排水沟</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53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临时沉砂池</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53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临时遮盖</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kern w:val="0"/>
                <w:sz w:val="20"/>
                <w:szCs w:val="22"/>
                <w:lang w:val="en-US" w:eastAsia="zh-CN" w:bidi="ar"/>
              </w:rPr>
            </w:pPr>
            <w:r>
              <w:rPr>
                <w:rFonts w:hint="eastAsia" w:cs="Times New Roman"/>
                <w:kern w:val="0"/>
                <w:sz w:val="20"/>
                <w:szCs w:val="22"/>
                <w:lang w:val="en-US" w:eastAsia="zh-CN" w:bidi="ar"/>
              </w:rPr>
              <w:t>方案新增</w:t>
            </w:r>
          </w:p>
        </w:tc>
      </w:tr>
      <w:tr>
        <w:tblPrEx>
          <w:tblCellMar>
            <w:top w:w="0" w:type="dxa"/>
            <w:left w:w="0" w:type="dxa"/>
            <w:bottom w:w="0" w:type="dxa"/>
            <w:right w:w="0" w:type="dxa"/>
          </w:tblCellMar>
        </w:tblPrEx>
        <w:trPr>
          <w:trHeight w:val="362" w:hRule="atLeast"/>
          <w:jc w:val="center"/>
        </w:trPr>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附属设施区</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工程措施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雨水管（聚乙烯PE缠绕结构壁管）DN200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25"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雨水管（聚乙烯PE缠绕结构壁管）</w:t>
            </w:r>
            <w:r>
              <w:rPr>
                <w:rFonts w:hint="eastAsia" w:ascii="Times New Roman" w:hAnsi="Times New Roman" w:cs="Times New Roman"/>
                <w:kern w:val="0"/>
                <w:sz w:val="20"/>
                <w:szCs w:val="22"/>
                <w:lang w:val="en-US" w:eastAsia="zh-CN" w:bidi="ar"/>
              </w:rPr>
              <w:t>DN400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25"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雨水管（聚乙烯PE缠绕结构壁管）</w:t>
            </w:r>
            <w:r>
              <w:rPr>
                <w:rFonts w:hint="eastAsia" w:ascii="Times New Roman" w:hAnsi="Times New Roman" w:cs="Times New Roman"/>
                <w:kern w:val="0"/>
                <w:sz w:val="20"/>
                <w:szCs w:val="22"/>
                <w:lang w:val="en-US" w:eastAsia="zh-CN" w:bidi="ar"/>
              </w:rPr>
              <w:t>DN600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雨水检查井</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单箅平箅式雨水口</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洗车槽</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临时遮盖</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方案新增</w:t>
            </w:r>
          </w:p>
        </w:tc>
      </w:tr>
      <w:tr>
        <w:tblPrEx>
          <w:tblCellMar>
            <w:top w:w="0" w:type="dxa"/>
            <w:left w:w="0" w:type="dxa"/>
            <w:bottom w:w="0" w:type="dxa"/>
            <w:right w:w="0" w:type="dxa"/>
          </w:tblCellMar>
        </w:tblPrEx>
        <w:trPr>
          <w:trHeight w:val="362" w:hRule="atLeast"/>
          <w:jc w:val="center"/>
        </w:trPr>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景观绿化区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工程措施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种植</w:t>
            </w:r>
            <w:r>
              <w:rPr>
                <w:rFonts w:hint="default" w:ascii="Times New Roman" w:hAnsi="Times New Roman" w:eastAsia="仿宋" w:cs="Times New Roman"/>
                <w:kern w:val="0"/>
                <w:sz w:val="20"/>
                <w:szCs w:val="22"/>
                <w:lang w:val="en-US" w:eastAsia="zh-CN" w:bidi="ar"/>
              </w:rPr>
              <w:t>土回覆</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62"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植物措施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 xml:space="preserve"> 景观绿化</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主体已列</w:t>
            </w:r>
          </w:p>
        </w:tc>
      </w:tr>
      <w:tr>
        <w:tblPrEx>
          <w:tblCellMar>
            <w:top w:w="0" w:type="dxa"/>
            <w:left w:w="0" w:type="dxa"/>
            <w:bottom w:w="0" w:type="dxa"/>
            <w:right w:w="0" w:type="dxa"/>
          </w:tblCellMar>
        </w:tblPrEx>
        <w:trPr>
          <w:trHeight w:val="378" w:hRule="atLeast"/>
          <w:jc w:val="center"/>
        </w:trPr>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临时措施</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临时遮盖</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方案新增</w:t>
            </w:r>
          </w:p>
        </w:tc>
      </w:tr>
    </w:tbl>
    <w:p>
      <w:pPr>
        <w:pStyle w:val="4"/>
        <w:rPr>
          <w:color w:val="000000"/>
        </w:rPr>
      </w:pPr>
      <w:bookmarkStart w:id="312" w:name="_Toc48656941"/>
      <w:bookmarkStart w:id="313" w:name="_Toc30658"/>
      <w:bookmarkStart w:id="314" w:name="_Toc15832"/>
      <w:bookmarkStart w:id="315" w:name="_Toc9036"/>
      <w:bookmarkStart w:id="316" w:name="_Toc12320"/>
      <w:bookmarkStart w:id="317" w:name="_Toc7996"/>
      <w:r>
        <w:rPr>
          <w:color w:val="000000"/>
        </w:rPr>
        <w:t xml:space="preserve">5.3 </w:t>
      </w:r>
      <w:r>
        <w:rPr>
          <w:rFonts w:hint="eastAsia"/>
          <w:color w:val="000000"/>
        </w:rPr>
        <w:t>分区措施布设</w:t>
      </w:r>
      <w:bookmarkEnd w:id="312"/>
      <w:bookmarkEnd w:id="313"/>
      <w:bookmarkEnd w:id="314"/>
      <w:bookmarkEnd w:id="315"/>
      <w:bookmarkEnd w:id="316"/>
      <w:bookmarkEnd w:id="317"/>
    </w:p>
    <w:p>
      <w:pPr>
        <w:bidi w:val="0"/>
        <w:ind w:firstLine="480" w:firstLineChars="200"/>
        <w:rPr>
          <w:rFonts w:hint="eastAsia"/>
          <w:lang w:val="en-US" w:eastAsia="zh-CN"/>
        </w:rPr>
      </w:pPr>
      <w:r>
        <w:rPr>
          <w:rFonts w:hint="eastAsia"/>
        </w:rPr>
        <w:t>本项目</w:t>
      </w:r>
      <w:r>
        <w:rPr>
          <w:rFonts w:hint="eastAsia"/>
          <w:lang w:val="en-US" w:eastAsia="zh-CN"/>
        </w:rPr>
        <w:t>已</w:t>
      </w:r>
      <w:r>
        <w:rPr>
          <w:rFonts w:hint="eastAsia"/>
        </w:rPr>
        <w:t>于</w:t>
      </w:r>
      <w:r>
        <w:rPr>
          <w:rFonts w:hint="eastAsia"/>
          <w:highlight w:val="none"/>
        </w:rPr>
        <w:t>20</w:t>
      </w:r>
      <w:r>
        <w:rPr>
          <w:rFonts w:hint="eastAsia"/>
          <w:highlight w:val="none"/>
          <w:lang w:val="en-US" w:eastAsia="zh-CN"/>
        </w:rPr>
        <w:t>20</w:t>
      </w:r>
      <w:r>
        <w:rPr>
          <w:rFonts w:hint="eastAsia"/>
          <w:highlight w:val="none"/>
        </w:rPr>
        <w:t>年</w:t>
      </w:r>
      <w:r>
        <w:rPr>
          <w:rFonts w:hint="eastAsia"/>
          <w:highlight w:val="none"/>
          <w:lang w:val="en-US" w:eastAsia="zh-CN"/>
        </w:rPr>
        <w:t>10</w:t>
      </w:r>
      <w:r>
        <w:rPr>
          <w:rFonts w:hint="eastAsia"/>
          <w:highlight w:val="none"/>
        </w:rPr>
        <w:t>月开工，</w:t>
      </w:r>
      <w:r>
        <w:rPr>
          <w:rFonts w:hint="eastAsia"/>
          <w:highlight w:val="none"/>
          <w:lang w:eastAsia="zh-CN"/>
        </w:rPr>
        <w:t>预计</w:t>
      </w:r>
      <w:r>
        <w:rPr>
          <w:rFonts w:hint="eastAsia"/>
          <w:highlight w:val="none"/>
        </w:rPr>
        <w:t>202</w:t>
      </w:r>
      <w:r>
        <w:rPr>
          <w:rFonts w:hint="eastAsia"/>
          <w:highlight w:val="none"/>
          <w:lang w:val="en-US" w:eastAsia="zh-CN"/>
        </w:rPr>
        <w:t>2</w:t>
      </w:r>
      <w:r>
        <w:rPr>
          <w:rFonts w:hint="eastAsia"/>
          <w:highlight w:val="none"/>
        </w:rPr>
        <w:t>年</w:t>
      </w:r>
      <w:r>
        <w:rPr>
          <w:rFonts w:hint="eastAsia"/>
          <w:highlight w:val="none"/>
          <w:lang w:val="en-US" w:eastAsia="zh-CN"/>
        </w:rPr>
        <w:t>10</w:t>
      </w:r>
      <w:r>
        <w:rPr>
          <w:rFonts w:hint="eastAsia"/>
          <w:highlight w:val="none"/>
        </w:rPr>
        <w:t>月完工。</w:t>
      </w:r>
      <w:r>
        <w:rPr>
          <w:rFonts w:hint="eastAsia"/>
          <w:highlight w:val="none"/>
          <w:lang w:val="en-US" w:eastAsia="zh-CN"/>
        </w:rPr>
        <w:t>根</w:t>
      </w:r>
      <w:r>
        <w:rPr>
          <w:rFonts w:hint="eastAsia"/>
          <w:lang w:val="en-US" w:eastAsia="zh-CN"/>
        </w:rPr>
        <w:t>据本项目水土流失防治措施体系，及总体布局要求，在充分考虑主体工程设计中已有水土保持功能措施分析评价的基础上，按照水土保持法律法规和技术规范的要求，本方案分区布设不同部位水土流失防治措施。</w:t>
      </w:r>
    </w:p>
    <w:p>
      <w:pPr>
        <w:pStyle w:val="26"/>
        <w:ind w:left="0" w:leftChars="0" w:firstLine="0" w:firstLineChars="0"/>
        <w:rPr>
          <w:rFonts w:hint="eastAsia" w:ascii="Times New Roman" w:hAnsi="Times New Roman" w:eastAsia="仿宋_GB2312" w:cs="Times New Roman"/>
          <w:b/>
          <w:color w:val="000000"/>
          <w:spacing w:val="0"/>
          <w:kern w:val="0"/>
          <w:sz w:val="28"/>
          <w:szCs w:val="24"/>
          <w:lang w:val="en-US" w:eastAsia="zh-CN" w:bidi="ar-SA"/>
        </w:rPr>
      </w:pPr>
      <w:r>
        <w:rPr>
          <w:rFonts w:hint="eastAsia" w:ascii="Times New Roman" w:hAnsi="Times New Roman" w:eastAsia="仿宋_GB2312" w:cs="Times New Roman"/>
          <w:b/>
          <w:color w:val="000000"/>
          <w:spacing w:val="0"/>
          <w:kern w:val="0"/>
          <w:sz w:val="28"/>
          <w:szCs w:val="24"/>
          <w:lang w:val="en-US" w:eastAsia="zh-CN" w:bidi="ar-SA"/>
        </w:rPr>
        <w:t>5.3.1建构筑物区</w:t>
      </w:r>
    </w:p>
    <w:p>
      <w:pPr>
        <w:pStyle w:val="26"/>
        <w:ind w:firstLine="482"/>
        <w:rPr>
          <w:b/>
          <w:bCs/>
          <w:color w:val="auto"/>
        </w:rPr>
      </w:pPr>
      <w:r>
        <w:rPr>
          <w:b/>
          <w:bCs/>
          <w:color w:val="auto"/>
        </w:rPr>
        <w:t>主体设计措施：</w:t>
      </w:r>
    </w:p>
    <w:p>
      <w:pPr>
        <w:keepNext w:val="0"/>
        <w:keepLines w:val="0"/>
        <w:widowControl/>
        <w:suppressLineNumbers w:val="0"/>
        <w:ind w:firstLine="480" w:firstLineChars="200"/>
        <w:jc w:val="left"/>
      </w:pPr>
      <w:r>
        <w:rPr>
          <w:rFonts w:hint="eastAsia" w:eastAsia="宋体" w:cs="Times New Roman"/>
          <w:color w:val="000000"/>
          <w:kern w:val="0"/>
          <w:sz w:val="24"/>
          <w:szCs w:val="24"/>
          <w:lang w:val="en-US" w:eastAsia="zh-CN" w:bidi="ar"/>
        </w:rPr>
        <w:t>1</w:t>
      </w:r>
      <w:r>
        <w:rPr>
          <w:rFonts w:ascii="仿宋" w:hAnsi="仿宋" w:eastAsia="仿宋" w:cs="仿宋"/>
          <w:color w:val="000000"/>
          <w:kern w:val="0"/>
          <w:sz w:val="24"/>
          <w:szCs w:val="24"/>
          <w:lang w:val="en-US" w:eastAsia="zh-CN" w:bidi="ar"/>
        </w:rPr>
        <w:t>、临时措施</w:t>
      </w:r>
    </w:p>
    <w:p>
      <w:pPr>
        <w:bidi w:val="0"/>
        <w:ind w:firstLine="240" w:firstLineChars="1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临时</w:t>
      </w:r>
      <w:r>
        <w:rPr>
          <w:rFonts w:hint="eastAsia" w:ascii="仿宋" w:hAnsi="仿宋" w:eastAsia="仿宋" w:cs="仿宋"/>
          <w:color w:val="000000"/>
          <w:kern w:val="0"/>
          <w:sz w:val="24"/>
          <w:szCs w:val="24"/>
          <w:lang w:val="en-US" w:eastAsia="zh-CN" w:bidi="ar"/>
        </w:rPr>
        <w:t>排水沟（主体已列）</w:t>
      </w:r>
    </w:p>
    <w:p>
      <w:pPr>
        <w:pStyle w:val="33"/>
        <w:ind w:firstLine="480"/>
        <w:rPr>
          <w:rFonts w:hint="default" w:ascii="Times New Roman" w:hAnsi="Times New Roman" w:eastAsia="仿宋_GB2312" w:cs="Times New Roman"/>
          <w:color w:val="auto"/>
        </w:rPr>
      </w:pPr>
      <w:r>
        <w:rPr>
          <w:rFonts w:hint="eastAsia" w:ascii="仿宋" w:hAnsi="仿宋" w:eastAsia="仿宋" w:cs="仿宋"/>
          <w:color w:val="000000"/>
          <w:kern w:val="0"/>
          <w:sz w:val="24"/>
          <w:szCs w:val="24"/>
          <w:lang w:val="en-US" w:eastAsia="zh-CN" w:bidi="ar"/>
        </w:rPr>
        <w:t>项目区沿</w:t>
      </w:r>
      <w:r>
        <w:rPr>
          <w:rFonts w:hint="eastAsia" w:ascii="仿宋" w:hAnsi="仿宋" w:cs="仿宋"/>
          <w:color w:val="000000"/>
          <w:kern w:val="0"/>
          <w:sz w:val="24"/>
          <w:szCs w:val="24"/>
          <w:lang w:val="en-US" w:eastAsia="zh-CN" w:bidi="ar"/>
        </w:rPr>
        <w:t>建筑周围</w:t>
      </w:r>
      <w:r>
        <w:rPr>
          <w:rFonts w:hint="eastAsia" w:ascii="仿宋" w:hAnsi="仿宋" w:eastAsia="仿宋" w:cs="仿宋"/>
          <w:color w:val="000000"/>
          <w:kern w:val="0"/>
          <w:sz w:val="24"/>
          <w:szCs w:val="24"/>
          <w:lang w:val="en-US" w:eastAsia="zh-CN" w:bidi="ar"/>
        </w:rPr>
        <w:t>设置临时排水沟</w:t>
      </w:r>
      <w:r>
        <w:rPr>
          <w:rFonts w:hint="eastAsia" w:ascii="仿宋" w:hAnsi="仿宋" w:cs="仿宋"/>
          <w:color w:val="000000"/>
          <w:kern w:val="0"/>
          <w:sz w:val="24"/>
          <w:szCs w:val="24"/>
          <w:lang w:val="en-US" w:eastAsia="zh-CN" w:bidi="ar"/>
        </w:rPr>
        <w:t>170m，</w:t>
      </w:r>
      <w:r>
        <w:rPr>
          <w:rFonts w:hint="eastAsia" w:ascii="Times New Roman" w:hAnsi="Times New Roman" w:eastAsia="仿宋_GB2312" w:cs="Times New Roman"/>
          <w:color w:val="auto"/>
          <w:sz w:val="24"/>
          <w:szCs w:val="24"/>
          <w:lang w:val="zh-CN" w:eastAsia="zh-CN"/>
        </w:rPr>
        <w:t>梯</w:t>
      </w:r>
      <w:r>
        <w:rPr>
          <w:rFonts w:hint="default" w:ascii="Times New Roman" w:hAnsi="Times New Roman" w:eastAsia="仿宋_GB2312" w:cs="Times New Roman"/>
          <w:color w:val="auto"/>
          <w:sz w:val="24"/>
          <w:szCs w:val="24"/>
          <w:lang w:val="zh-CN"/>
        </w:rPr>
        <w:t>形</w:t>
      </w:r>
      <w:r>
        <w:rPr>
          <w:rFonts w:hint="default" w:ascii="Times New Roman" w:hAnsi="Times New Roman" w:eastAsia="仿宋_GB2312" w:cs="Times New Roman"/>
          <w:color w:val="auto"/>
        </w:rPr>
        <w:t>断面，</w:t>
      </w:r>
      <w:r>
        <w:rPr>
          <w:rFonts w:hint="default" w:ascii="Times New Roman" w:hAnsi="Times New Roman" w:eastAsia="仿宋_GB2312" w:cs="Times New Roman"/>
          <w:color w:val="auto"/>
          <w:sz w:val="24"/>
          <w:szCs w:val="24"/>
          <w:lang w:val="zh-CN"/>
        </w:rPr>
        <w:t>底宽0.3m，顶宽0.6m，坡比1:0.5，深为0.3m</w:t>
      </w:r>
      <w:r>
        <w:rPr>
          <w:rFonts w:hint="default" w:ascii="Times New Roman" w:hAnsi="Times New Roman" w:eastAsia="仿宋_GB2312" w:cs="Times New Roman"/>
          <w:color w:val="auto"/>
        </w:rPr>
        <w:t>。过水能力按明渠恒定均匀流计算：</w:t>
      </w:r>
    </w:p>
    <w:p>
      <w:pPr>
        <w:pStyle w:val="33"/>
        <w:spacing w:line="240" w:lineRule="auto"/>
        <w:ind w:firstLine="48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24"/>
          <w:szCs w:val="18"/>
          <w:lang w:val="sq-AL"/>
        </w:rPr>
        <w:object>
          <v:shape id="_x0000_i1031" o:spt="75" type="#_x0000_t75" style="height:18.45pt;width:59.9pt;" o:ole="t" filled="f" o:preferrelative="t" stroked="f" coordsize="21600,21600">
            <v:path/>
            <v:fill on="f" focussize="0,0"/>
            <v:stroke on="f" joinstyle="miter"/>
            <v:imagedata r:id="rId18" o:title=""/>
            <o:lock v:ext="edit" aspectratio="t"/>
            <w10:wrap type="none"/>
            <w10:anchorlock/>
          </v:shape>
          <o:OLEObject Type="Embed" ProgID="Equation.3" ShapeID="_x0000_i1031" DrawAspect="Content" ObjectID="_1468075731" r:id="rId27">
            <o:LockedField>false</o:LockedField>
          </o:OLEObject>
        </w:object>
      </w:r>
    </w:p>
    <w:p>
      <w:pPr>
        <w:pStyle w:val="33"/>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w:t>
      </w:r>
      <w:r>
        <w:rPr>
          <w:rFonts w:hint="default" w:ascii="Times New Roman" w:hAnsi="Times New Roman" w:eastAsia="仿宋_GB2312" w:cs="Times New Roman"/>
          <w:i/>
          <w:color w:val="auto"/>
        </w:rPr>
        <w:t>A</w:t>
      </w:r>
      <w:r>
        <w:rPr>
          <w:rFonts w:hint="default" w:ascii="Times New Roman" w:hAnsi="Times New Roman" w:eastAsia="仿宋_GB2312" w:cs="Times New Roman"/>
          <w:color w:val="auto"/>
        </w:rPr>
        <w:t>—过水断面面积（</w:t>
      </w:r>
      <w:r>
        <w:rPr>
          <w:rFonts w:hint="eastAsia" w:eastAsia="仿宋_GB2312" w:cs="Times New Roman"/>
          <w:color w:val="auto"/>
          <w:lang w:eastAsia="zh-CN"/>
        </w:rPr>
        <w:t>m²</w:t>
      </w:r>
      <w:r>
        <w:rPr>
          <w:rFonts w:hint="default" w:ascii="Times New Roman" w:hAnsi="Times New Roman" w:eastAsia="仿宋_GB2312" w:cs="Times New Roman"/>
          <w:color w:val="auto"/>
        </w:rPr>
        <w:t>）；</w:t>
      </w:r>
    </w:p>
    <w:p>
      <w:pPr>
        <w:pStyle w:val="33"/>
        <w:spacing w:line="240" w:lineRule="auto"/>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C</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sq-AL"/>
        </w:rPr>
        <w:t>谢才系数</w:t>
      </w:r>
      <w:r>
        <w:rPr>
          <w:rFonts w:hint="default" w:ascii="Times New Roman" w:hAnsi="Times New Roman" w:eastAsia="仿宋_GB2312" w:cs="Times New Roman"/>
          <w:color w:val="auto"/>
          <w:position w:val="-24"/>
          <w:szCs w:val="18"/>
          <w:lang w:val="sq-AL"/>
        </w:rPr>
        <w:object>
          <v:shape id="_x0000_i1032" o:spt="75" type="#_x0000_t75" style="height:34.55pt;width:46.1pt;" o:ole="t" filled="f" o:preferrelative="t" stroked="f" coordsize="21600,21600">
            <v:path/>
            <v:fill on="f" focussize="0,0"/>
            <v:stroke on="f" joinstyle="miter"/>
            <v:imagedata r:id="rId20" o:title=""/>
            <o:lock v:ext="edit" aspectratio="t"/>
            <w10:wrap type="none"/>
            <w10:anchorlock/>
          </v:shape>
          <o:OLEObject Type="Embed" ProgID="Equation.3" ShapeID="_x0000_i1032" DrawAspect="Content" ObjectID="_1468075732" r:id="rId28">
            <o:LockedField>false</o:LockedField>
          </o:OLEObject>
        </w:object>
      </w:r>
      <w:r>
        <w:rPr>
          <w:rFonts w:hint="default" w:ascii="Times New Roman" w:hAnsi="Times New Roman" w:eastAsia="仿宋_GB2312" w:cs="Times New Roman"/>
          <w:color w:val="auto"/>
          <w:position w:val="-24"/>
          <w:lang w:val="sq-AL"/>
        </w:rPr>
        <w:t>；</w:t>
      </w:r>
      <w:r>
        <w:rPr>
          <w:rFonts w:hint="default" w:ascii="Times New Roman" w:hAnsi="Times New Roman" w:eastAsia="仿宋_GB2312" w:cs="Times New Roman"/>
          <w:i/>
          <w:color w:val="auto"/>
          <w:lang w:val="sq-AL"/>
        </w:rPr>
        <w:t>R</w:t>
      </w:r>
      <w:r>
        <w:rPr>
          <w:rFonts w:hint="default" w:ascii="Times New Roman" w:hAnsi="Times New Roman" w:eastAsia="仿宋_GB2312" w:cs="Times New Roman"/>
          <w:color w:val="auto"/>
          <w:lang w:val="sq-AL"/>
        </w:rPr>
        <w:t>—水力半径（=</w:t>
      </w:r>
      <w:r>
        <w:rPr>
          <w:rFonts w:hint="default" w:ascii="Times New Roman" w:hAnsi="Times New Roman" w:eastAsia="仿宋_GB2312" w:cs="Times New Roman"/>
          <w:i/>
          <w:color w:val="auto"/>
          <w:lang w:val="sq-AL"/>
        </w:rPr>
        <w:t>A/</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w:t>
      </w:r>
    </w:p>
    <w:p>
      <w:pPr>
        <w:pStyle w:val="33"/>
        <w:ind w:firstLine="480"/>
        <w:rPr>
          <w:rFonts w:hint="default" w:ascii="Times New Roman" w:hAnsi="Times New Roman" w:eastAsia="仿宋_GB2312" w:cs="Times New Roman"/>
          <w:color w:val="auto"/>
          <w:lang w:val="sq-AL"/>
        </w:rPr>
      </w:pP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—糙率</w:t>
      </w:r>
      <w:r>
        <w:rPr>
          <w:rFonts w:hint="eastAsia" w:ascii="Times New Roman" w:hAnsi="Times New Roman" w:cs="Times New Roman"/>
          <w:color w:val="auto"/>
          <w:lang w:val="sq-AL" w:eastAsia="zh-CN"/>
        </w:rPr>
        <w:t>，</w:t>
      </w:r>
      <w:r>
        <w:rPr>
          <w:rFonts w:hint="default" w:ascii="Times New Roman" w:hAnsi="Times New Roman" w:eastAsia="仿宋_GB2312" w:cs="Times New Roman"/>
          <w:color w:val="auto"/>
          <w:lang w:val="sq-AL"/>
        </w:rPr>
        <w:t>取</w:t>
      </w:r>
      <w:r>
        <w:rPr>
          <w:rFonts w:hint="default" w:ascii="Times New Roman" w:hAnsi="Times New Roman" w:eastAsia="仿宋_GB2312" w:cs="Times New Roman"/>
          <w:i/>
          <w:color w:val="auto"/>
          <w:lang w:val="sq-AL"/>
        </w:rPr>
        <w:t>n</w:t>
      </w:r>
      <w:r>
        <w:rPr>
          <w:rFonts w:hint="default" w:ascii="Times New Roman" w:hAnsi="Times New Roman" w:eastAsia="仿宋_GB2312" w:cs="Times New Roman"/>
          <w:color w:val="auto"/>
          <w:lang w:val="sq-AL"/>
        </w:rPr>
        <w:t>=0.0</w:t>
      </w:r>
      <w:r>
        <w:rPr>
          <w:rFonts w:hint="default" w:ascii="Times New Roman" w:hAnsi="Times New Roman" w:eastAsia="仿宋_GB2312" w:cs="Times New Roman"/>
          <w:color w:val="auto"/>
        </w:rPr>
        <w:t>15</w:t>
      </w:r>
      <w:r>
        <w:rPr>
          <w:rFonts w:hint="default" w:ascii="Times New Roman" w:hAnsi="Times New Roman" w:eastAsia="仿宋_GB2312" w:cs="Times New Roman"/>
          <w:color w:val="auto"/>
          <w:lang w:val="sq-AL"/>
        </w:rPr>
        <w:t>；</w:t>
      </w:r>
      <w:r>
        <w:rPr>
          <w:rFonts w:hint="default" w:ascii="Times New Roman" w:hAnsi="Times New Roman" w:eastAsia="仿宋_GB2312" w:cs="Times New Roman"/>
          <w:color w:val="auto"/>
        </w:rPr>
        <w:t>λ</w:t>
      </w:r>
      <w:r>
        <w:rPr>
          <w:rFonts w:hint="default" w:ascii="Times New Roman" w:hAnsi="Times New Roman" w:eastAsia="仿宋_GB2312" w:cs="Times New Roman"/>
          <w:color w:val="auto"/>
          <w:lang w:val="sq-AL"/>
        </w:rPr>
        <w:t>—湿周；</w:t>
      </w:r>
      <w:r>
        <w:rPr>
          <w:rFonts w:hint="default" w:ascii="Times New Roman" w:hAnsi="Times New Roman" w:eastAsia="仿宋_GB2312" w:cs="Times New Roman"/>
          <w:i/>
          <w:color w:val="auto"/>
          <w:lang w:val="sq-AL"/>
        </w:rPr>
        <w:t>i</w:t>
      </w:r>
      <w:r>
        <w:rPr>
          <w:rFonts w:hint="default" w:ascii="Times New Roman" w:hAnsi="Times New Roman" w:eastAsia="仿宋_GB2312" w:cs="Times New Roman"/>
          <w:color w:val="auto"/>
          <w:lang w:val="sq-AL"/>
        </w:rPr>
        <w:t>—沟道纵坡，取</w:t>
      </w:r>
      <w:r>
        <w:rPr>
          <w:rFonts w:hint="default" w:ascii="Times New Roman" w:hAnsi="Times New Roman" w:eastAsia="仿宋_GB2312" w:cs="Times New Roman"/>
          <w:color w:val="auto"/>
        </w:rPr>
        <w:t>5</w:t>
      </w:r>
      <w:r>
        <w:rPr>
          <w:rFonts w:hint="default" w:ascii="Times New Roman" w:hAnsi="Times New Roman" w:eastAsia="仿宋_GB2312" w:cs="Times New Roman"/>
          <w:color w:val="auto"/>
          <w:lang w:val="sq-AL"/>
        </w:rPr>
        <w:t>‰。</w:t>
      </w:r>
    </w:p>
    <w:p>
      <w:pPr>
        <w:tabs>
          <w:tab w:val="left" w:pos="422"/>
        </w:tabs>
        <w:spacing w:line="360" w:lineRule="auto"/>
        <w:ind w:firstLine="480"/>
        <w:rPr>
          <w:rFonts w:hint="default" w:ascii="Times New Roman" w:hAnsi="Times New Roman" w:eastAsia="仿宋_GB2312" w:cs="Times New Roman"/>
          <w:color w:val="auto"/>
          <w:sz w:val="24"/>
          <w:szCs w:val="22"/>
          <w:lang w:val="en-US" w:eastAsia="zh-CN"/>
        </w:rPr>
      </w:pPr>
      <w:r>
        <w:rPr>
          <w:rFonts w:hint="default" w:ascii="Times New Roman" w:hAnsi="Times New Roman" w:eastAsia="仿宋_GB2312" w:cs="Times New Roman"/>
          <w:color w:val="auto"/>
          <w:sz w:val="24"/>
          <w:szCs w:val="22"/>
          <w:lang w:val="en-US" w:eastAsia="zh-CN"/>
        </w:rPr>
        <w:t>经计算排水沟过流能力Q=0.0</w:t>
      </w:r>
      <w:r>
        <w:rPr>
          <w:rFonts w:hint="eastAsia" w:ascii="Times New Roman" w:hAnsi="Times New Roman" w:eastAsia="仿宋_GB2312" w:cs="Times New Roman"/>
          <w:color w:val="auto"/>
          <w:sz w:val="24"/>
          <w:szCs w:val="22"/>
          <w:lang w:val="en-US" w:eastAsia="zh-CN"/>
        </w:rPr>
        <w:t>8</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r>
        <w:rPr>
          <w:rFonts w:hint="default" w:ascii="Times New Roman" w:hAnsi="Times New Roman" w:eastAsia="仿宋_GB2312" w:cs="Times New Roman"/>
          <w:color w:val="auto"/>
          <w:sz w:val="24"/>
          <w:szCs w:val="22"/>
          <w:lang w:val="en-US" w:eastAsia="zh-CN"/>
        </w:rPr>
        <w:t>大于洪峰流量Qs=0.06</w:t>
      </w:r>
      <w:r>
        <w:rPr>
          <w:rFonts w:hint="eastAsia" w:eastAsia="仿宋_GB2312" w:cs="Times New Roman"/>
          <w:color w:val="auto"/>
          <w:sz w:val="24"/>
          <w:szCs w:val="22"/>
          <w:lang w:val="sq-AL" w:eastAsia="zh-CN"/>
        </w:rPr>
        <w:t>m³</w:t>
      </w:r>
      <w:r>
        <w:rPr>
          <w:rFonts w:hint="default" w:ascii="Times New Roman" w:hAnsi="Times New Roman" w:eastAsia="仿宋_GB2312" w:cs="Times New Roman"/>
          <w:color w:val="auto"/>
          <w:sz w:val="24"/>
          <w:szCs w:val="22"/>
          <w:lang w:val="sq-AL" w:eastAsia="zh-CN"/>
        </w:rPr>
        <w:t>/s。</w:t>
      </w:r>
    </w:p>
    <w:p>
      <w:pPr>
        <w:pStyle w:val="26"/>
        <w:numPr>
          <w:ilvl w:val="0"/>
          <w:numId w:val="0"/>
        </w:numPr>
        <w:ind w:firstLine="480" w:firstLineChars="200"/>
        <w:rPr>
          <w:rFonts w:hint="eastAsia" w:ascii="仿宋" w:hAnsi="仿宋" w:eastAsia="仿宋" w:cs="仿宋"/>
          <w:color w:val="000000"/>
          <w:kern w:val="0"/>
          <w:sz w:val="24"/>
          <w:szCs w:val="24"/>
          <w:lang w:val="en-US" w:eastAsia="zh-CN" w:bidi="ar"/>
        </w:rPr>
      </w:pPr>
      <w:r>
        <w:rPr>
          <w:rFonts w:hint="eastAsia" w:ascii="仿宋" w:hAnsi="仿宋" w:cs="仿宋"/>
          <w:color w:val="000000"/>
          <w:kern w:val="0"/>
          <w:sz w:val="24"/>
          <w:szCs w:val="24"/>
          <w:lang w:val="en-US" w:eastAsia="zh-CN" w:bidi="ar"/>
        </w:rPr>
        <w:t>（2）临时</w:t>
      </w:r>
      <w:r>
        <w:rPr>
          <w:rFonts w:hint="eastAsia" w:ascii="仿宋" w:hAnsi="仿宋" w:eastAsia="仿宋" w:cs="仿宋"/>
          <w:color w:val="000000"/>
          <w:kern w:val="0"/>
          <w:sz w:val="24"/>
          <w:szCs w:val="24"/>
          <w:lang w:val="en-US" w:eastAsia="zh-CN" w:bidi="ar"/>
        </w:rPr>
        <w:t>沉砂池（主体已列）</w:t>
      </w:r>
    </w:p>
    <w:p>
      <w:pPr>
        <w:pStyle w:val="26"/>
        <w:numPr>
          <w:ilvl w:val="0"/>
          <w:numId w:val="0"/>
        </w:numPr>
        <w:ind w:firstLine="480" w:firstLineChars="200"/>
        <w:rPr>
          <w:rFonts w:hint="eastAsia" w:cs="Times New Roman"/>
          <w:color w:val="auto"/>
          <w:szCs w:val="24"/>
          <w:lang w:val="en-US" w:eastAsia="zh-CN"/>
        </w:rPr>
      </w:pPr>
      <w:r>
        <w:rPr>
          <w:rFonts w:hint="eastAsia"/>
          <w:color w:val="000000"/>
          <w:lang w:val="en-US" w:eastAsia="zh-CN"/>
        </w:rPr>
        <w:t>主体在建筑构物区南侧布设临时沉砂池1口，</w:t>
      </w:r>
      <w:r>
        <w:rPr>
          <w:rFonts w:hint="eastAsia"/>
          <w:lang w:val="en-US" w:eastAsia="zh-CN"/>
        </w:rPr>
        <w:t>出口为市政雨水管网，用于沉淀排入市政雨水管网的雨水泥沙，防止其进入雨水管网产生水土流失，同时能有效预防市政管道堵塞。</w:t>
      </w:r>
      <w:r>
        <w:rPr>
          <w:rFonts w:hint="eastAsia"/>
          <w:color w:val="auto"/>
          <w:sz w:val="24"/>
          <w:szCs w:val="24"/>
          <w:lang w:val="en-US" w:eastAsia="zh-CN"/>
        </w:rPr>
        <w:t>沉砂池采用梯形断面，坡比1：0.5，尺寸</w:t>
      </w:r>
      <w:r>
        <w:rPr>
          <w:rFonts w:hint="eastAsia"/>
          <w:color w:val="auto"/>
          <w:sz w:val="24"/>
          <w:szCs w:val="24"/>
        </w:rPr>
        <w:t>规格为</w:t>
      </w:r>
      <w:r>
        <w:rPr>
          <w:rFonts w:hint="eastAsia"/>
          <w:color w:val="auto"/>
          <w:sz w:val="24"/>
          <w:szCs w:val="24"/>
          <w:lang w:val="en-US" w:eastAsia="zh-CN"/>
        </w:rPr>
        <w:t>2</w:t>
      </w:r>
      <w:r>
        <w:rPr>
          <w:rFonts w:hint="eastAsia" w:cs="Times New Roman"/>
          <w:color w:val="auto"/>
          <w:szCs w:val="24"/>
          <w:lang w:eastAsia="zh-CN"/>
        </w:rPr>
        <w:t>.</w:t>
      </w:r>
      <w:r>
        <w:rPr>
          <w:rFonts w:hint="eastAsia" w:cs="Times New Roman"/>
          <w:color w:val="auto"/>
          <w:szCs w:val="24"/>
          <w:lang w:val="en-US" w:eastAsia="zh-CN"/>
        </w:rPr>
        <w:t>0</w:t>
      </w:r>
      <w:r>
        <w:rPr>
          <w:rFonts w:hint="eastAsia" w:cs="Times New Roman"/>
          <w:color w:val="auto"/>
          <w:szCs w:val="24"/>
          <w:lang w:eastAsia="zh-CN"/>
        </w:rPr>
        <w:t>m×1.0m×</w:t>
      </w:r>
      <w:r>
        <w:rPr>
          <w:rFonts w:hint="eastAsia" w:cs="Times New Roman"/>
          <w:color w:val="auto"/>
          <w:szCs w:val="24"/>
          <w:lang w:val="en-US" w:eastAsia="zh-CN"/>
        </w:rPr>
        <w:t>0.5</w:t>
      </w:r>
      <w:r>
        <w:rPr>
          <w:rFonts w:cs="Times New Roman"/>
          <w:color w:val="auto"/>
          <w:szCs w:val="24"/>
        </w:rPr>
        <w:t>m</w:t>
      </w:r>
      <w:r>
        <w:rPr>
          <w:rFonts w:hint="eastAsia" w:cs="Times New Roman"/>
          <w:color w:val="auto"/>
          <w:szCs w:val="24"/>
        </w:rPr>
        <w:t>（长</w:t>
      </w:r>
      <w:r>
        <w:rPr>
          <w:rFonts w:cs="Times New Roman"/>
          <w:color w:val="auto"/>
          <w:szCs w:val="24"/>
        </w:rPr>
        <w:t>×</w:t>
      </w:r>
      <w:r>
        <w:rPr>
          <w:rFonts w:hint="eastAsia" w:cs="Times New Roman"/>
          <w:color w:val="auto"/>
          <w:szCs w:val="24"/>
        </w:rPr>
        <w:t>宽</w:t>
      </w:r>
      <w:r>
        <w:rPr>
          <w:rFonts w:cs="Times New Roman"/>
          <w:color w:val="auto"/>
          <w:szCs w:val="24"/>
        </w:rPr>
        <w:t>×</w:t>
      </w:r>
      <w:r>
        <w:rPr>
          <w:rFonts w:hint="eastAsia" w:cs="Times New Roman"/>
          <w:color w:val="auto"/>
          <w:szCs w:val="24"/>
        </w:rPr>
        <w:t>深）</w:t>
      </w:r>
      <w:r>
        <w:rPr>
          <w:rFonts w:hint="eastAsia" w:cs="Times New Roman"/>
          <w:color w:val="auto"/>
          <w:szCs w:val="24"/>
          <w:lang w:val="en-US" w:eastAsia="zh-CN"/>
        </w:rPr>
        <w:t>的土质沉砂池。</w:t>
      </w:r>
    </w:p>
    <w:p>
      <w:pPr>
        <w:keepNext w:val="0"/>
        <w:keepLines w:val="0"/>
        <w:widowControl/>
        <w:suppressLineNumbers w:val="0"/>
        <w:ind w:firstLine="482" w:firstLineChars="200"/>
        <w:jc w:val="left"/>
        <w:rPr>
          <w:rFonts w:hint="default" w:ascii="仿宋" w:hAnsi="仿宋" w:eastAsia="仿宋" w:cs="仿宋"/>
          <w:color w:val="000000"/>
          <w:kern w:val="0"/>
          <w:sz w:val="24"/>
          <w:szCs w:val="24"/>
          <w:lang w:val="en-US" w:eastAsia="zh-CN" w:bidi="ar"/>
        </w:rPr>
      </w:pPr>
      <w:r>
        <w:rPr>
          <w:rFonts w:hint="default" w:ascii="Times New Roman" w:hAnsi="Times New Roman" w:eastAsia="仿宋_GB2312" w:cs="Times New Roman"/>
          <w:b/>
          <w:bCs/>
          <w:color w:val="auto"/>
          <w:kern w:val="0"/>
          <w:sz w:val="24"/>
          <w:szCs w:val="28"/>
          <w:lang w:val="en-US" w:eastAsia="zh-CN" w:bidi="ar-SA"/>
        </w:rPr>
        <w:t>方案新增的水土保持措施</w:t>
      </w:r>
      <w:r>
        <w:rPr>
          <w:rFonts w:hint="eastAsia" w:ascii="Times New Roman" w:hAnsi="Times New Roman" w:eastAsia="仿宋_GB2312" w:cs="Times New Roman"/>
          <w:b/>
          <w:bCs/>
          <w:color w:val="auto"/>
          <w:kern w:val="0"/>
          <w:sz w:val="24"/>
          <w:szCs w:val="28"/>
          <w:lang w:val="en-US" w:eastAsia="zh-CN" w:bidi="ar-SA"/>
        </w:rPr>
        <w:t>:</w:t>
      </w:r>
    </w:p>
    <w:p>
      <w:pPr>
        <w:numPr>
          <w:ilvl w:val="0"/>
          <w:numId w:val="0"/>
        </w:numPr>
        <w:bidi w:val="0"/>
        <w:ind w:firstLine="480" w:firstLineChars="200"/>
        <w:rPr>
          <w:rFonts w:hint="eastAsia"/>
          <w:color w:val="000000"/>
          <w:vertAlign w:val="baseline"/>
          <w:lang w:val="en-US" w:eastAsia="zh-CN"/>
        </w:rPr>
      </w:pPr>
      <w:r>
        <w:rPr>
          <w:rFonts w:hint="eastAsia"/>
          <w:lang w:val="en-US" w:eastAsia="zh-CN"/>
        </w:rPr>
        <w:t>项目将在施工期间，对施工场地内裸露的土壤和部分堆放材料进行防雨布临时遮盖，共计需要实施遮盖约1200m²</w:t>
      </w:r>
      <w:r>
        <w:rPr>
          <w:rFonts w:hint="eastAsia"/>
          <w:color w:val="000000"/>
          <w:vertAlign w:val="baseline"/>
          <w:lang w:eastAsia="zh-CN"/>
        </w:rPr>
        <w:t>。</w:t>
      </w:r>
      <w:r>
        <w:rPr>
          <w:rFonts w:hint="eastAsia"/>
          <w:color w:val="000000"/>
          <w:vertAlign w:val="baseline"/>
          <w:lang w:val="en-US" w:eastAsia="zh-CN"/>
        </w:rPr>
        <w:t>能够一定程度上防止雨水冲刷引起的水土流失和避免场地扬尘产生，且防雨布可重复利用。</w:t>
      </w:r>
    </w:p>
    <w:p>
      <w:pPr>
        <w:pStyle w:val="25"/>
      </w:pPr>
      <w:r>
        <w:rPr>
          <w:rFonts w:hint="eastAsia"/>
        </w:rPr>
        <w:t>表5-</w:t>
      </w:r>
      <w:r>
        <w:rPr>
          <w:rFonts w:hint="eastAsia"/>
          <w:lang w:val="en-US" w:eastAsia="zh-CN"/>
        </w:rPr>
        <w:t>3建筑构物</w:t>
      </w:r>
      <w:r>
        <w:rPr>
          <w:rFonts w:hint="eastAsia"/>
        </w:rPr>
        <w:t>区水土保持措施汇总表</w:t>
      </w:r>
    </w:p>
    <w:tbl>
      <w:tblPr>
        <w:tblStyle w:val="19"/>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44"/>
        <w:gridCol w:w="1216"/>
        <w:gridCol w:w="2893"/>
        <w:gridCol w:w="1224"/>
        <w:gridCol w:w="1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544" w:type="dxa"/>
            <w:tcBorders>
              <w:top w:val="single" w:color="auto" w:sz="4" w:space="0"/>
              <w:left w:val="single" w:color="auto" w:sz="4" w:space="0"/>
              <w:bottom w:val="single" w:color="auto" w:sz="4" w:space="0"/>
              <w:right w:val="single" w:color="auto" w:sz="4" w:space="0"/>
            </w:tcBorders>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项目分区</w:t>
            </w:r>
          </w:p>
        </w:tc>
        <w:tc>
          <w:tcPr>
            <w:tcW w:w="1216" w:type="dxa"/>
            <w:tcBorders>
              <w:top w:val="single" w:color="auto" w:sz="4" w:space="0"/>
              <w:left w:val="single" w:color="auto" w:sz="4" w:space="0"/>
              <w:bottom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措施类型</w:t>
            </w:r>
          </w:p>
        </w:tc>
        <w:tc>
          <w:tcPr>
            <w:tcW w:w="2893" w:type="dxa"/>
            <w:tcBorders>
              <w:top w:val="single" w:color="auto" w:sz="4" w:space="0"/>
              <w:left w:val="single" w:color="auto" w:sz="4" w:space="0"/>
              <w:bottom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措施名称</w:t>
            </w:r>
          </w:p>
        </w:tc>
        <w:tc>
          <w:tcPr>
            <w:tcW w:w="1224" w:type="dxa"/>
            <w:tcBorders>
              <w:top w:val="single" w:color="auto" w:sz="4" w:space="0"/>
              <w:left w:val="single" w:color="auto" w:sz="4" w:space="0"/>
              <w:bottom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单位</w:t>
            </w:r>
          </w:p>
        </w:tc>
        <w:tc>
          <w:tcPr>
            <w:tcW w:w="1459" w:type="dxa"/>
            <w:tcBorders>
              <w:top w:val="single" w:color="auto" w:sz="4" w:space="0"/>
              <w:left w:val="single" w:color="auto" w:sz="4" w:space="0"/>
              <w:bottom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restart"/>
            <w:tcBorders>
              <w:top w:val="single" w:color="auto" w:sz="4" w:space="0"/>
              <w:left w:val="single" w:color="auto" w:sz="4" w:space="0"/>
              <w:right w:val="single" w:color="auto" w:sz="4" w:space="0"/>
            </w:tcBorders>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建筑构物区</w:t>
            </w:r>
          </w:p>
        </w:tc>
        <w:tc>
          <w:tcPr>
            <w:tcW w:w="1216" w:type="dxa"/>
            <w:vMerge w:val="restart"/>
            <w:tcBorders>
              <w:top w:val="single" w:color="auto" w:sz="4" w:space="0"/>
              <w:left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临时措施</w:t>
            </w:r>
          </w:p>
        </w:tc>
        <w:tc>
          <w:tcPr>
            <w:tcW w:w="2893"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临时排水沟</w:t>
            </w:r>
          </w:p>
        </w:tc>
        <w:tc>
          <w:tcPr>
            <w:tcW w:w="1224"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w:t>
            </w:r>
          </w:p>
        </w:tc>
        <w:tc>
          <w:tcPr>
            <w:tcW w:w="1459"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544" w:type="dxa"/>
            <w:vMerge w:val="continue"/>
            <w:tcBorders>
              <w:left w:val="single" w:color="auto" w:sz="4" w:space="0"/>
              <w:right w:val="single" w:color="auto" w:sz="4" w:space="0"/>
            </w:tcBorders>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1216" w:type="dxa"/>
            <w:vMerge w:val="continue"/>
            <w:tcBorders>
              <w:left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2893"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临时沉砂池</w:t>
            </w:r>
          </w:p>
        </w:tc>
        <w:tc>
          <w:tcPr>
            <w:tcW w:w="1224"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口</w:t>
            </w:r>
          </w:p>
        </w:tc>
        <w:tc>
          <w:tcPr>
            <w:tcW w:w="1459"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544" w:type="dxa"/>
            <w:vMerge w:val="continue"/>
            <w:tcBorders>
              <w:left w:val="single" w:color="auto" w:sz="4" w:space="0"/>
              <w:bottom w:val="single" w:color="auto" w:sz="4" w:space="0"/>
              <w:right w:val="single" w:color="auto" w:sz="4" w:space="0"/>
            </w:tcBorders>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1216" w:type="dxa"/>
            <w:vMerge w:val="continue"/>
            <w:tcBorders>
              <w:left w:val="single" w:color="auto" w:sz="4" w:space="0"/>
              <w:bottom w:val="single" w:color="auto" w:sz="4" w:space="0"/>
              <w:right w:val="single" w:color="auto" w:sz="4" w:space="0"/>
            </w:tcBorders>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2893"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临时遮盖</w:t>
            </w:r>
          </w:p>
        </w:tc>
        <w:tc>
          <w:tcPr>
            <w:tcW w:w="1224"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m²</w:t>
            </w:r>
          </w:p>
        </w:tc>
        <w:tc>
          <w:tcPr>
            <w:tcW w:w="1459" w:type="dxa"/>
            <w:tcBorders>
              <w:top w:val="single" w:color="auto" w:sz="4" w:space="0"/>
              <w:left w:val="single" w:color="auto" w:sz="4" w:space="0"/>
              <w:bottom w:val="single" w:color="auto" w:sz="4" w:space="0"/>
              <w:right w:val="single" w:color="auto" w:sz="4" w:space="0"/>
            </w:tcBorders>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1200</w:t>
            </w:r>
          </w:p>
        </w:tc>
      </w:tr>
    </w:tbl>
    <w:p>
      <w:pPr>
        <w:pStyle w:val="26"/>
        <w:numPr>
          <w:ilvl w:val="0"/>
          <w:numId w:val="0"/>
        </w:numPr>
        <w:rPr>
          <w:rFonts w:hint="eastAsia"/>
          <w:b/>
          <w:bCs/>
          <w:color w:val="auto"/>
        </w:rPr>
      </w:pPr>
      <w:r>
        <w:rPr>
          <w:rFonts w:hint="eastAsia"/>
          <w:b/>
          <w:bCs/>
          <w:color w:val="auto"/>
          <w:lang w:val="en-US" w:eastAsia="zh-CN"/>
        </w:rPr>
        <w:t xml:space="preserve">5.3.2 </w:t>
      </w:r>
      <w:r>
        <w:rPr>
          <w:rFonts w:hint="eastAsia"/>
          <w:b/>
          <w:bCs/>
          <w:color w:val="auto"/>
          <w:lang w:eastAsia="zh-CN"/>
        </w:rPr>
        <w:t>附属设施</w:t>
      </w:r>
      <w:r>
        <w:rPr>
          <w:rFonts w:hint="eastAsia"/>
          <w:b/>
          <w:bCs/>
          <w:color w:val="auto"/>
        </w:rPr>
        <w:t>区</w:t>
      </w:r>
    </w:p>
    <w:p>
      <w:pPr>
        <w:pStyle w:val="26"/>
        <w:ind w:firstLine="482"/>
        <w:rPr>
          <w:rFonts w:ascii="仿宋" w:hAnsi="仿宋" w:eastAsia="仿宋" w:cs="仿宋"/>
          <w:color w:val="000000"/>
          <w:kern w:val="0"/>
          <w:sz w:val="24"/>
          <w:szCs w:val="24"/>
          <w:lang w:val="en-US" w:eastAsia="zh-CN" w:bidi="ar"/>
        </w:rPr>
      </w:pPr>
      <w:r>
        <w:rPr>
          <w:b/>
          <w:bCs/>
          <w:color w:val="auto"/>
        </w:rPr>
        <w:t>主体设计措施：</w:t>
      </w:r>
    </w:p>
    <w:p>
      <w:pPr>
        <w:pStyle w:val="26"/>
        <w:ind w:firstLine="482"/>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1、工程措施</w:t>
      </w:r>
    </w:p>
    <w:p>
      <w:pPr>
        <w:bidi w:val="0"/>
        <w:ind w:firstLine="240" w:firstLineChars="100"/>
        <w:jc w:val="both"/>
        <w:rPr>
          <w:rFonts w:hint="eastAsia"/>
          <w:lang w:val="en-US" w:eastAsia="zh-CN"/>
        </w:rPr>
      </w:pPr>
      <w:r>
        <w:rPr>
          <w:rFonts w:hint="eastAsia"/>
          <w:lang w:val="en-US" w:eastAsia="zh-CN"/>
        </w:rPr>
        <w:t>（1）排水工程（主体已列）</w:t>
      </w:r>
    </w:p>
    <w:p>
      <w:pPr>
        <w:adjustRightInd/>
        <w:snapToGrid/>
        <w:ind w:firstLine="480"/>
        <w:rPr>
          <w:rFonts w:hint="default" w:ascii="Times New Roman" w:hAnsi="Times New Roman" w:cs="Times New Roman"/>
          <w:color w:val="auto"/>
          <w:szCs w:val="24"/>
        </w:rPr>
      </w:pPr>
      <w:r>
        <w:rPr>
          <w:rFonts w:hint="default" w:ascii="Times New Roman" w:hAnsi="Times New Roman" w:cs="Times New Roman"/>
          <w:color w:val="auto"/>
          <w:szCs w:val="24"/>
        </w:rPr>
        <w:t>本</w:t>
      </w:r>
      <w:r>
        <w:rPr>
          <w:rFonts w:hint="eastAsia" w:cs="Times New Roman"/>
          <w:color w:val="auto"/>
          <w:szCs w:val="24"/>
          <w:lang w:eastAsia="zh-CN"/>
        </w:rPr>
        <w:t>工程区</w:t>
      </w:r>
      <w:r>
        <w:rPr>
          <w:rFonts w:hint="default" w:ascii="Times New Roman" w:hAnsi="Times New Roman" w:cs="Times New Roman"/>
          <w:color w:val="auto"/>
          <w:szCs w:val="24"/>
        </w:rPr>
        <w:t>主体设计的排水工程包括雨水管、雨水井、雨水口等</w:t>
      </w:r>
      <w:r>
        <w:rPr>
          <w:rFonts w:hint="eastAsia" w:cs="Times New Roman"/>
          <w:color w:val="auto"/>
          <w:szCs w:val="24"/>
          <w:lang w:eastAsia="zh-CN"/>
        </w:rPr>
        <w:t>。</w:t>
      </w:r>
      <w:r>
        <w:rPr>
          <w:rFonts w:hint="default" w:ascii="Times New Roman" w:hAnsi="Times New Roman" w:cs="Times New Roman"/>
          <w:color w:val="auto"/>
          <w:szCs w:val="24"/>
        </w:rPr>
        <w:t>经统计，主体设计在本区布设</w:t>
      </w:r>
      <w:r>
        <w:rPr>
          <w:rFonts w:hint="default" w:ascii="Times New Roman" w:hAnsi="Times New Roman" w:cs="Times New Roman"/>
          <w:color w:val="auto"/>
          <w:szCs w:val="24"/>
          <w:lang w:val="en-US" w:eastAsia="zh-CN"/>
        </w:rPr>
        <w:t>雨水管（聚乙烯PE缠绕结构壁管）</w:t>
      </w:r>
      <w:r>
        <w:rPr>
          <w:rFonts w:hint="eastAsia" w:ascii="Times New Roman" w:hAnsi="Times New Roman" w:cs="Times New Roman"/>
          <w:color w:val="auto"/>
          <w:szCs w:val="24"/>
          <w:lang w:val="en-US" w:eastAsia="zh-CN"/>
        </w:rPr>
        <w:t>DN200</w:t>
      </w:r>
      <w:r>
        <w:rPr>
          <w:rFonts w:hint="default" w:ascii="Times New Roman" w:hAnsi="Times New Roman" w:cs="Times New Roman"/>
          <w:color w:val="auto"/>
          <w:szCs w:val="24"/>
        </w:rPr>
        <w:t>共</w:t>
      </w:r>
      <w:r>
        <w:rPr>
          <w:rFonts w:hint="eastAsia" w:ascii="Times New Roman" w:hAnsi="Times New Roman" w:cs="Times New Roman"/>
          <w:color w:val="auto"/>
          <w:szCs w:val="24"/>
          <w:lang w:val="en-US" w:eastAsia="zh-CN"/>
        </w:rPr>
        <w:t>450</w:t>
      </w:r>
      <w:r>
        <w:rPr>
          <w:rFonts w:hint="default" w:ascii="Times New Roman" w:hAnsi="Times New Roman" w:cs="Times New Roman"/>
          <w:color w:val="auto"/>
          <w:szCs w:val="24"/>
        </w:rPr>
        <w:t>m</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DN400共41</w:t>
      </w:r>
      <w:r>
        <w:rPr>
          <w:rFonts w:hint="eastAsia" w:cs="Times New Roman"/>
          <w:color w:val="auto"/>
          <w:szCs w:val="24"/>
          <w:lang w:val="en-US" w:eastAsia="zh-CN"/>
        </w:rPr>
        <w:t>0m、DN600共7m</w:t>
      </w:r>
      <w:r>
        <w:rPr>
          <w:rFonts w:hint="default" w:ascii="Times New Roman" w:hAnsi="Times New Roman" w:cs="Times New Roman"/>
          <w:color w:val="auto"/>
          <w:szCs w:val="24"/>
        </w:rPr>
        <w:t>，沿雨水管布设的雨水检查井</w:t>
      </w:r>
      <w:r>
        <w:rPr>
          <w:rFonts w:hint="eastAsia" w:cs="Times New Roman"/>
          <w:color w:val="auto"/>
          <w:szCs w:val="24"/>
          <w:lang w:val="en-US" w:eastAsia="zh-CN"/>
        </w:rPr>
        <w:t>28</w:t>
      </w:r>
      <w:r>
        <w:rPr>
          <w:rFonts w:hint="default" w:ascii="Times New Roman" w:hAnsi="Times New Roman" w:cs="Times New Roman"/>
          <w:color w:val="auto"/>
          <w:szCs w:val="24"/>
        </w:rPr>
        <w:t>座，</w:t>
      </w:r>
      <w:r>
        <w:rPr>
          <w:rFonts w:hint="eastAsia" w:cs="Times New Roman"/>
          <w:color w:val="auto"/>
          <w:szCs w:val="24"/>
          <w:lang w:eastAsia="zh-CN"/>
        </w:rPr>
        <w:t>单箅平箅式雨水口56座</w:t>
      </w:r>
      <w:r>
        <w:rPr>
          <w:rFonts w:hint="default" w:ascii="Times New Roman" w:hAnsi="Times New Roman" w:cs="Times New Roman"/>
          <w:color w:val="auto"/>
          <w:szCs w:val="24"/>
        </w:rPr>
        <w:t>。</w:t>
      </w:r>
    </w:p>
    <w:p>
      <w:pPr>
        <w:keepNext w:val="0"/>
        <w:keepLines w:val="0"/>
        <w:widowControl/>
        <w:numPr>
          <w:ilvl w:val="0"/>
          <w:numId w:val="0"/>
        </w:numPr>
        <w:suppressLineNumbers w:val="0"/>
        <w:ind w:leftChars="200"/>
        <w:jc w:val="left"/>
        <w:rPr>
          <w:rFonts w:ascii="仿宋" w:hAnsi="仿宋" w:eastAsia="仿宋" w:cs="仿宋"/>
          <w:color w:val="000000"/>
          <w:kern w:val="0"/>
          <w:sz w:val="24"/>
          <w:szCs w:val="24"/>
          <w:lang w:val="en-US" w:eastAsia="zh-CN" w:bidi="ar"/>
        </w:rPr>
      </w:pPr>
      <w:r>
        <w:rPr>
          <w:rFonts w:hint="eastAsia" w:ascii="仿宋" w:hAnsi="仿宋" w:cs="仿宋"/>
          <w:color w:val="000000"/>
          <w:kern w:val="0"/>
          <w:sz w:val="24"/>
          <w:szCs w:val="24"/>
          <w:lang w:val="en-US" w:eastAsia="zh-CN" w:bidi="ar"/>
        </w:rPr>
        <w:t>2、</w:t>
      </w:r>
      <w:r>
        <w:rPr>
          <w:rFonts w:ascii="仿宋" w:hAnsi="仿宋" w:eastAsia="仿宋" w:cs="仿宋"/>
          <w:color w:val="000000"/>
          <w:kern w:val="0"/>
          <w:sz w:val="24"/>
          <w:szCs w:val="24"/>
          <w:lang w:val="en-US" w:eastAsia="zh-CN" w:bidi="ar"/>
        </w:rPr>
        <w:t>临时措施</w:t>
      </w:r>
    </w:p>
    <w:p>
      <w:pPr>
        <w:ind w:firstLine="480" w:firstLineChars="200"/>
        <w:jc w:val="both"/>
        <w:rPr>
          <w:rFonts w:ascii="仿宋" w:hAnsi="仿宋" w:eastAsia="仿宋" w:cs="仿宋"/>
          <w:color w:val="000000"/>
          <w:kern w:val="0"/>
          <w:sz w:val="24"/>
          <w:szCs w:val="24"/>
          <w:lang w:val="en-US" w:eastAsia="zh-CN" w:bidi="ar"/>
        </w:rPr>
      </w:pPr>
      <w:r>
        <w:rPr>
          <w:rFonts w:hint="eastAsia"/>
          <w:lang w:val="en-US" w:eastAsia="zh-CN"/>
        </w:rPr>
        <w:t>（1）洗车槽1座</w:t>
      </w:r>
      <w:r>
        <w:rPr>
          <w:rFonts w:hint="eastAsia" w:ascii="仿宋" w:hAnsi="仿宋" w:eastAsia="仿宋" w:cs="仿宋"/>
          <w:color w:val="000000"/>
          <w:kern w:val="0"/>
          <w:sz w:val="24"/>
          <w:szCs w:val="24"/>
          <w:lang w:val="en-US" w:eastAsia="zh-CN" w:bidi="ar"/>
        </w:rPr>
        <w:t>（主体已列）</w:t>
      </w:r>
    </w:p>
    <w:p>
      <w:pPr>
        <w:bidi w:val="0"/>
        <w:ind w:firstLine="480" w:firstLineChars="200"/>
        <w:rPr>
          <w:rFonts w:hint="default"/>
          <w:lang w:val="en-US" w:eastAsia="zh-CN"/>
        </w:rPr>
      </w:pPr>
      <w:bookmarkStart w:id="318" w:name="_Toc8908"/>
      <w:bookmarkStart w:id="319" w:name="_Toc13776"/>
      <w:bookmarkStart w:id="320" w:name="_Toc32563"/>
      <w:bookmarkStart w:id="321" w:name="_Toc24741"/>
      <w:bookmarkStart w:id="322" w:name="_Toc1168"/>
      <w:r>
        <w:rPr>
          <w:rFonts w:hint="default"/>
          <w:lang w:val="en-US" w:eastAsia="zh-CN"/>
        </w:rPr>
        <w:t>根据现场踏勘，主体在该区域设置并已实施临时洗车槽1座。</w:t>
      </w:r>
      <w:bookmarkEnd w:id="318"/>
      <w:bookmarkEnd w:id="319"/>
      <w:bookmarkEnd w:id="320"/>
      <w:bookmarkEnd w:id="321"/>
      <w:bookmarkEnd w:id="322"/>
    </w:p>
    <w:p>
      <w:pPr>
        <w:keepNext w:val="0"/>
        <w:keepLines w:val="0"/>
        <w:widowControl/>
        <w:suppressLineNumbers w:val="0"/>
        <w:ind w:firstLine="482" w:firstLineChars="200"/>
        <w:jc w:val="left"/>
        <w:rPr>
          <w:rFonts w:hint="default" w:ascii="Times New Roman" w:hAnsi="Times New Roman" w:eastAsia="仿宋_GB2312" w:cs="Times New Roman"/>
          <w:b/>
          <w:bCs/>
          <w:color w:val="auto"/>
          <w:kern w:val="0"/>
          <w:sz w:val="24"/>
          <w:szCs w:val="28"/>
          <w:lang w:val="en-US" w:eastAsia="zh-CN" w:bidi="ar-SA"/>
        </w:rPr>
      </w:pPr>
      <w:r>
        <w:rPr>
          <w:rFonts w:hint="default" w:ascii="Times New Roman" w:hAnsi="Times New Roman" w:eastAsia="仿宋_GB2312" w:cs="Times New Roman"/>
          <w:b/>
          <w:bCs/>
          <w:color w:val="auto"/>
          <w:kern w:val="0"/>
          <w:sz w:val="24"/>
          <w:szCs w:val="28"/>
          <w:lang w:val="en-US" w:eastAsia="zh-CN" w:bidi="ar-SA"/>
        </w:rPr>
        <w:t>方案新增的水土保持措施</w:t>
      </w:r>
      <w:r>
        <w:rPr>
          <w:rFonts w:hint="eastAsia" w:ascii="Times New Roman" w:hAnsi="Times New Roman" w:eastAsia="仿宋_GB2312" w:cs="Times New Roman"/>
          <w:b/>
          <w:bCs/>
          <w:color w:val="auto"/>
          <w:kern w:val="0"/>
          <w:sz w:val="24"/>
          <w:szCs w:val="28"/>
          <w:lang w:val="en-US" w:eastAsia="zh-CN" w:bidi="ar-SA"/>
        </w:rPr>
        <w:t>:</w:t>
      </w:r>
    </w:p>
    <w:p>
      <w:pPr>
        <w:numPr>
          <w:ilvl w:val="0"/>
          <w:numId w:val="0"/>
        </w:numPr>
        <w:bidi w:val="0"/>
        <w:ind w:firstLine="480" w:firstLineChars="200"/>
        <w:rPr>
          <w:rFonts w:hint="eastAsia"/>
          <w:color w:val="000000"/>
          <w:vertAlign w:val="baseline"/>
          <w:lang w:val="en-US" w:eastAsia="zh-CN"/>
        </w:rPr>
      </w:pPr>
      <w:r>
        <w:rPr>
          <w:rFonts w:hint="eastAsia"/>
          <w:lang w:val="en-US" w:eastAsia="zh-CN"/>
        </w:rPr>
        <w:t>项目将在施工期间，对施工场地内裸露的土壤和部分堆放材料进行防雨布临时遮盖，共计需要实施遮盖约2500m²</w:t>
      </w:r>
      <w:r>
        <w:rPr>
          <w:rFonts w:hint="eastAsia"/>
          <w:color w:val="000000"/>
          <w:vertAlign w:val="baseline"/>
          <w:lang w:eastAsia="zh-CN"/>
        </w:rPr>
        <w:t>。</w:t>
      </w:r>
      <w:r>
        <w:rPr>
          <w:rFonts w:hint="eastAsia"/>
          <w:color w:val="000000"/>
          <w:vertAlign w:val="baseline"/>
          <w:lang w:val="en-US" w:eastAsia="zh-CN"/>
        </w:rPr>
        <w:t>能够一定程度上防止雨水冲刷引起的水土流失和避免场地扬尘产生，且防雨布可重复利用。</w:t>
      </w:r>
    </w:p>
    <w:p>
      <w:pPr>
        <w:pStyle w:val="25"/>
      </w:pPr>
      <w:r>
        <w:rPr>
          <w:rFonts w:hint="eastAsia"/>
        </w:rPr>
        <w:t>表5-</w:t>
      </w:r>
      <w:r>
        <w:rPr>
          <w:rFonts w:hint="eastAsia"/>
          <w:lang w:val="en-US" w:eastAsia="zh-CN"/>
        </w:rPr>
        <w:t>4附属设施</w:t>
      </w:r>
      <w:r>
        <w:rPr>
          <w:rFonts w:hint="eastAsia"/>
        </w:rPr>
        <w:t>区水土保持措施汇总表</w:t>
      </w:r>
    </w:p>
    <w:tbl>
      <w:tblPr>
        <w:tblStyle w:val="19"/>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4"/>
        <w:gridCol w:w="1216"/>
        <w:gridCol w:w="2893"/>
        <w:gridCol w:w="1224"/>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1544" w:type="dxa"/>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项目分区</w:t>
            </w:r>
          </w:p>
        </w:tc>
        <w:tc>
          <w:tcPr>
            <w:tcW w:w="1216"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措施类型</w:t>
            </w:r>
          </w:p>
        </w:tc>
        <w:tc>
          <w:tcPr>
            <w:tcW w:w="2893"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措施名称</w:t>
            </w:r>
          </w:p>
        </w:tc>
        <w:tc>
          <w:tcPr>
            <w:tcW w:w="1224"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单位</w:t>
            </w:r>
          </w:p>
        </w:tc>
        <w:tc>
          <w:tcPr>
            <w:tcW w:w="1459"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44" w:type="dxa"/>
            <w:vMerge w:val="restart"/>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附属设施区</w:t>
            </w:r>
          </w:p>
        </w:tc>
        <w:tc>
          <w:tcPr>
            <w:tcW w:w="1216" w:type="dxa"/>
            <w:vMerge w:val="restart"/>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工程措施</w:t>
            </w:r>
          </w:p>
        </w:tc>
        <w:tc>
          <w:tcPr>
            <w:tcW w:w="2893"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聚乙烯PE缠绕结构壁管</w:t>
            </w:r>
            <w:r>
              <w:rPr>
                <w:rFonts w:hint="eastAsia" w:ascii="Times New Roman" w:hAnsi="Times New Roman" w:eastAsia="仿宋" w:cs="Times New Roman"/>
                <w:color w:val="auto"/>
                <w:kern w:val="2"/>
                <w:sz w:val="21"/>
                <w:szCs w:val="24"/>
                <w:lang w:val="en-US" w:eastAsia="zh-CN" w:bidi="ar-SA"/>
              </w:rPr>
              <w:t>DN200</w:t>
            </w:r>
          </w:p>
        </w:tc>
        <w:tc>
          <w:tcPr>
            <w:tcW w:w="1224" w:type="dxa"/>
            <w:noWrap/>
            <w:vAlign w:val="center"/>
          </w:tcPr>
          <w:p>
            <w:pPr>
              <w:pStyle w:val="29"/>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w:t>
            </w:r>
          </w:p>
        </w:tc>
        <w:tc>
          <w:tcPr>
            <w:tcW w:w="1459" w:type="dxa"/>
            <w:noWrap/>
            <w:vAlign w:val="center"/>
          </w:tcPr>
          <w:p>
            <w:pPr>
              <w:pStyle w:val="29"/>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1216" w:type="dxa"/>
            <w:vMerge w:val="continue"/>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2893"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聚乙烯PE缠绕结构壁管</w:t>
            </w:r>
            <w:r>
              <w:rPr>
                <w:rFonts w:hint="eastAsia" w:ascii="Times New Roman" w:hAnsi="Times New Roman" w:eastAsia="仿宋" w:cs="Times New Roman"/>
                <w:color w:val="auto"/>
                <w:kern w:val="2"/>
                <w:sz w:val="21"/>
                <w:szCs w:val="24"/>
                <w:lang w:val="en-US" w:eastAsia="zh-CN" w:bidi="ar-SA"/>
              </w:rPr>
              <w:t>DN400</w:t>
            </w:r>
          </w:p>
        </w:tc>
        <w:tc>
          <w:tcPr>
            <w:tcW w:w="1224"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w:t>
            </w:r>
          </w:p>
        </w:tc>
        <w:tc>
          <w:tcPr>
            <w:tcW w:w="1459" w:type="dxa"/>
            <w:noWrap/>
            <w:vAlign w:val="center"/>
          </w:tcPr>
          <w:p>
            <w:pPr>
              <w:pStyle w:val="29"/>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1216" w:type="dxa"/>
            <w:vMerge w:val="continue"/>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p>
        </w:tc>
        <w:tc>
          <w:tcPr>
            <w:tcW w:w="2893" w:type="dxa"/>
            <w:noWrap/>
            <w:vAlign w:val="center"/>
          </w:tcPr>
          <w:p>
            <w:pPr>
              <w:pStyle w:val="29"/>
              <w:spacing w:line="240" w:lineRule="auto"/>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2"/>
                <w:sz w:val="21"/>
                <w:szCs w:val="24"/>
                <w:lang w:val="en-US" w:eastAsia="zh-CN" w:bidi="ar-SA"/>
              </w:rPr>
              <w:t>聚乙烯PE缠绕结构壁管</w:t>
            </w:r>
            <w:r>
              <w:rPr>
                <w:rFonts w:hint="eastAsia" w:ascii="Times New Roman" w:hAnsi="Times New Roman" w:eastAsia="仿宋" w:cs="Times New Roman"/>
                <w:color w:val="auto"/>
                <w:kern w:val="2"/>
                <w:sz w:val="21"/>
                <w:szCs w:val="24"/>
                <w:lang w:val="en-US" w:eastAsia="zh-CN" w:bidi="ar-SA"/>
              </w:rPr>
              <w:t>DN600</w:t>
            </w:r>
          </w:p>
        </w:tc>
        <w:tc>
          <w:tcPr>
            <w:tcW w:w="1224" w:type="dxa"/>
            <w:noWrap/>
            <w:vAlign w:val="center"/>
          </w:tcPr>
          <w:p>
            <w:pPr>
              <w:pStyle w:val="29"/>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w:t>
            </w:r>
          </w:p>
        </w:tc>
        <w:tc>
          <w:tcPr>
            <w:tcW w:w="1459" w:type="dxa"/>
            <w:noWrap/>
            <w:vAlign w:val="center"/>
          </w:tcPr>
          <w:p>
            <w:pPr>
              <w:pStyle w:val="29"/>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1216" w:type="dxa"/>
            <w:vMerge w:val="continue"/>
            <w:noWrap/>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2893" w:type="dxa"/>
            <w:noWrap/>
            <w:vAlign w:val="center"/>
          </w:tcPr>
          <w:p>
            <w:pPr>
              <w:pStyle w:val="31"/>
              <w:spacing w:line="240" w:lineRule="auto"/>
              <w:jc w:val="center"/>
              <w:rPr>
                <w:rFonts w:hint="eastAsia" w:ascii="Times New Roman" w:hAnsi="Times New Roman" w:eastAsia="仿宋_GB2312" w:cs="Times New Roman"/>
                <w:color w:val="000000"/>
                <w:kern w:val="0"/>
                <w:sz w:val="24"/>
                <w:szCs w:val="28"/>
                <w:lang w:val="en-US" w:eastAsia="zh-CN" w:bidi="ar-SA"/>
              </w:rPr>
            </w:pPr>
            <w:r>
              <w:rPr>
                <w:rFonts w:hint="default" w:ascii="Times New Roman" w:hAnsi="Times New Roman" w:cs="Times New Roman"/>
                <w:color w:val="auto"/>
                <w:szCs w:val="24"/>
              </w:rPr>
              <w:t>雨水检查井</w:t>
            </w:r>
          </w:p>
        </w:tc>
        <w:tc>
          <w:tcPr>
            <w:tcW w:w="1224" w:type="dxa"/>
            <w:noWrap/>
            <w:vAlign w:val="center"/>
          </w:tcPr>
          <w:p>
            <w:pPr>
              <w:pStyle w:val="31"/>
              <w:spacing w:line="240" w:lineRule="auto"/>
              <w:jc w:val="center"/>
              <w:rPr>
                <w:rFonts w:hint="default" w:ascii="Times New Roman" w:hAnsi="Times New Roman" w:eastAsia="仿宋_GB2312" w:cs="Times New Roman"/>
                <w:color w:val="000000"/>
                <w:kern w:val="0"/>
                <w:sz w:val="24"/>
                <w:szCs w:val="28"/>
                <w:lang w:val="en-US" w:eastAsia="zh-CN" w:bidi="ar-SA"/>
              </w:rPr>
            </w:pPr>
            <w:r>
              <w:rPr>
                <w:rFonts w:hint="eastAsia" w:ascii="Times New Roman" w:hAnsi="Times New Roman" w:eastAsia="仿宋_GB2312" w:cs="Times New Roman"/>
                <w:color w:val="000000"/>
                <w:kern w:val="0"/>
                <w:sz w:val="24"/>
                <w:szCs w:val="28"/>
                <w:lang w:val="en-US" w:eastAsia="zh-CN" w:bidi="ar-SA"/>
              </w:rPr>
              <w:t>座</w:t>
            </w:r>
          </w:p>
        </w:tc>
        <w:tc>
          <w:tcPr>
            <w:tcW w:w="1459" w:type="dxa"/>
            <w:noWrap/>
            <w:vAlign w:val="center"/>
          </w:tcPr>
          <w:p>
            <w:pPr>
              <w:pStyle w:val="31"/>
              <w:spacing w:line="240" w:lineRule="auto"/>
              <w:jc w:val="center"/>
              <w:rPr>
                <w:rFonts w:hint="default" w:ascii="Times New Roman" w:hAnsi="Times New Roman" w:eastAsia="仿宋_GB2312" w:cs="Times New Roman"/>
                <w:color w:val="000000"/>
                <w:kern w:val="0"/>
                <w:sz w:val="24"/>
                <w:szCs w:val="28"/>
                <w:lang w:val="en-US" w:eastAsia="zh-CN" w:bidi="ar-SA"/>
              </w:rPr>
            </w:pPr>
            <w:r>
              <w:rPr>
                <w:rFonts w:hint="eastAsia" w:ascii="Times New Roman" w:hAnsi="Times New Roman" w:eastAsia="仿宋_GB2312" w:cs="Times New Roman"/>
                <w:color w:val="000000"/>
                <w:kern w:val="0"/>
                <w:sz w:val="24"/>
                <w:szCs w:val="28"/>
                <w:lang w:val="en-US" w:eastAsia="zh-CN" w:bidi="ar-S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1216" w:type="dxa"/>
            <w:vMerge w:val="continue"/>
            <w:noWrap/>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2893" w:type="dxa"/>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单箅平箅式雨水口</w:t>
            </w:r>
          </w:p>
        </w:tc>
        <w:tc>
          <w:tcPr>
            <w:tcW w:w="1224" w:type="dxa"/>
            <w:noWrap/>
            <w:vAlign w:val="center"/>
          </w:tcPr>
          <w:p>
            <w:pPr>
              <w:pStyle w:val="31"/>
              <w:spacing w:line="240" w:lineRule="auto"/>
              <w:jc w:val="center"/>
              <w:rPr>
                <w:rFonts w:hint="eastAsia"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座</w:t>
            </w:r>
          </w:p>
        </w:tc>
        <w:tc>
          <w:tcPr>
            <w:tcW w:w="1459"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1216" w:type="dxa"/>
            <w:vMerge w:val="restart"/>
            <w:noWrap/>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r>
              <w:rPr>
                <w:rFonts w:hint="eastAsia" w:ascii="Times New Roman" w:hAnsi="Times New Roman" w:eastAsia="仿宋" w:cs="Times New Roman"/>
                <w:color w:val="auto"/>
                <w:kern w:val="2"/>
                <w:sz w:val="21"/>
                <w:szCs w:val="24"/>
                <w:lang w:val="en-US" w:eastAsia="zh-CN" w:bidi="ar-SA"/>
              </w:rPr>
              <w:t>临时措施</w:t>
            </w:r>
          </w:p>
        </w:tc>
        <w:tc>
          <w:tcPr>
            <w:tcW w:w="2893"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洗车槽</w:t>
            </w:r>
          </w:p>
        </w:tc>
        <w:tc>
          <w:tcPr>
            <w:tcW w:w="1224"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座</w:t>
            </w:r>
          </w:p>
        </w:tc>
        <w:tc>
          <w:tcPr>
            <w:tcW w:w="1459"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544" w:type="dxa"/>
            <w:vMerge w:val="continue"/>
            <w:noWrap w:val="0"/>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1216" w:type="dxa"/>
            <w:vMerge w:val="continue"/>
            <w:noWrap/>
            <w:vAlign w:val="center"/>
          </w:tcPr>
          <w:p>
            <w:pPr>
              <w:pStyle w:val="29"/>
              <w:spacing w:line="240" w:lineRule="auto"/>
              <w:jc w:val="center"/>
              <w:rPr>
                <w:rFonts w:hint="eastAsia" w:ascii="Times New Roman" w:hAnsi="Times New Roman" w:eastAsia="仿宋_GB2312" w:cs="Times New Roman"/>
                <w:color w:val="000000"/>
                <w:kern w:val="0"/>
                <w:sz w:val="24"/>
                <w:szCs w:val="28"/>
                <w:lang w:val="en-US" w:eastAsia="zh-CN" w:bidi="ar-SA"/>
              </w:rPr>
            </w:pPr>
          </w:p>
        </w:tc>
        <w:tc>
          <w:tcPr>
            <w:tcW w:w="2893"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临时遮盖</w:t>
            </w:r>
          </w:p>
        </w:tc>
        <w:tc>
          <w:tcPr>
            <w:tcW w:w="1224"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m²</w:t>
            </w:r>
          </w:p>
        </w:tc>
        <w:tc>
          <w:tcPr>
            <w:tcW w:w="1459" w:type="dxa"/>
            <w:noWrap/>
            <w:vAlign w:val="center"/>
          </w:tcPr>
          <w:p>
            <w:pPr>
              <w:pStyle w:val="31"/>
              <w:spacing w:line="240" w:lineRule="auto"/>
              <w:jc w:val="center"/>
              <w:rPr>
                <w:rFonts w:hint="default" w:ascii="Times New Roman" w:hAnsi="Times New Roman" w:eastAsia="仿宋" w:cs="Times New Roman"/>
                <w:color w:val="auto"/>
                <w:kern w:val="2"/>
                <w:sz w:val="21"/>
                <w:szCs w:val="24"/>
                <w:lang w:val="en-US" w:eastAsia="zh-CN" w:bidi="ar-SA"/>
              </w:rPr>
            </w:pPr>
            <w:r>
              <w:rPr>
                <w:rFonts w:hint="eastAsia" w:ascii="Times New Roman" w:hAnsi="Times New Roman" w:eastAsia="仿宋" w:cs="Times New Roman"/>
                <w:color w:val="auto"/>
                <w:kern w:val="2"/>
                <w:sz w:val="21"/>
                <w:szCs w:val="24"/>
                <w:lang w:val="en-US" w:eastAsia="zh-CN" w:bidi="ar-SA"/>
              </w:rPr>
              <w:t>2500</w:t>
            </w:r>
          </w:p>
        </w:tc>
      </w:tr>
    </w:tbl>
    <w:p>
      <w:pPr>
        <w:pStyle w:val="26"/>
        <w:numPr>
          <w:ilvl w:val="0"/>
          <w:numId w:val="0"/>
        </w:numPr>
        <w:spacing w:line="360" w:lineRule="auto"/>
        <w:ind w:firstLine="482" w:firstLineChars="200"/>
        <w:rPr>
          <w:rFonts w:hint="eastAsia"/>
          <w:b/>
          <w:bCs/>
          <w:color w:val="auto"/>
        </w:rPr>
      </w:pPr>
      <w:r>
        <w:rPr>
          <w:rFonts w:hint="eastAsia"/>
          <w:b/>
          <w:bCs/>
          <w:color w:val="auto"/>
          <w:lang w:val="en-US" w:eastAsia="zh-CN"/>
        </w:rPr>
        <w:t>5.3.3</w:t>
      </w:r>
      <w:r>
        <w:rPr>
          <w:rFonts w:hint="eastAsia"/>
          <w:b/>
          <w:bCs/>
          <w:color w:val="auto"/>
          <w:lang w:eastAsia="zh-CN"/>
        </w:rPr>
        <w:t>景观绿化</w:t>
      </w:r>
      <w:r>
        <w:rPr>
          <w:rFonts w:hint="eastAsia"/>
          <w:b/>
          <w:bCs/>
          <w:color w:val="auto"/>
        </w:rPr>
        <w:t>区</w:t>
      </w:r>
    </w:p>
    <w:p>
      <w:pPr>
        <w:pStyle w:val="26"/>
        <w:spacing w:line="360" w:lineRule="auto"/>
        <w:ind w:firstLine="482"/>
        <w:rPr>
          <w:rFonts w:ascii="仿宋" w:hAnsi="仿宋" w:eastAsia="仿宋" w:cs="仿宋"/>
          <w:color w:val="000000"/>
          <w:kern w:val="0"/>
          <w:sz w:val="24"/>
          <w:szCs w:val="24"/>
          <w:lang w:val="en-US" w:eastAsia="zh-CN" w:bidi="ar"/>
        </w:rPr>
      </w:pPr>
      <w:r>
        <w:rPr>
          <w:b/>
          <w:bCs/>
          <w:color w:val="auto"/>
        </w:rPr>
        <w:t>主体设计措施：</w:t>
      </w:r>
    </w:p>
    <w:p>
      <w:pPr>
        <w:pStyle w:val="26"/>
        <w:spacing w:line="360" w:lineRule="auto"/>
        <w:ind w:firstLine="482"/>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1、工程措施</w:t>
      </w:r>
    </w:p>
    <w:p>
      <w:pPr>
        <w:bidi w:val="0"/>
        <w:ind w:firstLine="480" w:firstLineChars="200"/>
        <w:rPr>
          <w:rFonts w:hint="eastAsia"/>
          <w:lang w:val="en-US" w:eastAsia="zh-CN"/>
        </w:rPr>
      </w:pPr>
      <w:r>
        <w:rPr>
          <w:rFonts w:hint="eastAsia"/>
          <w:lang w:val="en-US" w:eastAsia="zh-CN"/>
        </w:rPr>
        <w:t>种植土回覆（主体已列）</w:t>
      </w:r>
    </w:p>
    <w:p>
      <w:pPr>
        <w:keepNext w:val="0"/>
        <w:keepLines w:val="0"/>
        <w:widowControl/>
        <w:suppressLineNumbers w:val="0"/>
        <w:spacing w:line="360" w:lineRule="auto"/>
        <w:ind w:firstLine="480" w:firstLineChars="200"/>
        <w:jc w:val="left"/>
        <w:rPr>
          <w:rFonts w:hint="eastAsia" w:ascii="仿宋" w:hAnsi="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景观绿化工程区共回覆</w:t>
      </w:r>
      <w:r>
        <w:rPr>
          <w:rFonts w:hint="eastAsia" w:ascii="仿宋" w:hAnsi="仿宋" w:cs="仿宋"/>
          <w:color w:val="000000"/>
          <w:kern w:val="0"/>
          <w:sz w:val="24"/>
          <w:szCs w:val="24"/>
          <w:lang w:val="en-US" w:eastAsia="zh-CN" w:bidi="ar"/>
        </w:rPr>
        <w:t>种植土</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14</w:t>
      </w:r>
      <w:r>
        <w:rPr>
          <w:rFonts w:hint="eastAsia" w:ascii="仿宋" w:hAnsi="仿宋" w:eastAsia="仿宋" w:cs="仿宋"/>
          <w:color w:val="000000"/>
          <w:kern w:val="0"/>
          <w:sz w:val="24"/>
          <w:szCs w:val="24"/>
          <w:lang w:val="en-US" w:eastAsia="zh-CN" w:bidi="ar"/>
        </w:rPr>
        <w:t>万</w:t>
      </w:r>
      <w:r>
        <w:rPr>
          <w:rFonts w:hint="eastAsia" w:ascii="Times New Roman" w:hAnsi="Times New Roman" w:eastAsia="宋体" w:cs="Times New Roman"/>
          <w:color w:val="000000"/>
          <w:kern w:val="0"/>
          <w:sz w:val="24"/>
          <w:szCs w:val="24"/>
          <w:lang w:val="en-US" w:eastAsia="zh-CN" w:bidi="ar"/>
        </w:rPr>
        <w:t>m³</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回</w:t>
      </w:r>
      <w:r>
        <w:rPr>
          <w:rFonts w:hint="eastAsia" w:ascii="仿宋" w:hAnsi="仿宋" w:eastAsia="仿宋" w:cs="仿宋"/>
          <w:color w:val="000000"/>
          <w:kern w:val="0"/>
          <w:sz w:val="24"/>
          <w:szCs w:val="24"/>
          <w:lang w:val="en-US" w:eastAsia="zh-CN" w:bidi="ar"/>
        </w:rPr>
        <w:t>覆面积</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28</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lang w:val="en-US" w:eastAsia="zh-CN" w:bidi="ar"/>
        </w:rPr>
        <w:t>m²</w:t>
      </w:r>
      <w:r>
        <w:rPr>
          <w:rFonts w:hint="eastAsia" w:ascii="仿宋" w:hAnsi="仿宋" w:eastAsia="仿宋" w:cs="仿宋"/>
          <w:color w:val="000000"/>
          <w:kern w:val="0"/>
          <w:sz w:val="24"/>
          <w:szCs w:val="24"/>
          <w:lang w:val="en-US" w:eastAsia="zh-CN" w:bidi="ar"/>
        </w:rPr>
        <w:t>，回覆厚度</w:t>
      </w:r>
      <w:r>
        <w:rPr>
          <w:rFonts w:hint="default" w:ascii="Times New Roman" w:hAnsi="Times New Roman" w:eastAsia="宋体" w:cs="Times New Roman"/>
          <w:color w:val="000000"/>
          <w:kern w:val="0"/>
          <w:sz w:val="24"/>
          <w:szCs w:val="24"/>
          <w:lang w:val="en-US" w:eastAsia="zh-CN" w:bidi="ar"/>
        </w:rPr>
        <w:t>0.</w:t>
      </w:r>
      <w:r>
        <w:rPr>
          <w:rFonts w:hint="eastAsia"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w:t>
      </w:r>
      <w:r>
        <w:rPr>
          <w:rFonts w:hint="eastAsia" w:ascii="仿宋" w:hAnsi="仿宋" w:eastAsia="仿宋" w:cs="仿宋"/>
          <w:color w:val="000000"/>
          <w:kern w:val="0"/>
          <w:sz w:val="24"/>
          <w:szCs w:val="24"/>
          <w:lang w:val="en-US" w:eastAsia="zh-CN" w:bidi="ar"/>
        </w:rPr>
        <w:t>，</w:t>
      </w:r>
      <w:r>
        <w:rPr>
          <w:rFonts w:hint="eastAsia" w:ascii="仿宋" w:hAnsi="仿宋" w:cs="仿宋"/>
          <w:color w:val="000000"/>
          <w:kern w:val="0"/>
          <w:sz w:val="24"/>
          <w:szCs w:val="24"/>
          <w:lang w:val="en-US" w:eastAsia="zh-CN" w:bidi="ar"/>
        </w:rPr>
        <w:t>种植土来源于外购。</w:t>
      </w:r>
    </w:p>
    <w:p>
      <w:pPr>
        <w:bidi w:val="0"/>
        <w:ind w:firstLine="480" w:firstLineChars="200"/>
        <w:rPr>
          <w:rFonts w:hint="default"/>
          <w:lang w:val="en-US" w:eastAsia="zh-CN"/>
        </w:rPr>
      </w:pPr>
      <w:bookmarkStart w:id="323" w:name="_Toc25512"/>
      <w:bookmarkStart w:id="324" w:name="_Toc31052"/>
      <w:bookmarkStart w:id="325" w:name="_Toc32526"/>
      <w:bookmarkStart w:id="326" w:name="_Toc7990"/>
      <w:bookmarkStart w:id="327" w:name="_Toc5105"/>
      <w:r>
        <w:rPr>
          <w:rFonts w:hint="eastAsia"/>
          <w:lang w:val="en-US" w:eastAsia="zh-CN"/>
        </w:rPr>
        <w:t>2</w:t>
      </w:r>
      <w:r>
        <w:rPr>
          <w:lang w:val="en-US" w:eastAsia="zh-CN"/>
        </w:rPr>
        <w:t>、</w:t>
      </w:r>
      <w:r>
        <w:rPr>
          <w:rFonts w:hint="eastAsia"/>
          <w:lang w:val="en-US" w:eastAsia="zh-CN"/>
        </w:rPr>
        <w:t>植物措施（主体已列）</w:t>
      </w:r>
      <w:bookmarkEnd w:id="323"/>
      <w:bookmarkEnd w:id="324"/>
      <w:bookmarkEnd w:id="325"/>
      <w:bookmarkEnd w:id="326"/>
      <w:bookmarkEnd w:id="327"/>
    </w:p>
    <w:p>
      <w:pPr>
        <w:pStyle w:val="2"/>
        <w:ind w:firstLine="480" w:firstLineChars="200"/>
        <w:rPr>
          <w:rFonts w:hint="eastAsia" w:ascii="仿宋" w:hAnsi="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景观绿化工程区</w:t>
      </w:r>
      <w:r>
        <w:rPr>
          <w:rFonts w:hint="eastAsia" w:ascii="仿宋" w:hAnsi="仿宋" w:cs="仿宋"/>
          <w:color w:val="000000"/>
          <w:kern w:val="0"/>
          <w:sz w:val="24"/>
          <w:szCs w:val="24"/>
          <w:lang w:val="en-US" w:eastAsia="zh-CN" w:bidi="ar"/>
        </w:rPr>
        <w:t>种植香樟21棵，麦冬564m²，台湾2号草坪1241m²。</w:t>
      </w:r>
    </w:p>
    <w:p>
      <w:pPr>
        <w:adjustRightInd/>
        <w:snapToGrid/>
        <w:spacing w:line="360" w:lineRule="auto"/>
        <w:ind w:left="482" w:firstLine="0" w:firstLineChars="0"/>
        <w:rPr>
          <w:rFonts w:hint="default" w:ascii="Times New Roman" w:hAnsi="Times New Roman" w:eastAsia="仿宋_GB2312" w:cs="Times New Roman"/>
          <w:b/>
          <w:bCs/>
          <w:color w:val="auto"/>
          <w:kern w:val="0"/>
          <w:sz w:val="24"/>
          <w:szCs w:val="28"/>
          <w:lang w:val="en-US" w:eastAsia="zh-CN" w:bidi="ar-SA"/>
        </w:rPr>
      </w:pPr>
      <w:r>
        <w:rPr>
          <w:rFonts w:hint="default" w:ascii="Times New Roman" w:hAnsi="Times New Roman" w:eastAsia="仿宋_GB2312" w:cs="Times New Roman"/>
          <w:b/>
          <w:bCs/>
          <w:color w:val="auto"/>
          <w:kern w:val="0"/>
          <w:sz w:val="24"/>
          <w:szCs w:val="28"/>
          <w:lang w:val="en-US" w:eastAsia="zh-CN" w:bidi="ar-SA"/>
        </w:rPr>
        <w:t>方案新增的水土保持措施</w:t>
      </w:r>
      <w:r>
        <w:rPr>
          <w:rFonts w:hint="eastAsia" w:ascii="Times New Roman" w:hAnsi="Times New Roman" w:eastAsia="仿宋_GB2312" w:cs="Times New Roman"/>
          <w:b/>
          <w:bCs/>
          <w:color w:val="auto"/>
          <w:kern w:val="0"/>
          <w:sz w:val="24"/>
          <w:szCs w:val="28"/>
          <w:lang w:val="en-US" w:eastAsia="zh-CN" w:bidi="ar-SA"/>
        </w:rPr>
        <w:t>:</w:t>
      </w:r>
    </w:p>
    <w:p>
      <w:pPr>
        <w:tabs>
          <w:tab w:val="left" w:pos="3960"/>
        </w:tabs>
        <w:spacing w:line="360" w:lineRule="auto"/>
        <w:ind w:firstLine="480"/>
        <w:rPr>
          <w:rFonts w:hint="default" w:ascii="Times New Roman" w:hAnsi="Times New Roman" w:cs="Times New Roman"/>
          <w:color w:val="auto"/>
          <w:szCs w:val="24"/>
          <w:lang w:eastAsia="zh-CN"/>
        </w:rPr>
      </w:pPr>
      <w:r>
        <w:rPr>
          <w:rFonts w:hint="eastAsia" w:cs="Times New Roman"/>
          <w:color w:val="auto"/>
          <w:szCs w:val="24"/>
          <w:lang w:eastAsia="zh-CN"/>
        </w:rPr>
        <w:t>（</w:t>
      </w:r>
      <w:r>
        <w:rPr>
          <w:rFonts w:hint="eastAsia" w:cs="Times New Roman"/>
          <w:color w:val="auto"/>
          <w:szCs w:val="24"/>
          <w:lang w:val="en-US" w:eastAsia="zh-CN"/>
        </w:rPr>
        <w:t>1</w:t>
      </w:r>
      <w:r>
        <w:rPr>
          <w:rFonts w:hint="eastAsia" w:cs="Times New Roman"/>
          <w:color w:val="auto"/>
          <w:szCs w:val="24"/>
          <w:lang w:eastAsia="zh-CN"/>
        </w:rPr>
        <w:t>）临时措施</w:t>
      </w:r>
    </w:p>
    <w:p>
      <w:pPr>
        <w:numPr>
          <w:ilvl w:val="0"/>
          <w:numId w:val="0"/>
        </w:numPr>
        <w:bidi w:val="0"/>
        <w:spacing w:line="360" w:lineRule="auto"/>
        <w:ind w:firstLine="480" w:firstLineChars="200"/>
        <w:rPr>
          <w:rFonts w:hint="eastAsia"/>
          <w:color w:val="000000"/>
          <w:vertAlign w:val="baseline"/>
          <w:lang w:val="en-US" w:eastAsia="zh-CN"/>
        </w:rPr>
      </w:pPr>
      <w:r>
        <w:rPr>
          <w:rFonts w:hint="eastAsia"/>
          <w:lang w:val="en-US" w:eastAsia="zh-CN"/>
        </w:rPr>
        <w:t>在施工期间，对该分区内裸露的土壤进行防雨布临时遮盖，共计需要实施遮盖约800m²</w:t>
      </w:r>
      <w:r>
        <w:rPr>
          <w:rFonts w:hint="eastAsia"/>
          <w:color w:val="000000"/>
          <w:vertAlign w:val="baseline"/>
          <w:lang w:eastAsia="zh-CN"/>
        </w:rPr>
        <w:t>。</w:t>
      </w:r>
      <w:r>
        <w:rPr>
          <w:rFonts w:hint="eastAsia"/>
          <w:color w:val="000000"/>
          <w:vertAlign w:val="baseline"/>
          <w:lang w:val="en-US" w:eastAsia="zh-CN"/>
        </w:rPr>
        <w:t>能够一定程度上防止雨水冲刷引起的水土流失和避免场地扬尘产生，且防雨布可以重复利用。</w:t>
      </w:r>
    </w:p>
    <w:p>
      <w:pPr>
        <w:pStyle w:val="25"/>
      </w:pPr>
      <w:r>
        <w:rPr>
          <w:rFonts w:hint="eastAsia"/>
        </w:rPr>
        <w:t>表5-</w:t>
      </w:r>
      <w:r>
        <w:rPr>
          <w:rFonts w:hint="eastAsia"/>
          <w:lang w:val="en-US" w:eastAsia="zh-CN"/>
        </w:rPr>
        <w:t>5 景观绿化</w:t>
      </w:r>
      <w:r>
        <w:rPr>
          <w:rFonts w:hint="eastAsia"/>
        </w:rPr>
        <w:t>区水土保持措施汇总表</w:t>
      </w:r>
    </w:p>
    <w:tbl>
      <w:tblPr>
        <w:tblStyle w:val="19"/>
        <w:tblW w:w="4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8"/>
        <w:gridCol w:w="1272"/>
        <w:gridCol w:w="1773"/>
        <w:gridCol w:w="123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项目分区</w:t>
            </w:r>
          </w:p>
        </w:tc>
        <w:tc>
          <w:tcPr>
            <w:tcW w:w="930"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措施类型</w:t>
            </w:r>
          </w:p>
        </w:tc>
        <w:tc>
          <w:tcPr>
            <w:tcW w:w="1296"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措施名称</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单位</w:t>
            </w:r>
          </w:p>
        </w:tc>
        <w:tc>
          <w:tcPr>
            <w:tcW w:w="933"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vMerge w:val="restart"/>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景观绿化区</w:t>
            </w:r>
          </w:p>
        </w:tc>
        <w:tc>
          <w:tcPr>
            <w:tcW w:w="930"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工程措施</w:t>
            </w:r>
          </w:p>
        </w:tc>
        <w:tc>
          <w:tcPr>
            <w:tcW w:w="1296"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种植土回覆</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m³</w:t>
            </w:r>
          </w:p>
        </w:tc>
        <w:tc>
          <w:tcPr>
            <w:tcW w:w="933"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1393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vMerge w:val="continue"/>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930" w:type="pct"/>
            <w:vMerge w:val="restar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植物措施</w:t>
            </w:r>
          </w:p>
        </w:tc>
        <w:tc>
          <w:tcPr>
            <w:tcW w:w="1296"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香樟</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棵</w:t>
            </w:r>
          </w:p>
        </w:tc>
        <w:tc>
          <w:tcPr>
            <w:tcW w:w="933"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vMerge w:val="continue"/>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930" w:type="pct"/>
            <w:vMerge w:val="continue"/>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1296"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台湾2号草坪</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m²</w:t>
            </w:r>
          </w:p>
        </w:tc>
        <w:tc>
          <w:tcPr>
            <w:tcW w:w="933"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1241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vMerge w:val="continue"/>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930" w:type="pct"/>
            <w:vMerge w:val="continue"/>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1296"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麦冬</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m²</w:t>
            </w:r>
          </w:p>
        </w:tc>
        <w:tc>
          <w:tcPr>
            <w:tcW w:w="933"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34" w:type="pct"/>
            <w:vMerge w:val="continue"/>
            <w:noWrap w:val="0"/>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p>
        </w:tc>
        <w:tc>
          <w:tcPr>
            <w:tcW w:w="930"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临时措施</w:t>
            </w:r>
          </w:p>
        </w:tc>
        <w:tc>
          <w:tcPr>
            <w:tcW w:w="1296"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临时遮盖</w:t>
            </w:r>
          </w:p>
        </w:tc>
        <w:tc>
          <w:tcPr>
            <w:tcW w:w="905" w:type="pct"/>
            <w:noWrap/>
            <w:vAlign w:val="center"/>
          </w:tcPr>
          <w:p>
            <w:pPr>
              <w:pStyle w:val="29"/>
              <w:spacing w:line="240" w:lineRule="auto"/>
              <w:jc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m²</w:t>
            </w:r>
          </w:p>
        </w:tc>
        <w:tc>
          <w:tcPr>
            <w:tcW w:w="933" w:type="pct"/>
            <w:noWrap/>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800</w:t>
            </w:r>
          </w:p>
        </w:tc>
      </w:tr>
    </w:tbl>
    <w:p>
      <w:pPr>
        <w:pStyle w:val="6"/>
        <w:keepNext/>
        <w:rPr>
          <w:rFonts w:hint="eastAsia"/>
          <w:color w:val="000000"/>
        </w:rPr>
      </w:pPr>
      <w:r>
        <w:rPr>
          <w:rFonts w:hint="eastAsia"/>
          <w:color w:val="000000"/>
        </w:rPr>
        <w:t>5.3.</w:t>
      </w:r>
      <w:r>
        <w:rPr>
          <w:rFonts w:hint="eastAsia"/>
          <w:color w:val="000000"/>
          <w:lang w:val="en-US" w:eastAsia="zh-CN"/>
        </w:rPr>
        <w:t>4</w:t>
      </w:r>
      <w:r>
        <w:rPr>
          <w:rFonts w:hint="eastAsia"/>
          <w:color w:val="000000"/>
        </w:rPr>
        <w:t>水土保持措施工程量汇总</w:t>
      </w:r>
    </w:p>
    <w:p>
      <w:pPr>
        <w:ind w:firstLine="480" w:firstLineChars="200"/>
        <w:rPr>
          <w:rFonts w:hint="eastAsia"/>
          <w:color w:val="000000"/>
        </w:rPr>
      </w:pPr>
      <w:r>
        <w:rPr>
          <w:rFonts w:hint="eastAsia"/>
          <w:color w:val="000000"/>
        </w:rPr>
        <w:t>本项目水土保持措施工程量汇总详见下表。</w:t>
      </w:r>
    </w:p>
    <w:p>
      <w:pPr>
        <w:ind w:firstLine="422" w:firstLineChars="200"/>
        <w:jc w:val="center"/>
        <w:rPr>
          <w:rFonts w:hint="eastAsia" w:ascii="Times New Roman" w:hAnsi="Times New Roman" w:eastAsia="仿宋_GB2312" w:cs="Times New Roman"/>
          <w:b/>
          <w:kern w:val="2"/>
          <w:sz w:val="21"/>
          <w:szCs w:val="21"/>
          <w:lang w:val="en-US" w:eastAsia="zh-CN" w:bidi="ar-SA"/>
        </w:rPr>
      </w:pPr>
      <w:r>
        <w:rPr>
          <w:rFonts w:hint="eastAsia" w:ascii="Times New Roman" w:hAnsi="Times New Roman" w:eastAsia="仿宋_GB2312" w:cs="Times New Roman"/>
          <w:b/>
          <w:kern w:val="2"/>
          <w:sz w:val="21"/>
          <w:szCs w:val="21"/>
          <w:lang w:val="en-US" w:eastAsia="zh-CN" w:bidi="ar-SA"/>
        </w:rPr>
        <w:t>表5-</w:t>
      </w:r>
      <w:r>
        <w:rPr>
          <w:rFonts w:hint="eastAsia" w:eastAsia="仿宋_GB2312" w:cs="Times New Roman"/>
          <w:b/>
          <w:kern w:val="2"/>
          <w:sz w:val="21"/>
          <w:szCs w:val="21"/>
          <w:lang w:val="en-US" w:eastAsia="zh-CN" w:bidi="ar-SA"/>
        </w:rPr>
        <w:t>6</w:t>
      </w:r>
      <w:r>
        <w:rPr>
          <w:rFonts w:hint="eastAsia" w:ascii="Times New Roman" w:hAnsi="Times New Roman" w:eastAsia="仿宋_GB2312" w:cs="Times New Roman"/>
          <w:b/>
          <w:kern w:val="2"/>
          <w:sz w:val="21"/>
          <w:szCs w:val="21"/>
          <w:lang w:val="en-US" w:eastAsia="zh-CN" w:bidi="ar-SA"/>
        </w:rPr>
        <w:t>项目区水土保持措施汇总表</w:t>
      </w:r>
    </w:p>
    <w:tbl>
      <w:tblPr>
        <w:tblStyle w:val="19"/>
        <w:tblW w:w="4829" w:type="pct"/>
        <w:jc w:val="center"/>
        <w:shd w:val="clear" w:color="auto" w:fill="auto"/>
        <w:tblLayout w:type="fixed"/>
        <w:tblCellMar>
          <w:top w:w="0" w:type="dxa"/>
          <w:left w:w="0" w:type="dxa"/>
          <w:bottom w:w="0" w:type="dxa"/>
          <w:right w:w="0" w:type="dxa"/>
        </w:tblCellMar>
      </w:tblPr>
      <w:tblGrid>
        <w:gridCol w:w="1160"/>
        <w:gridCol w:w="1232"/>
        <w:gridCol w:w="2227"/>
        <w:gridCol w:w="933"/>
        <w:gridCol w:w="2500"/>
      </w:tblGrid>
      <w:tr>
        <w:tblPrEx>
          <w:shd w:val="clear" w:color="auto" w:fill="auto"/>
          <w:tblCellMar>
            <w:top w:w="0" w:type="dxa"/>
            <w:left w:w="0" w:type="dxa"/>
            <w:bottom w:w="0" w:type="dxa"/>
            <w:right w:w="0" w:type="dxa"/>
          </w:tblCellMar>
        </w:tblPrEx>
        <w:trPr>
          <w:trHeight w:val="27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项目组成</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措施类型</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措施名称</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规格</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单位</w:t>
            </w:r>
          </w:p>
        </w:tc>
      </w:tr>
      <w:tr>
        <w:tblPrEx>
          <w:tblCellMar>
            <w:top w:w="0" w:type="dxa"/>
            <w:left w:w="0" w:type="dxa"/>
            <w:bottom w:w="0" w:type="dxa"/>
            <w:right w:w="0" w:type="dxa"/>
          </w:tblCellMar>
        </w:tblPrEx>
        <w:trPr>
          <w:trHeight w:val="379" w:hRule="atLeast"/>
          <w:jc w:val="center"/>
        </w:trPr>
        <w:tc>
          <w:tcPr>
            <w:tcW w:w="116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建构筑物区</w:t>
            </w:r>
          </w:p>
        </w:tc>
        <w:tc>
          <w:tcPr>
            <w:tcW w:w="123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临时措施</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default" w:ascii="Times New Roman" w:hAnsi="Times New Roman" w:cs="Times New Roman"/>
                <w:kern w:val="0"/>
                <w:sz w:val="20"/>
                <w:szCs w:val="22"/>
                <w:lang w:val="en-US" w:eastAsia="zh-CN" w:bidi="ar"/>
              </w:rPr>
              <w:t>临时排水沟</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kern w:val="0"/>
                <w:sz w:val="20"/>
                <w:szCs w:val="22"/>
                <w:lang w:val="en-US" w:eastAsia="zh-CN" w:bidi="ar"/>
              </w:rPr>
            </w:pPr>
            <w:r>
              <w:rPr>
                <w:rFonts w:hint="eastAsia" w:ascii="Times New Roman" w:hAnsi="Times New Roman" w:cs="Times New Roman"/>
                <w:kern w:val="0"/>
                <w:sz w:val="20"/>
                <w:szCs w:val="22"/>
                <w:lang w:val="en-US" w:eastAsia="zh-CN" w:bidi="ar"/>
              </w:rPr>
              <w:t>170</w:t>
            </w:r>
          </w:p>
        </w:tc>
      </w:tr>
      <w:tr>
        <w:tblPrEx>
          <w:tblCellMar>
            <w:top w:w="0" w:type="dxa"/>
            <w:left w:w="0" w:type="dxa"/>
            <w:bottom w:w="0" w:type="dxa"/>
            <w:right w:w="0" w:type="dxa"/>
          </w:tblCellMar>
        </w:tblPrEx>
        <w:trPr>
          <w:trHeight w:val="270" w:hRule="atLeast"/>
          <w:jc w:val="center"/>
        </w:trPr>
        <w:tc>
          <w:tcPr>
            <w:tcW w:w="116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临时沉砂池</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1</w:t>
            </w:r>
          </w:p>
        </w:tc>
      </w:tr>
      <w:tr>
        <w:tblPrEx>
          <w:tblCellMar>
            <w:top w:w="0" w:type="dxa"/>
            <w:left w:w="0" w:type="dxa"/>
            <w:bottom w:w="0" w:type="dxa"/>
            <w:right w:w="0" w:type="dxa"/>
          </w:tblCellMar>
        </w:tblPrEx>
        <w:trPr>
          <w:trHeight w:val="270" w:hRule="atLeast"/>
          <w:jc w:val="center"/>
        </w:trPr>
        <w:tc>
          <w:tcPr>
            <w:tcW w:w="116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临时遮盖</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1200</w:t>
            </w:r>
          </w:p>
        </w:tc>
      </w:tr>
      <w:tr>
        <w:tblPrEx>
          <w:tblCellMar>
            <w:top w:w="0" w:type="dxa"/>
            <w:left w:w="0" w:type="dxa"/>
            <w:bottom w:w="0" w:type="dxa"/>
            <w:right w:w="0" w:type="dxa"/>
          </w:tblCellMar>
        </w:tblPrEx>
        <w:trPr>
          <w:trHeight w:val="90" w:hRule="atLeast"/>
          <w:jc w:val="center"/>
        </w:trPr>
        <w:tc>
          <w:tcPr>
            <w:tcW w:w="1160" w:type="dxa"/>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附属设施区</w:t>
            </w:r>
          </w:p>
        </w:tc>
        <w:tc>
          <w:tcPr>
            <w:tcW w:w="1232"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工程措施</w:t>
            </w: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聚乙烯PE缠绕结构壁管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DN200</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450</w:t>
            </w:r>
          </w:p>
        </w:tc>
      </w:tr>
      <w:tr>
        <w:tblPrEx>
          <w:tblCellMar>
            <w:top w:w="0" w:type="dxa"/>
            <w:left w:w="0" w:type="dxa"/>
            <w:bottom w:w="0" w:type="dxa"/>
            <w:right w:w="0" w:type="dxa"/>
          </w:tblCellMar>
        </w:tblPrEx>
        <w:trPr>
          <w:trHeight w:val="524" w:hRule="atLeast"/>
          <w:jc w:val="center"/>
        </w:trPr>
        <w:tc>
          <w:tcPr>
            <w:tcW w:w="1160"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聚乙烯PE缠绕结构壁管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DN400</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410</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聚乙烯PE缠绕结构壁管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DN600</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7</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雨水检查井</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28</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单箅平箅式雨水口</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56</w:t>
            </w:r>
          </w:p>
        </w:tc>
      </w:tr>
      <w:tr>
        <w:tblPrEx>
          <w:tblCellMar>
            <w:top w:w="0" w:type="dxa"/>
            <w:left w:w="0" w:type="dxa"/>
            <w:bottom w:w="0" w:type="dxa"/>
            <w:right w:w="0" w:type="dxa"/>
          </w:tblCellMar>
        </w:tblPrEx>
        <w:trPr>
          <w:trHeight w:val="90" w:hRule="atLeast"/>
          <w:jc w:val="center"/>
        </w:trPr>
        <w:tc>
          <w:tcPr>
            <w:tcW w:w="1160"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临时措施</w:t>
            </w:r>
          </w:p>
        </w:tc>
        <w:tc>
          <w:tcPr>
            <w:tcW w:w="2227"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洗车槽</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1</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1232" w:type="dxa"/>
            <w:vMerge w:val="continue"/>
            <w:tcBorders>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spacing w:line="240" w:lineRule="auto"/>
              <w:ind w:firstLine="0" w:firstLineChars="0"/>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临时遮盖</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2500</w:t>
            </w:r>
          </w:p>
        </w:tc>
      </w:tr>
      <w:tr>
        <w:tblPrEx>
          <w:tblCellMar>
            <w:top w:w="0" w:type="dxa"/>
            <w:left w:w="0" w:type="dxa"/>
            <w:bottom w:w="0" w:type="dxa"/>
            <w:right w:w="0" w:type="dxa"/>
          </w:tblCellMar>
        </w:tblPrEx>
        <w:trPr>
          <w:trHeight w:val="270" w:hRule="atLeast"/>
          <w:jc w:val="center"/>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景观绿化区</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工程措施</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种植土</w:t>
            </w:r>
            <w:r>
              <w:rPr>
                <w:rFonts w:hint="default" w:ascii="Times New Roman" w:hAnsi="Times New Roman" w:eastAsia="仿宋" w:cs="Times New Roman"/>
                <w:kern w:val="0"/>
                <w:sz w:val="20"/>
                <w:szCs w:val="22"/>
                <w:lang w:val="en-US" w:eastAsia="zh-CN" w:bidi="ar"/>
              </w:rPr>
              <w:t>回覆</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1393</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植物措施</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香樟</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21</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台湾2号草坪</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1241</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麦冬</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9"/>
              <w:spacing w:line="240" w:lineRule="auto"/>
              <w:jc w:val="center"/>
              <w:rPr>
                <w:rFonts w:hint="default"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564</w:t>
            </w:r>
          </w:p>
        </w:tc>
      </w:tr>
      <w:tr>
        <w:tblPrEx>
          <w:tblCellMar>
            <w:top w:w="0" w:type="dxa"/>
            <w:left w:w="0" w:type="dxa"/>
            <w:bottom w:w="0" w:type="dxa"/>
            <w:right w:w="0" w:type="dxa"/>
          </w:tblCellMar>
        </w:tblPrEx>
        <w:trPr>
          <w:trHeight w:val="270"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临时措施</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临时遮盖</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imes New Roman" w:hAnsi="Times New Roman" w:eastAsia="仿宋" w:cs="Times New Roman"/>
                <w:kern w:val="0"/>
                <w:sz w:val="20"/>
                <w:szCs w:val="22"/>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800</w:t>
            </w:r>
          </w:p>
        </w:tc>
      </w:tr>
    </w:tbl>
    <w:p>
      <w:pPr>
        <w:pStyle w:val="4"/>
        <w:rPr>
          <w:szCs w:val="28"/>
        </w:rPr>
      </w:pPr>
      <w:bookmarkStart w:id="328" w:name="_Toc29068"/>
      <w:bookmarkStart w:id="329" w:name="_Toc26156"/>
      <w:bookmarkStart w:id="330" w:name="_Toc8202"/>
      <w:bookmarkStart w:id="331" w:name="_Toc48656942"/>
      <w:bookmarkStart w:id="332" w:name="_Toc18900"/>
      <w:bookmarkStart w:id="333" w:name="_Toc814"/>
      <w:r>
        <w:rPr>
          <w:rFonts w:hint="eastAsia"/>
          <w:color w:val="000000"/>
        </w:rPr>
        <w:t>5.4水土保持措施进度</w:t>
      </w:r>
      <w:bookmarkEnd w:id="328"/>
      <w:bookmarkEnd w:id="329"/>
      <w:bookmarkEnd w:id="330"/>
      <w:bookmarkEnd w:id="331"/>
      <w:bookmarkEnd w:id="332"/>
      <w:bookmarkEnd w:id="333"/>
    </w:p>
    <w:p>
      <w:pPr>
        <w:ind w:firstLine="480"/>
        <w:rPr>
          <w:rFonts w:hint="eastAsia"/>
          <w:color w:val="000000"/>
        </w:rPr>
      </w:pPr>
      <w:r>
        <w:rPr>
          <w:rFonts w:hint="eastAsia"/>
          <w:color w:val="000000"/>
        </w:rPr>
        <w:t>根据主体工程的施工安排，以工程措施为先，植物措施随后，各项水土保持措施的实施进度与主体工程相互衔接，互相协调，有序进行。水土保持措施进度表详见表5</w:t>
      </w:r>
      <w:r>
        <w:rPr>
          <w:color w:val="000000"/>
        </w:rPr>
        <w:t>-</w:t>
      </w:r>
      <w:r>
        <w:rPr>
          <w:rFonts w:hint="eastAsia"/>
          <w:color w:val="000000"/>
          <w:lang w:val="en-US" w:eastAsia="zh-CN"/>
        </w:rPr>
        <w:t>7</w:t>
      </w:r>
      <w:r>
        <w:rPr>
          <w:rFonts w:hint="eastAsia"/>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0"/>
        <w:jc w:val="center"/>
        <w:textAlignment w:val="auto"/>
        <w:rPr>
          <w:szCs w:val="28"/>
        </w:rPr>
      </w:pPr>
      <w:bookmarkStart w:id="334" w:name="_Toc31556"/>
      <w:bookmarkStart w:id="335" w:name="_Toc15998"/>
      <w:r>
        <w:rPr>
          <w:rFonts w:hint="eastAsia"/>
          <w:b/>
          <w:bCs/>
          <w:sz w:val="21"/>
          <w:szCs w:val="21"/>
        </w:rPr>
        <w:t>表5</w:t>
      </w:r>
      <w:r>
        <w:rPr>
          <w:b/>
          <w:bCs/>
          <w:sz w:val="21"/>
          <w:szCs w:val="21"/>
        </w:rPr>
        <w:t>-</w:t>
      </w:r>
      <w:r>
        <w:rPr>
          <w:rFonts w:hint="eastAsia"/>
          <w:b/>
          <w:bCs/>
          <w:sz w:val="21"/>
          <w:szCs w:val="21"/>
          <w:lang w:val="en-US" w:eastAsia="zh-CN"/>
        </w:rPr>
        <w:t>7</w:t>
      </w:r>
      <w:r>
        <w:rPr>
          <w:rFonts w:hint="eastAsia"/>
          <w:b/>
          <w:bCs/>
          <w:sz w:val="21"/>
          <w:szCs w:val="21"/>
        </w:rPr>
        <w:t>主体工程与水土保持工程施工进度安排表</w:t>
      </w:r>
    </w:p>
    <w:tbl>
      <w:tblPr>
        <w:tblStyle w:val="19"/>
        <w:tblW w:w="5042" w:type="pct"/>
        <w:tblInd w:w="-219"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689"/>
        <w:gridCol w:w="501"/>
        <w:gridCol w:w="937"/>
        <w:gridCol w:w="524"/>
        <w:gridCol w:w="481"/>
        <w:gridCol w:w="362"/>
        <w:gridCol w:w="417"/>
        <w:gridCol w:w="485"/>
        <w:gridCol w:w="369"/>
        <w:gridCol w:w="541"/>
        <w:gridCol w:w="435"/>
        <w:gridCol w:w="529"/>
        <w:gridCol w:w="514"/>
        <w:gridCol w:w="470"/>
        <w:gridCol w:w="491"/>
        <w:gridCol w:w="64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4" w:hRule="atLeast"/>
        </w:trPr>
        <w:tc>
          <w:tcPr>
            <w:tcW w:w="410"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cs="Times New Roman"/>
                <w:color w:val="000000"/>
                <w:szCs w:val="18"/>
              </w:rPr>
            </w:pPr>
            <w:r>
              <w:rPr>
                <w:rFonts w:hint="eastAsia" w:cs="Times New Roman"/>
                <w:color w:val="000000"/>
                <w:szCs w:val="18"/>
              </w:rPr>
              <w:t>项目名称</w:t>
            </w:r>
          </w:p>
        </w:tc>
        <w:tc>
          <w:tcPr>
            <w:tcW w:w="298"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cs="Times New Roman"/>
                <w:color w:val="000000"/>
                <w:szCs w:val="18"/>
              </w:rPr>
            </w:pPr>
            <w:r>
              <w:rPr>
                <w:rFonts w:hint="eastAsia" w:cs="Times New Roman"/>
                <w:color w:val="000000"/>
                <w:szCs w:val="18"/>
              </w:rPr>
              <w:t>项目组成</w:t>
            </w:r>
          </w:p>
        </w:tc>
        <w:tc>
          <w:tcPr>
            <w:tcW w:w="558"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eastAsia" w:cs="Times New Roman"/>
                <w:color w:val="000000"/>
                <w:szCs w:val="18"/>
              </w:rPr>
            </w:pPr>
          </w:p>
        </w:tc>
        <w:tc>
          <w:tcPr>
            <w:tcW w:w="598" w:type="pct"/>
            <w:gridSpan w:val="2"/>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cs="Times New Roman"/>
                <w:color w:val="000000"/>
                <w:szCs w:val="18"/>
                <w:lang w:val="en-US" w:eastAsia="zh-CN"/>
              </w:rPr>
            </w:pPr>
            <w:r>
              <w:rPr>
                <w:rFonts w:hint="eastAsia" w:ascii="Times New Roman" w:hAnsi="Times New Roman" w:cs="Times New Roman"/>
                <w:color w:val="000000"/>
                <w:szCs w:val="18"/>
                <w:lang w:val="en-US" w:eastAsia="zh-CN"/>
              </w:rPr>
              <w:t>2020年</w:t>
            </w:r>
          </w:p>
        </w:tc>
        <w:tc>
          <w:tcPr>
            <w:tcW w:w="1555" w:type="pct"/>
            <w:gridSpan w:val="6"/>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cs="Times New Roman"/>
                <w:color w:val="000000"/>
                <w:szCs w:val="18"/>
                <w:lang w:val="en-US" w:eastAsia="zh-CN"/>
              </w:rPr>
              <w:t>2021年</w:t>
            </w:r>
          </w:p>
        </w:tc>
        <w:tc>
          <w:tcPr>
            <w:tcW w:w="1577" w:type="pct"/>
            <w:gridSpan w:val="5"/>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cs="Times New Roman"/>
                <w:color w:val="000000"/>
                <w:szCs w:val="18"/>
                <w:lang w:val="en-US" w:eastAsia="zh-CN"/>
              </w:rPr>
              <w:t>2022年</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614" w:hRule="atLeast"/>
        </w:trPr>
        <w:tc>
          <w:tcPr>
            <w:tcW w:w="410"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pPr>
          </w:p>
        </w:tc>
        <w:tc>
          <w:tcPr>
            <w:tcW w:w="298"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pP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10月</w: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12月</w:t>
            </w: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2月</w:t>
            </w: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4月</w:t>
            </w: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lang w:val="en-US" w:eastAsia="zh-CN"/>
              </w:rPr>
            </w:pPr>
            <w:r>
              <w:rPr>
                <w:rFonts w:hint="eastAsia" w:cs="Times New Roman"/>
                <w:color w:val="000000"/>
                <w:szCs w:val="18"/>
                <w:lang w:val="en-US" w:eastAsia="zh-CN"/>
              </w:rPr>
              <w:t>6月</w:t>
            </w: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lang w:val="en-US" w:eastAsia="zh-CN"/>
              </w:rPr>
            </w:pPr>
            <w:r>
              <w:rPr>
                <w:rFonts w:hint="eastAsia" w:cs="Times New Roman"/>
                <w:color w:val="000000"/>
                <w:szCs w:val="18"/>
                <w:lang w:val="en-US" w:eastAsia="zh-CN"/>
              </w:rPr>
              <w:t>8月</w:t>
            </w: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10月</w:t>
            </w: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12月</w:t>
            </w: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2月</w:t>
            </w: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4月</w:t>
            </w: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6月</w:t>
            </w: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eastAsia="仿宋_GB2312" w:cs="Times New Roman"/>
                <w:color w:val="000000"/>
                <w:szCs w:val="18"/>
                <w:lang w:val="en-US" w:eastAsia="zh-CN"/>
              </w:rPr>
            </w:pPr>
            <w:r>
              <w:rPr>
                <w:rFonts w:hint="eastAsia" w:cs="Times New Roman"/>
                <w:color w:val="000000"/>
                <w:szCs w:val="18"/>
                <w:lang w:val="en-US" w:eastAsia="zh-CN"/>
              </w:rPr>
              <w:t>8月</w:t>
            </w: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ind w:firstLine="0" w:firstLineChars="0"/>
              <w:jc w:val="center"/>
              <w:rPr>
                <w:rFonts w:hint="default" w:cs="Times New Roman"/>
                <w:color w:val="000000"/>
                <w:szCs w:val="18"/>
                <w:lang w:val="en-US" w:eastAsia="zh-CN"/>
              </w:rPr>
            </w:pPr>
            <w:r>
              <w:rPr>
                <w:rFonts w:hint="eastAsia" w:cs="Times New Roman"/>
                <w:color w:val="000000"/>
                <w:szCs w:val="18"/>
                <w:lang w:val="en-US" w:eastAsia="zh-CN"/>
              </w:rPr>
              <w:t>10月</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561" w:hRule="atLeast"/>
        </w:trPr>
        <w:tc>
          <w:tcPr>
            <w:tcW w:w="410" w:type="pct"/>
            <w:vMerge w:val="restar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default" w:eastAsia="仿宋_GB2312" w:cs="Times New Roman"/>
                <w:color w:val="000000"/>
                <w:szCs w:val="18"/>
                <w:lang w:val="en-US" w:eastAsia="zh-CN"/>
              </w:rPr>
            </w:pPr>
            <w:r>
              <w:rPr>
                <w:rFonts w:hint="eastAsia"/>
                <w:i w:val="0"/>
                <w:iCs w:val="0"/>
                <w:kern w:val="0"/>
                <w:sz w:val="21"/>
                <w:szCs w:val="21"/>
                <w:highlight w:val="none"/>
              </w:rPr>
              <w:t>仪陇县琳琅大道中段棚户区改造项目</w:t>
            </w:r>
            <w:r>
              <w:rPr>
                <w:rFonts w:hint="eastAsia"/>
                <w:i w:val="0"/>
                <w:iCs w:val="0"/>
                <w:kern w:val="0"/>
                <w:sz w:val="21"/>
                <w:szCs w:val="21"/>
                <w:highlight w:val="none"/>
                <w:lang w:eastAsia="zh-CN"/>
              </w:rPr>
              <w:t>（五星花园地块）</w:t>
            </w:r>
          </w:p>
        </w:tc>
        <w:tc>
          <w:tcPr>
            <w:tcW w:w="857" w:type="pct"/>
            <w:gridSpan w:val="2"/>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cs="Times New Roman"/>
                <w:color w:val="000000"/>
                <w:szCs w:val="18"/>
                <w:lang w:val="en-US" w:eastAsia="zh-CN"/>
              </w:rPr>
              <w:t>建筑构物工程</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r>
              <w:rPr>
                <w:sz w:val="30"/>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156210</wp:posOffset>
                      </wp:positionV>
                      <wp:extent cx="2261235" cy="6350"/>
                      <wp:effectExtent l="0" t="9525" r="5715" b="12700"/>
                      <wp:wrapNone/>
                      <wp:docPr id="17" name="直接连接符 17"/>
                      <wp:cNvGraphicFramePr/>
                      <a:graphic xmlns:a="http://schemas.openxmlformats.org/drawingml/2006/main">
                        <a:graphicData uri="http://schemas.microsoft.com/office/word/2010/wordprocessingShape">
                          <wps:wsp>
                            <wps:cNvCnPr/>
                            <wps:spPr>
                              <a:xfrm flipV="1">
                                <a:off x="0" y="0"/>
                                <a:ext cx="2261235" cy="635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25pt;margin-top:12.3pt;height:0.5pt;width:178.05pt;z-index:251663360;mso-width-relative:page;mso-height-relative:page;" filled="f" stroked="t" coordsize="21600,21600" o:gfxdata="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Tphn1AAAAAYBAAAPAAAAAAAAAAEAIAAAACIAAABkcnMvZG93bnJl&#10;di54bWxQSwECFAAUAAAACACHTuJArCRfXQECAAD0AwAADgAAAAAAAAABACAAAAAjAQAAZHJzL2Uy&#10;b0RvYy54bWxQSwUGAAAAAAYABgBZAQAAlgUAAAAA&#10;">
                      <v:fill on="f" focussize="0,0"/>
                      <v:stroke weight="1.5pt" color="#000000" joinstyle="round"/>
                      <v:imagedata o:title=""/>
                      <o:lock v:ext="edit" aspectratio="f"/>
                    </v:lin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561" w:hRule="atLeast"/>
        </w:trPr>
        <w:tc>
          <w:tcPr>
            <w:tcW w:w="410"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857" w:type="pct"/>
            <w:gridSpan w:val="2"/>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cs="Times New Roman"/>
                <w:color w:val="000000"/>
                <w:szCs w:val="18"/>
                <w:lang w:val="en-US" w:eastAsia="zh-CN"/>
              </w:rPr>
              <w:t>附属设施工程</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r>
              <w:rPr>
                <w:sz w:val="30"/>
              </w:rPr>
              <mc:AlternateContent>
                <mc:Choice Requires="wps">
                  <w:drawing>
                    <wp:anchor distT="0" distB="0" distL="114300" distR="114300" simplePos="0" relativeHeight="251664384" behindDoc="0" locked="0" layoutInCell="1" allowOverlap="1">
                      <wp:simplePos x="0" y="0"/>
                      <wp:positionH relativeFrom="column">
                        <wp:posOffset>223520</wp:posOffset>
                      </wp:positionH>
                      <wp:positionV relativeFrom="paragraph">
                        <wp:posOffset>97790</wp:posOffset>
                      </wp:positionV>
                      <wp:extent cx="1855470" cy="635"/>
                      <wp:effectExtent l="0" t="0" r="0" b="0"/>
                      <wp:wrapNone/>
                      <wp:docPr id="18" name="直接连接符 18"/>
                      <wp:cNvGraphicFramePr/>
                      <a:graphic xmlns:a="http://schemas.openxmlformats.org/drawingml/2006/main">
                        <a:graphicData uri="http://schemas.microsoft.com/office/word/2010/wordprocessingShape">
                          <wps:wsp>
                            <wps:cNvCnPr/>
                            <wps:spPr>
                              <a:xfrm>
                                <a:off x="0" y="0"/>
                                <a:ext cx="1855470"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6pt;margin-top:7.7pt;height:0.05pt;width:146.1pt;z-index:251664384;mso-width-relative:page;mso-height-relative:page;" filled="f" stroked="t" coordsize="21600,21600" o:gfxdata="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FsRTVAAAACAEAAA8AAAAAAAAAAQAgAAAAIgAAAGRycy9kb3ducmV2LnhtbFBLAQIU&#10;ABQAAAAIAIdO4kBv6vAH9gEAAOkDAAAOAAAAAAAAAAEAIAAAACQBAABkcnMvZTJvRG9jLnhtbFBL&#10;BQYAAAAABgAGAFkBAACMBQAAAAA=&#10;">
                      <v:fill on="f" focussize="0,0"/>
                      <v:stroke weight="1.5pt" color="#000000" joinstyle="round"/>
                      <v:imagedata o:title=""/>
                      <o:lock v:ext="edit" aspectratio="f"/>
                    </v:line>
                  </w:pict>
                </mc:Fallback>
              </mc:AlternateContent>
            </w: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570" w:hRule="atLeast"/>
        </w:trPr>
        <w:tc>
          <w:tcPr>
            <w:tcW w:w="410" w:type="pct"/>
            <w:vMerge w:val="continue"/>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857" w:type="pct"/>
            <w:gridSpan w:val="2"/>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cs="Times New Roman"/>
                <w:color w:val="000000"/>
                <w:szCs w:val="18"/>
                <w:lang w:val="en-US" w:eastAsia="zh-CN"/>
              </w:rPr>
              <w:t>景观绿化工程</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sz w:val="30"/>
              </w:rPr>
              <mc:AlternateContent>
                <mc:Choice Requires="wps">
                  <w:drawing>
                    <wp:anchor distT="0" distB="0" distL="114300" distR="114300" simplePos="0" relativeHeight="251665408" behindDoc="0" locked="0" layoutInCell="1" allowOverlap="1">
                      <wp:simplePos x="0" y="0"/>
                      <wp:positionH relativeFrom="column">
                        <wp:posOffset>350520</wp:posOffset>
                      </wp:positionH>
                      <wp:positionV relativeFrom="paragraph">
                        <wp:posOffset>146050</wp:posOffset>
                      </wp:positionV>
                      <wp:extent cx="1287780" cy="889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1287780" cy="889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11.5pt;height:0.7pt;width:101.4pt;z-index:251665408;mso-width-relative:page;mso-height-relative:page;" filled="f" stroked="t" coordsize="21600,21600" o:gfxdata="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9fdWHVAAAACAEAAA8AAAAAAAAAAQAgAAAAIgAAAGRycy9kb3ducmV2LnhtbFBL&#10;AQIUABQAAAAIAIdO4kC/ObRg+QEAAOoDAAAOAAAAAAAAAAEAIAAAACQBAABkcnMvZTJvRG9jLnht&#10;bFBLBQYAAAAABgAGAFkBAACPBQAAAAA=&#10;">
                      <v:fill on="f" focussize="0,0"/>
                      <v:stroke weight="1.5pt" color="#000000" joinstyle="round"/>
                      <v:imagedata o:title=""/>
                      <o:lock v:ext="edit" aspectratio="f"/>
                    </v:line>
                  </w:pict>
                </mc:Fallback>
              </mc:AlternateContent>
            </w: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585" w:hRule="atLeast"/>
        </w:trPr>
        <w:tc>
          <w:tcPr>
            <w:tcW w:w="410" w:type="pct"/>
            <w:vMerge w:val="restart"/>
            <w:tcBorders>
              <w:top w:val="single" w:color="auto" w:sz="4" w:space="0"/>
              <w:left w:val="single" w:color="auto" w:sz="4" w:space="0"/>
              <w:right w:val="single" w:color="auto" w:sz="4" w:space="0"/>
            </w:tcBorders>
            <w:noWrap w:val="0"/>
            <w:vAlign w:val="center"/>
          </w:tcPr>
          <w:p>
            <w:pPr>
              <w:pStyle w:val="31"/>
              <w:spacing w:line="20" w:lineRule="atLeast"/>
              <w:jc w:val="center"/>
              <w:rPr>
                <w:rFonts w:hint="eastAsia" w:eastAsia="仿宋" w:cs="Times New Roman"/>
                <w:color w:val="000000"/>
                <w:szCs w:val="18"/>
                <w:lang w:eastAsia="zh-CN"/>
              </w:rPr>
            </w:pPr>
            <w:r>
              <w:rPr>
                <w:rFonts w:hint="eastAsia" w:cs="Times New Roman"/>
                <w:color w:val="000000"/>
                <w:szCs w:val="18"/>
                <w:lang w:eastAsia="zh-CN"/>
              </w:rPr>
              <w:t>水土保持措施</w:t>
            </w:r>
          </w:p>
        </w:tc>
        <w:tc>
          <w:tcPr>
            <w:tcW w:w="298" w:type="pct"/>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建构筑物区</w:t>
            </w:r>
          </w:p>
        </w:tc>
        <w:tc>
          <w:tcPr>
            <w:tcW w:w="55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cs="Times New Roman"/>
                <w:kern w:val="0"/>
                <w:sz w:val="20"/>
                <w:szCs w:val="22"/>
                <w:lang w:val="en-US" w:eastAsia="zh-CN" w:bidi="ar"/>
              </w:rPr>
              <w:t>临时排水沟</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207010</wp:posOffset>
                      </wp:positionV>
                      <wp:extent cx="368300" cy="5715"/>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35pt;margin-top:16.3pt;height:0.45pt;width:29pt;z-index:251666432;mso-width-relative:page;mso-height-relative:page;" filled="f" stroked="t" coordsize="21600,21600" o:gfxdata="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AZMQ0wAAAAYBAAAPAAAAAAAAAAEAIAAAACIAAABkcnMvZG93bnJldi54&#10;bWxQSwECFAAUAAAACACHTuJA9YXIxP8BAADwAwAADgAAAAAAAAABACAAAAAiAQAAZHJzL2Uyb0Rv&#10;Yy54bWxQSwUGAAAAAAYABgBZAQAAkwU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623"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ascii="Times New Roman" w:hAnsi="Times New Roman" w:eastAsia="仿宋" w:cs="Times New Roman"/>
                <w:kern w:val="0"/>
                <w:sz w:val="20"/>
                <w:szCs w:val="22"/>
                <w:lang w:val="en-US" w:eastAsia="zh-CN" w:bidi="ar"/>
              </w:rPr>
              <w:t>临时沉砂池</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26670</wp:posOffset>
                      </wp:positionH>
                      <wp:positionV relativeFrom="paragraph">
                        <wp:posOffset>215900</wp:posOffset>
                      </wp:positionV>
                      <wp:extent cx="368300" cy="5715"/>
                      <wp:effectExtent l="0" t="0" r="0" b="0"/>
                      <wp:wrapNone/>
                      <wp:docPr id="22" name="直接箭头连接符 22"/>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2.1pt;margin-top:17pt;height:0.45pt;width:29pt;z-index:251667456;mso-width-relative:page;mso-height-relative:page;" filled="f" stroked="t" coordsize="21600,21600" o:gfxdata="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KcmTUAAAABgEAAA8AAAAAAAAAAQAgAAAAIgAAAGRycy9kb3ducmV2&#10;LnhtbFBLAQIUABQAAAAIAIdO4kAvq4CCAAIAAPADAAAOAAAAAAAAAAEAIAAAACMBAABkcnMvZTJv&#10;RG9jLnhtbFBLBQYAAAAABgAGAFkBAACVBQ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623"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临时遮盖</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b/>
                <w:bCs/>
                <w:color w:val="auto"/>
                <w:sz w:val="21"/>
                <w:szCs w:val="21"/>
                <w:highlight w:val="none"/>
              </w:rPr>
            </w:pPr>
            <w:r>
              <w:rPr>
                <w:rFonts w:hint="eastAsia"/>
                <w:b/>
                <w:bCs/>
                <w:color w:val="auto"/>
                <w:sz w:val="21"/>
                <w:szCs w:val="21"/>
                <w:highlight w:val="none"/>
              </w:rPr>
              <mc:AlternateContent>
                <mc:Choice Requires="wps">
                  <w:drawing>
                    <wp:anchor distT="0" distB="0" distL="114300" distR="114300" simplePos="0" relativeHeight="251680768" behindDoc="0" locked="0" layoutInCell="1" allowOverlap="1">
                      <wp:simplePos x="0" y="0"/>
                      <wp:positionH relativeFrom="column">
                        <wp:posOffset>18415</wp:posOffset>
                      </wp:positionH>
                      <wp:positionV relativeFrom="paragraph">
                        <wp:posOffset>180975</wp:posOffset>
                      </wp:positionV>
                      <wp:extent cx="1085215" cy="12065"/>
                      <wp:effectExtent l="0" t="9525" r="635" b="16510"/>
                      <wp:wrapNone/>
                      <wp:docPr id="5" name="直接箭头连接符 5"/>
                      <wp:cNvGraphicFramePr/>
                      <a:graphic xmlns:a="http://schemas.openxmlformats.org/drawingml/2006/main">
                        <a:graphicData uri="http://schemas.microsoft.com/office/word/2010/wordprocessingShape">
                          <wps:wsp>
                            <wps:cNvCnPr/>
                            <wps:spPr>
                              <a:xfrm>
                                <a:off x="0" y="0"/>
                                <a:ext cx="1085215" cy="1206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45pt;margin-top:14.25pt;height:0.95pt;width:85.45pt;z-index:251680768;mso-width-relative:page;mso-height-relative:page;" filled="f" stroked="t" coordsize="21600,21600" o:gfxdata="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qCP51gAAAAcBAAAPAAAAAAAAAAEAIAAAACIAAABkcnMvZG93&#10;bnJldi54bWxQSwECFAAUAAAACACHTuJAH8seXgICAADwAwAADgAAAAAAAAABACAAAAAlAQAAZHJz&#10;L2Uyb0RvYy54bWxQSwUGAAAAAAYABgBZAQAAmQU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附属设施区</w:t>
            </w:r>
          </w:p>
        </w:tc>
        <w:tc>
          <w:tcPr>
            <w:tcW w:w="55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聚乙烯PE缠绕结构壁管</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127000</wp:posOffset>
                      </wp:positionH>
                      <wp:positionV relativeFrom="paragraph">
                        <wp:posOffset>340995</wp:posOffset>
                      </wp:positionV>
                      <wp:extent cx="368300" cy="5715"/>
                      <wp:effectExtent l="0" t="0" r="0" b="0"/>
                      <wp:wrapNone/>
                      <wp:docPr id="23" name="直接箭头连接符 23"/>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0pt;margin-top:26.85pt;height:0.45pt;width:29pt;z-index:251668480;mso-width-relative:page;mso-height-relative:page;" filled="f" stroked="t" coordsize="21600,21600" o:gfxdata="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wcNMAAAAHAQAADwAAAAAAAAABACAAAAAiAAAAZHJzL2Rvd25yZXYu&#10;eG1sUEsBAhQAFAAAAAgAh07iQEK8pKEAAgAA8AMAAA4AAAAAAAAAAQAgAAAAIgEAAGRycy9lMm9E&#10;b2MueG1sUEsFBgAAAAAGAAYAWQEAAJQFAAAAAA==&#10;">
                      <v:fill on="f" focussize="0,0"/>
                      <v:stroke weight="1.5pt" color="#000000" joinstyle="round" dashstyle="dash"/>
                      <v:imagedata o:title=""/>
                      <o:lock v:ext="edit" aspectratio="f"/>
                    </v:shape>
                  </w:pict>
                </mc:Fallback>
              </mc:AlternateContent>
            </w: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雨水检查井</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120650</wp:posOffset>
                      </wp:positionH>
                      <wp:positionV relativeFrom="paragraph">
                        <wp:posOffset>81280</wp:posOffset>
                      </wp:positionV>
                      <wp:extent cx="368300" cy="5715"/>
                      <wp:effectExtent l="0" t="0" r="0" b="0"/>
                      <wp:wrapNone/>
                      <wp:docPr id="26" name="直接箭头连接符 26"/>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9.5pt;margin-top:6.4pt;height:0.45pt;width:29pt;z-index:251669504;mso-width-relative:page;mso-height-relative:page;" filled="f" stroked="t" coordsize="21600,21600" o:gfxdata="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hu18NMAAAAHAQAADwAAAAAAAAABACAAAAAiAAAAZHJzL2Rvd25yZXYu&#10;eG1sUEsBAhQAFAAAAAgAh07iQJv2EA4AAgAA8AMAAA4AAAAAAAAAAQAgAAAAIgEAAGRycy9lMm9E&#10;b2MueG1sUEsFBgAAAAAGAAYAWQEAAJQFAAAAAA==&#10;">
                      <v:fill on="f" focussize="0,0"/>
                      <v:stroke weight="1.5pt" color="#000000" joinstyle="round" dashstyle="dash"/>
                      <v:imagedata o:title=""/>
                      <o:lock v:ext="edit" aspectratio="f"/>
                    </v:shape>
                  </w:pict>
                </mc:Fallback>
              </mc:AlternateContent>
            </w: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单篦雨水口</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139700</wp:posOffset>
                      </wp:positionH>
                      <wp:positionV relativeFrom="paragraph">
                        <wp:posOffset>74930</wp:posOffset>
                      </wp:positionV>
                      <wp:extent cx="368300" cy="5715"/>
                      <wp:effectExtent l="0" t="0" r="0" b="0"/>
                      <wp:wrapNone/>
                      <wp:docPr id="27" name="直接箭头连接符 27"/>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1pt;margin-top:5.9pt;height:0.45pt;width:29pt;z-index:251670528;mso-width-relative:page;mso-height-relative:page;" filled="f" stroked="t" coordsize="21600,21600" o:gfxdata="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JcCYtMAAAAHAQAADwAAAAAAAAABACAAAAAiAAAAZHJzL2Rvd25yZXYu&#10;eG1sUEsBAhQAFAAAAAgAh07iQPbhNC0AAgAA8AMAAA4AAAAAAAAAAQAgAAAAIgEAAGRycy9lMm9E&#10;b2MueG1sUEsFBgAAAAAGAAYAWQEAAJQFAAAAAA==&#10;">
                      <v:fill on="f" focussize="0,0"/>
                      <v:stroke weight="1.5pt" color="#000000" joinstyle="round" dashstyle="dash"/>
                      <v:imagedata o:title=""/>
                      <o:lock v:ext="edit" aspectratio="f"/>
                    </v:shape>
                  </w:pict>
                </mc:Fallback>
              </mc:AlternateContent>
            </w: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洗车槽</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35560</wp:posOffset>
                      </wp:positionH>
                      <wp:positionV relativeFrom="paragraph">
                        <wp:posOffset>182880</wp:posOffset>
                      </wp:positionV>
                      <wp:extent cx="368300" cy="5715"/>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2.8pt;margin-top:14.4pt;height:0.45pt;width:29pt;z-index:251671552;mso-width-relative:page;mso-height-relative:page;" filled="f" stroked="t" coordsize="21600,21600" o:gfxdata="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rUjVtQAAAAGAQAADwAAAAAAAAABACAAAAAiAAAAZHJzL2Rvd25yZXYu&#10;eG1sUEsBAhQAFAAAAAgAh07iQNw4mQb/AQAA8AMAAA4AAAAAAAAAAQAgAAAAIwEAAGRycy9lMm9E&#10;b2MueG1sUEsFBgAAAAAGAAYAWQEAAJQFA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临时遮盖</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18415</wp:posOffset>
                      </wp:positionH>
                      <wp:positionV relativeFrom="paragraph">
                        <wp:posOffset>191135</wp:posOffset>
                      </wp:positionV>
                      <wp:extent cx="2647315" cy="20320"/>
                      <wp:effectExtent l="0" t="9525" r="635" b="27305"/>
                      <wp:wrapNone/>
                      <wp:docPr id="29" name="直接箭头连接符 29"/>
                      <wp:cNvGraphicFramePr/>
                      <a:graphic xmlns:a="http://schemas.openxmlformats.org/drawingml/2006/main">
                        <a:graphicData uri="http://schemas.microsoft.com/office/word/2010/wordprocessingShape">
                          <wps:wsp>
                            <wps:cNvCnPr/>
                            <wps:spPr>
                              <a:xfrm>
                                <a:off x="0" y="0"/>
                                <a:ext cx="2647315" cy="20320"/>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45pt;margin-top:15.05pt;height:1.6pt;width:208.45pt;z-index:251672576;mso-width-relative:page;mso-height-relative:page;" filled="f" stroked="t" coordsize="21600,21600" o:gfxdata="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y4wn1gAAAAcBAAAPAAAAAAAAAAEAIAAAACIAAABkcnMv&#10;ZG93bnJldi54bWxQSwECFAAUAAAACACHTuJACTnOKgUCAADyAwAADgAAAAAAAAABACAAAAAlAQAA&#10;ZHJzL2Uyb0RvYy54bWxQSwUGAAAAAAYABgBZAQAAnAU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restart"/>
            <w:tcBorders>
              <w:top w:val="single" w:color="auto" w:sz="4" w:space="0"/>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r>
              <w:rPr>
                <w:rFonts w:hint="eastAsia" w:ascii="Times New Roman" w:hAnsi="Times New Roman" w:eastAsia="仿宋" w:cs="Times New Roman"/>
                <w:kern w:val="0"/>
                <w:sz w:val="20"/>
                <w:szCs w:val="22"/>
                <w:lang w:val="en-US" w:eastAsia="zh-CN" w:bidi="ar"/>
              </w:rPr>
              <w:t>景观绿化区</w:t>
            </w:r>
          </w:p>
        </w:tc>
        <w:tc>
          <w:tcPr>
            <w:tcW w:w="55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种植土回覆</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41910</wp:posOffset>
                      </wp:positionH>
                      <wp:positionV relativeFrom="paragraph">
                        <wp:posOffset>160655</wp:posOffset>
                      </wp:positionV>
                      <wp:extent cx="368300" cy="5715"/>
                      <wp:effectExtent l="0" t="0" r="0" b="0"/>
                      <wp:wrapNone/>
                      <wp:docPr id="30" name="直接箭头连接符 30"/>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3.3pt;margin-top:12.65pt;height:0.45pt;width:29pt;z-index:251673600;mso-width-relative:page;mso-height-relative:page;" filled="f" stroked="t" coordsize="21600,21600" o:gfxdata="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UVHy0wAAAAYBAAAPAAAAAAAAAAEAIAAAACIAAABkcnMvZG93bnJldi54&#10;bWxQSwECFAAUAAAACACHTuJAB7zo9/8BAADwAwAADgAAAAAAAAABACAAAAAiAQAAZHJzL2Uyb0Rv&#10;Yy54bWxQSwUGAAAAAAYABgBZAQAAkwUAAAAA&#10;">
                      <v:fill on="f" focussize="0,0"/>
                      <v:stroke weight="1.5pt" color="#000000" joinstyle="round" dashstyle="dash"/>
                      <v:imagedata o:title=""/>
                      <o:lock v:ext="edit" aspectratio="f"/>
                    </v:shape>
                  </w:pict>
                </mc:Fallback>
              </mc:AlternateContent>
            </w: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kern w:val="0"/>
                <w:sz w:val="20"/>
                <w:szCs w:val="22"/>
                <w:lang w:val="en-US" w:eastAsia="zh-CN" w:bidi="ar"/>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香樟</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4624" behindDoc="0" locked="0" layoutInCell="1" allowOverlap="1">
                      <wp:simplePos x="0" y="0"/>
                      <wp:positionH relativeFrom="column">
                        <wp:posOffset>12065</wp:posOffset>
                      </wp:positionH>
                      <wp:positionV relativeFrom="paragraph">
                        <wp:posOffset>192405</wp:posOffset>
                      </wp:positionV>
                      <wp:extent cx="368300" cy="5715"/>
                      <wp:effectExtent l="0" t="0" r="0" b="0"/>
                      <wp:wrapNone/>
                      <wp:docPr id="31" name="直接箭头连接符 31"/>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0.95pt;margin-top:15.15pt;height:0.45pt;width:29pt;z-index:251674624;mso-width-relative:page;mso-height-relative:page;" filled="f" stroked="t" coordsize="21600,21600" o:gfxdata="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J1OT0gAAAAYBAAAPAAAAAAAAAAEAIAAAACIAAABkcnMvZG93bnJldi54&#10;bWxQSwECFAAUAAAACACHTuJAaqvM1AACAADwAwAADgAAAAAAAAABACAAAAAhAQAAZHJzL2Uyb0Rv&#10;Yy54bWxQSwUGAAAAAAYABgBZAQAAkwUAAAAA&#10;">
                      <v:fill on="f" focussize="0,0"/>
                      <v:stroke weight="1.5pt" color="#000000" joinstyle="round" dashstyle="dash"/>
                      <v:imagedata o:title=""/>
                      <o:lock v:ext="edit" aspectratio="f"/>
                    </v:shape>
                  </w:pict>
                </mc:Fallback>
              </mc:AlternateContent>
            </w: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eastAsia" w:cs="Times New Roman"/>
                <w:kern w:val="0"/>
                <w:sz w:val="20"/>
                <w:szCs w:val="22"/>
                <w:lang w:val="en-US" w:eastAsia="zh-CN" w:bidi="ar"/>
              </w:rPr>
              <w:t>台湾二号草坪</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2540</wp:posOffset>
                      </wp:positionH>
                      <wp:positionV relativeFrom="paragraph">
                        <wp:posOffset>167005</wp:posOffset>
                      </wp:positionV>
                      <wp:extent cx="368300" cy="5715"/>
                      <wp:effectExtent l="0" t="0" r="0" b="0"/>
                      <wp:wrapNone/>
                      <wp:docPr id="32" name="直接箭头连接符 32"/>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0.2pt;margin-top:13.15pt;height:0.45pt;width:29pt;z-index:251675648;mso-width-relative:page;mso-height-relative:page;" filled="f" stroked="t" coordsize="21600,21600" o:gfxdata="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v+Dd9MAAAAFAQAADwAAAAAAAAABACAAAAAiAAAAZHJzL2Rvd25yZXYu&#10;eG1sUEsBAhQAFAAAAAgAh07iQN2SoLEAAgAA8AMAAA4AAAAAAAAAAQAgAAAAIgEAAGRycy9lMm9E&#10;b2MueG1sUEsFBgAAAAAGAAYAWQEAAJQFAAAAAA==&#10;">
                      <v:fill on="f" focussize="0,0"/>
                      <v:stroke weight="1.5pt" color="#000000" joinstyle="round" dashstyle="dash"/>
                      <v:imagedata o:title=""/>
                      <o:lock v:ext="edit" aspectratio="f"/>
                    </v:shape>
                  </w:pict>
                </mc:Fallback>
              </mc:AlternateContent>
            </w: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70" w:hRule="atLeast"/>
        </w:trPr>
        <w:tc>
          <w:tcPr>
            <w:tcW w:w="410" w:type="pct"/>
            <w:vMerge w:val="continue"/>
            <w:tcBorders>
              <w:left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kern w:val="0"/>
                <w:sz w:val="20"/>
                <w:szCs w:val="22"/>
                <w:lang w:val="en-US" w:eastAsia="zh-CN" w:bidi="ar"/>
              </w:rPr>
            </w:pPr>
            <w:r>
              <w:rPr>
                <w:rFonts w:hint="default" w:ascii="Times New Roman" w:hAnsi="Times New Roman" w:eastAsia="仿宋" w:cs="Times New Roman"/>
                <w:kern w:val="0"/>
                <w:sz w:val="20"/>
                <w:szCs w:val="22"/>
                <w:lang w:val="en-US" w:eastAsia="zh-CN" w:bidi="ar"/>
              </w:rPr>
              <w:t>麦冬</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6672" behindDoc="0" locked="0" layoutInCell="1" allowOverlap="1">
                      <wp:simplePos x="0" y="0"/>
                      <wp:positionH relativeFrom="column">
                        <wp:posOffset>12065</wp:posOffset>
                      </wp:positionH>
                      <wp:positionV relativeFrom="paragraph">
                        <wp:posOffset>170180</wp:posOffset>
                      </wp:positionV>
                      <wp:extent cx="368300" cy="5715"/>
                      <wp:effectExtent l="0" t="0" r="0" b="0"/>
                      <wp:wrapNone/>
                      <wp:docPr id="33" name="直接箭头连接符 33"/>
                      <wp:cNvGraphicFramePr/>
                      <a:graphic xmlns:a="http://schemas.openxmlformats.org/drawingml/2006/main">
                        <a:graphicData uri="http://schemas.microsoft.com/office/word/2010/wordprocessingShape">
                          <wps:wsp>
                            <wps:cNvCnPr/>
                            <wps:spPr>
                              <a:xfrm>
                                <a:off x="0" y="0"/>
                                <a:ext cx="368300" cy="571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0.95pt;margin-top:13.4pt;height:0.45pt;width:29pt;z-index:251676672;mso-width-relative:page;mso-height-relative:page;" filled="f" stroked="t" coordsize="21600,21600" o:gfxdata="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y4a+0gAAAAYBAAAPAAAAAAAAAAEAIAAAACIAAABkcnMvZG93bnJldi54&#10;bWxQSwECFAAUAAAACACHTuJAsIWEkgACAADwAwAADgAAAAAAAAABACAAAAAhAQAAZHJzL2Uyb0Rv&#10;Yy54bWxQSwUGAAAAAAYABgBZAQAAkwUAAAAA&#10;">
                      <v:fill on="f" focussize="0,0"/>
                      <v:stroke weight="1.5pt" color="#000000" joinstyle="round" dashstyle="dash"/>
                      <v:imagedata o:title=""/>
                      <o:lock v:ext="edit" aspectratio="f"/>
                    </v:shape>
                  </w:pict>
                </mc:Fallback>
              </mc:AlternateContent>
            </w: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580" w:hRule="atLeast"/>
        </w:trPr>
        <w:tc>
          <w:tcPr>
            <w:tcW w:w="410" w:type="pct"/>
            <w:vMerge w:val="continue"/>
            <w:tcBorders>
              <w:left w:val="single" w:color="auto" w:sz="4" w:space="0"/>
              <w:bottom w:val="single" w:color="auto" w:sz="4" w:space="0"/>
              <w:right w:val="single" w:color="auto" w:sz="4" w:space="0"/>
            </w:tcBorders>
            <w:noWrap w:val="0"/>
            <w:vAlign w:val="center"/>
          </w:tcPr>
          <w:p>
            <w:pPr>
              <w:pStyle w:val="31"/>
              <w:spacing w:line="20" w:lineRule="atLeast"/>
              <w:jc w:val="center"/>
              <w:rPr>
                <w:rFonts w:cs="Times New Roman"/>
                <w:color w:val="000000"/>
                <w:szCs w:val="18"/>
              </w:rPr>
            </w:pPr>
          </w:p>
        </w:tc>
        <w:tc>
          <w:tcPr>
            <w:tcW w:w="298" w:type="pct"/>
            <w:vMerge w:val="continue"/>
            <w:tcBorders>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lang w:val="en-US" w:eastAsia="zh-CN"/>
              </w:rPr>
            </w:pP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kern w:val="0"/>
                <w:sz w:val="20"/>
                <w:szCs w:val="22"/>
                <w:lang w:val="en-US" w:eastAsia="zh-CN" w:bidi="ar"/>
              </w:rPr>
            </w:pPr>
            <w:r>
              <w:rPr>
                <w:rFonts w:hint="eastAsia" w:ascii="Times New Roman" w:hAnsi="Times New Roman" w:cs="Times New Roman"/>
                <w:kern w:val="0"/>
                <w:sz w:val="20"/>
                <w:szCs w:val="22"/>
                <w:lang w:val="en-US" w:eastAsia="zh-CN" w:bidi="ar"/>
              </w:rPr>
              <w:t>临时遮盖</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r>
              <w:rPr>
                <w:rFonts w:hint="eastAsia"/>
                <w:b/>
                <w:bCs/>
                <w:color w:val="auto"/>
                <w:sz w:val="21"/>
                <w:szCs w:val="21"/>
                <w:highlight w:val="none"/>
              </w:rPr>
              <mc:AlternateContent>
                <mc:Choice Requires="wps">
                  <w:drawing>
                    <wp:anchor distT="0" distB="0" distL="114300" distR="114300" simplePos="0" relativeHeight="251677696" behindDoc="0" locked="0" layoutInCell="1" allowOverlap="1">
                      <wp:simplePos x="0" y="0"/>
                      <wp:positionH relativeFrom="column">
                        <wp:posOffset>69850</wp:posOffset>
                      </wp:positionH>
                      <wp:positionV relativeFrom="paragraph">
                        <wp:posOffset>57150</wp:posOffset>
                      </wp:positionV>
                      <wp:extent cx="2978150" cy="8890"/>
                      <wp:effectExtent l="0" t="9525" r="12700" b="10160"/>
                      <wp:wrapNone/>
                      <wp:docPr id="34" name="直接箭头连接符 34"/>
                      <wp:cNvGraphicFramePr/>
                      <a:graphic xmlns:a="http://schemas.openxmlformats.org/drawingml/2006/main">
                        <a:graphicData uri="http://schemas.microsoft.com/office/word/2010/wordprocessingShape">
                          <wps:wsp>
                            <wps:cNvCnPr/>
                            <wps:spPr>
                              <a:xfrm flipV="1">
                                <a:off x="0" y="0"/>
                                <a:ext cx="2978150" cy="8890"/>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flip:y;margin-left:5.5pt;margin-top:4.5pt;height:0.7pt;width:234.5pt;z-index:251677696;mso-width-relative:page;mso-height-relative:page;" filled="f" stroked="t" coordsize="21600,21600" o:gfxdata="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lEorrUAAAABwEAAA8AAAAAAAAAAQAgAAAAIgAAAGRy&#10;cy9kb3ducmV2LnhtbFBLAQIUABQAAAAIAIdO4kCheeMnCQIAAPsDAAAOAAAAAAAAAAEAIAAAACMB&#10;AABkcnMvZTJvRG9jLnhtbFBLBQYAAAAABgAGAFkBAACeBQAAAAA=&#10;">
                      <v:fill on="f" focussize="0,0"/>
                      <v:stroke weight="1.5pt" color="#000000" joinstyle="round" dashstyle="dash"/>
                      <v:imagedata o:title=""/>
                      <o:lock v:ext="edit" aspectratio="f"/>
                    </v:shape>
                  </w:pict>
                </mc:Fallback>
              </mc:AlternateContent>
            </w:r>
          </w:p>
        </w:tc>
        <w:tc>
          <w:tcPr>
            <w:tcW w:w="28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1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4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88"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20"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2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5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15"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sz w:val="30"/>
              </w:rPr>
            </w:pPr>
          </w:p>
        </w:tc>
        <w:tc>
          <w:tcPr>
            <w:tcW w:w="306"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79"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c>
          <w:tcPr>
            <w:tcW w:w="383" w:type="pct"/>
            <w:tcBorders>
              <w:top w:val="single" w:color="auto" w:sz="4" w:space="0"/>
              <w:left w:val="single" w:color="auto" w:sz="4" w:space="0"/>
              <w:bottom w:val="single" w:color="auto" w:sz="4" w:space="0"/>
              <w:right w:val="single" w:color="auto" w:sz="4" w:space="0"/>
            </w:tcBorders>
            <w:noWrap w:val="0"/>
            <w:vAlign w:val="center"/>
          </w:tcPr>
          <w:p>
            <w:pPr>
              <w:pStyle w:val="31"/>
              <w:spacing w:line="20" w:lineRule="atLeast"/>
              <w:jc w:val="center"/>
              <w:rPr>
                <w:rFonts w:hint="eastAsia" w:cs="Times New Roman"/>
                <w:color w:val="000000"/>
                <w:szCs w:val="18"/>
              </w:rPr>
            </w:pPr>
          </w:p>
        </w:tc>
      </w:tr>
    </w:tbl>
    <w:p>
      <w:pPr>
        <w:ind w:firstLine="0" w:firstLineChars="0"/>
        <w:rPr>
          <w:rFonts w:hint="eastAsia"/>
          <w:b/>
          <w:bCs/>
          <w:color w:val="auto"/>
          <w:highlight w:val="none"/>
        </w:rPr>
      </w:pPr>
      <w:r>
        <w:rPr>
          <w:rFonts w:hint="eastAsia"/>
          <w:b/>
          <w:bCs/>
          <w:color w:val="auto"/>
          <w:sz w:val="21"/>
          <w:szCs w:val="21"/>
          <w:highlight w:val="none"/>
        </w:rPr>
        <mc:AlternateContent>
          <mc:Choice Requires="wps">
            <w:drawing>
              <wp:anchor distT="0" distB="0" distL="114300" distR="114300" simplePos="0" relativeHeight="251678720" behindDoc="0" locked="0" layoutInCell="1" allowOverlap="1">
                <wp:simplePos x="0" y="0"/>
                <wp:positionH relativeFrom="column">
                  <wp:posOffset>2858770</wp:posOffset>
                </wp:positionH>
                <wp:positionV relativeFrom="paragraph">
                  <wp:posOffset>103505</wp:posOffset>
                </wp:positionV>
                <wp:extent cx="752475" cy="8255"/>
                <wp:effectExtent l="0" t="0" r="0" b="0"/>
                <wp:wrapNone/>
                <wp:docPr id="35" name="直接箭头连接符 35"/>
                <wp:cNvGraphicFramePr/>
                <a:graphic xmlns:a="http://schemas.openxmlformats.org/drawingml/2006/main">
                  <a:graphicData uri="http://schemas.microsoft.com/office/word/2010/wordprocessingShape">
                    <wps:wsp>
                      <wps:cNvCnPr/>
                      <wps:spPr>
                        <a:xfrm>
                          <a:off x="0" y="0"/>
                          <a:ext cx="752475" cy="8255"/>
                        </a:xfrm>
                        <a:prstGeom prst="straightConnector1">
                          <a:avLst/>
                        </a:prstGeom>
                        <a:ln w="19050"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225.1pt;margin-top:8.15pt;height:0.65pt;width:59.25pt;z-index:251678720;mso-width-relative:page;mso-height-relative:page;" filled="f" stroked="t" coordsize="21600,21600" o:gfxdata="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0RNR1wAAAAkBAAAPAAAAAAAAAAEAIAAAACIAAABkcnMvZG93&#10;bnJldi54bWxQSwECFAAUAAAACACHTuJAH3wiSgECAADwAwAADgAAAAAAAAABACAAAAAmAQAAZHJz&#10;L2Uyb0RvYy54bWxQSwUGAAAAAAYABgBZAQAAmQUAAAAA&#10;">
                <v:fill on="f" focussize="0,0"/>
                <v:stroke weight="1.5pt" color="#000000" joinstyle="round" dashstyle="dash"/>
                <v:imagedata o:title=""/>
                <o:lock v:ext="edit" aspectratio="f"/>
              </v:shape>
            </w:pict>
          </mc:Fallback>
        </mc:AlternateContent>
      </w:r>
      <w:r>
        <w:rPr>
          <w:rFonts w:hint="eastAsia"/>
          <w:b/>
          <w:bCs/>
          <w:color w:val="auto"/>
          <w:sz w:val="21"/>
          <w:szCs w:val="21"/>
          <w:highlight w:val="none"/>
        </w:rPr>
        <mc:AlternateContent>
          <mc:Choice Requires="wps">
            <w:drawing>
              <wp:anchor distT="0" distB="0" distL="114300" distR="114300" simplePos="0" relativeHeight="251679744" behindDoc="0" locked="0" layoutInCell="1" allowOverlap="1">
                <wp:simplePos x="0" y="0"/>
                <wp:positionH relativeFrom="column">
                  <wp:posOffset>953135</wp:posOffset>
                </wp:positionH>
                <wp:positionV relativeFrom="paragraph">
                  <wp:posOffset>103505</wp:posOffset>
                </wp:positionV>
                <wp:extent cx="841375" cy="0"/>
                <wp:effectExtent l="0" t="0" r="0" b="0"/>
                <wp:wrapNone/>
                <wp:docPr id="36" name="直接箭头连接符 36"/>
                <wp:cNvGraphicFramePr/>
                <a:graphic xmlns:a="http://schemas.openxmlformats.org/drawingml/2006/main">
                  <a:graphicData uri="http://schemas.microsoft.com/office/word/2010/wordprocessingShape">
                    <wps:wsp>
                      <wps:cNvCnPr/>
                      <wps:spPr>
                        <a:xfrm>
                          <a:off x="0" y="0"/>
                          <a:ext cx="84137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5.05pt;margin-top:8.15pt;height:0pt;width:66.25pt;z-index:251679744;mso-width-relative:page;mso-height-relative:page;" filled="f" stroked="t" coordsize="21600,21600" o:gfxdata="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J1Q70wAAAAkBAAAPAAAAAAAAAAEAIAAAACIAAABkcnMvZG93bnJldi54&#10;bWxQSwECFAAUAAAACACHTuJANnQYmP8BAADuAwAADgAAAAAAAAABACAAAAAiAQAAZHJzL2Uyb0Rv&#10;Yy54bWxQSwUGAAAAAAYABgBZAQAAkwUAAAAA&#10;">
                <v:fill on="f" focussize="0,0"/>
                <v:stroke weight="1.5pt" color="#000000" joinstyle="round"/>
                <v:imagedata o:title=""/>
                <o:lock v:ext="edit" aspectratio="f"/>
              </v:shape>
            </w:pict>
          </mc:Fallback>
        </mc:AlternateContent>
      </w:r>
      <w:r>
        <w:rPr>
          <w:rFonts w:hint="eastAsia"/>
          <w:b/>
          <w:bCs/>
          <w:color w:val="auto"/>
          <w:sz w:val="21"/>
          <w:szCs w:val="21"/>
          <w:highlight w:val="none"/>
        </w:rPr>
        <w:t>注：主体工程：</w:t>
      </w:r>
      <w:r>
        <w:rPr>
          <w:rFonts w:hint="eastAsia"/>
          <w:b/>
          <w:bCs/>
          <w:color w:val="auto"/>
          <w:highlight w:val="none"/>
        </w:rPr>
        <w:t xml:space="preserve">                 </w:t>
      </w:r>
      <w:r>
        <w:rPr>
          <w:rFonts w:hint="eastAsia"/>
          <w:b/>
          <w:bCs/>
          <w:color w:val="auto"/>
          <w:sz w:val="21"/>
          <w:szCs w:val="21"/>
          <w:highlight w:val="none"/>
        </w:rPr>
        <w:t>水保工程：</w:t>
      </w:r>
    </w:p>
    <w:p>
      <w:pPr>
        <w:widowControl/>
        <w:spacing w:line="360" w:lineRule="auto"/>
        <w:jc w:val="center"/>
        <w:rPr>
          <w:highlight w:val="none"/>
        </w:rPr>
      </w:pPr>
    </w:p>
    <w:p>
      <w:pPr>
        <w:rPr>
          <w:rFonts w:hint="eastAsia"/>
          <w:szCs w:val="22"/>
        </w:rPr>
      </w:pPr>
    </w:p>
    <w:p>
      <w:pPr>
        <w:rPr>
          <w:rFonts w:hint="eastAsia"/>
          <w:szCs w:val="22"/>
        </w:rPr>
      </w:pPr>
      <w:r>
        <w:rPr>
          <w:rFonts w:hint="eastAsia"/>
          <w:szCs w:val="22"/>
        </w:rPr>
        <w:br w:type="page"/>
      </w:r>
    </w:p>
    <w:p>
      <w:pPr>
        <w:pStyle w:val="3"/>
        <w:jc w:val="center"/>
        <w:rPr>
          <w:szCs w:val="22"/>
        </w:rPr>
      </w:pPr>
      <w:bookmarkStart w:id="336" w:name="_Toc21299"/>
      <w:r>
        <w:rPr>
          <w:rFonts w:hint="eastAsia"/>
          <w:szCs w:val="22"/>
        </w:rPr>
        <w:t>6水土保持监测</w:t>
      </w:r>
      <w:bookmarkEnd w:id="334"/>
      <w:bookmarkEnd w:id="335"/>
      <w:bookmarkEnd w:id="336"/>
    </w:p>
    <w:p>
      <w:pPr>
        <w:pStyle w:val="4"/>
        <w:rPr>
          <w:color w:val="000000"/>
        </w:rPr>
      </w:pPr>
      <w:bookmarkStart w:id="337" w:name="_Toc26499"/>
      <w:bookmarkStart w:id="338" w:name="_Toc3272"/>
      <w:bookmarkStart w:id="339" w:name="_Toc28098"/>
      <w:bookmarkStart w:id="340" w:name="_Toc24156"/>
      <w:bookmarkStart w:id="341" w:name="_Toc25133978"/>
      <w:bookmarkStart w:id="342" w:name="_Toc48656944"/>
      <w:bookmarkStart w:id="343" w:name="_Toc1117"/>
      <w:r>
        <w:rPr>
          <w:rFonts w:hint="eastAsia"/>
          <w:color w:val="000000"/>
        </w:rPr>
        <w:t>6</w:t>
      </w:r>
      <w:r>
        <w:rPr>
          <w:color w:val="000000"/>
        </w:rPr>
        <w:t>.1</w:t>
      </w:r>
      <w:r>
        <w:rPr>
          <w:rFonts w:hint="eastAsia"/>
          <w:color w:val="000000"/>
        </w:rPr>
        <w:t>监测范围与时段</w:t>
      </w:r>
      <w:bookmarkEnd w:id="337"/>
      <w:bookmarkEnd w:id="338"/>
      <w:bookmarkEnd w:id="339"/>
      <w:bookmarkEnd w:id="340"/>
      <w:bookmarkEnd w:id="341"/>
      <w:bookmarkEnd w:id="342"/>
      <w:bookmarkEnd w:id="343"/>
    </w:p>
    <w:p>
      <w:pPr>
        <w:pStyle w:val="35"/>
        <w:spacing w:line="360" w:lineRule="auto"/>
        <w:ind w:left="0" w:leftChars="0" w:firstLine="480" w:firstLineChars="200"/>
        <w:rPr>
          <w:kern w:val="0"/>
          <w:highlight w:val="none"/>
        </w:rPr>
      </w:pPr>
      <w:r>
        <w:t>本项目为建设类项目，根据《生产建设项目水土保持监测与评价标准》（GB/T51240-2018），水土保持监测范围包括工程建设征占、使用和其他扰动区域。结合本项目水土流失防治责任范围，确定本项目水土保持监测范围为</w:t>
      </w:r>
      <w:r>
        <w:rPr>
          <w:kern w:val="0"/>
        </w:rPr>
        <w:t>建构筑物区</w:t>
      </w:r>
      <w:r>
        <w:rPr>
          <w:rFonts w:hint="eastAsia"/>
          <w:kern w:val="0"/>
          <w:lang w:eastAsia="zh-CN"/>
        </w:rPr>
        <w:t>、附属设施区和景观绿化区</w:t>
      </w:r>
      <w:r>
        <w:rPr>
          <w:kern w:val="0"/>
        </w:rPr>
        <w:t>，防治范围共</w:t>
      </w:r>
      <w:r>
        <w:rPr>
          <w:rFonts w:hint="eastAsia"/>
          <w:kern w:val="0"/>
          <w:lang w:val="en-US" w:eastAsia="zh-CN"/>
        </w:rPr>
        <w:t>1.02</w:t>
      </w:r>
      <w:r>
        <w:rPr>
          <w:rFonts w:hint="eastAsia"/>
          <w:kern w:val="0"/>
          <w:lang w:eastAsia="zh-CN"/>
        </w:rPr>
        <w:t>hm²，其</w:t>
      </w:r>
      <w:r>
        <w:rPr>
          <w:rFonts w:hint="eastAsia"/>
          <w:kern w:val="0"/>
          <w:highlight w:val="none"/>
          <w:lang w:eastAsia="zh-CN"/>
        </w:rPr>
        <w:t>中建筑构物区为重点监测区域。</w:t>
      </w:r>
    </w:p>
    <w:p>
      <w:pPr>
        <w:spacing w:line="360" w:lineRule="auto"/>
        <w:ind w:firstLine="480"/>
        <w:rPr>
          <w:rFonts w:hint="default" w:ascii="Times New Roman" w:hAnsi="Times New Roman" w:eastAsia="仿宋_GB2312" w:cs="Times New Roman"/>
          <w:color w:val="auto"/>
          <w:lang w:val="en-US" w:eastAsia="zh-CN"/>
        </w:rPr>
      </w:pPr>
      <w:r>
        <w:rPr>
          <w:rFonts w:hint="eastAsia"/>
        </w:rPr>
        <w:t>监测时段：</w:t>
      </w:r>
      <w:r>
        <w:t>按照《开发建设项目水土保持技术规范》，该项目属于建设类点型项目。</w:t>
      </w:r>
      <w:r>
        <w:rPr>
          <w:rFonts w:hint="default" w:ascii="Times New Roman" w:hAnsi="Times New Roman" w:eastAsia="仿宋_GB2312" w:cs="Times New Roman"/>
          <w:color w:val="auto"/>
        </w:rPr>
        <w:t>根据工程建设和运营特点，工程建设产生水土流失的时段主要集中在施工期。工程完工后，施工活动引发水土流失的各种因素逐渐消失，随时间推移，各项水土保持措施的功能日益得到发挥，工程建设新增水土流失得到有效控制，并最终达到新的平衡。但在运行初期水土保持措施还不能充分发挥养效益时，仍会有水土流失发生。因此，为全面了解工程建设过程中新增水土流失量及其危害、水土保持设施的运行状况和防治效果，监测时段从完成方案时间起方案设计水平年结束</w:t>
      </w:r>
      <w:r>
        <w:rPr>
          <w:rFonts w:hint="default" w:ascii="Times New Roman" w:hAnsi="Times New Roman" w:eastAsia="仿宋_GB2312" w:cs="Times New Roman"/>
          <w:color w:val="auto"/>
          <w:highlight w:val="none"/>
        </w:rPr>
        <w:t>，</w:t>
      </w:r>
      <w:r>
        <w:rPr>
          <w:rFonts w:hint="eastAsia" w:eastAsia="仿宋_GB2312" w:cs="Times New Roman"/>
          <w:color w:val="auto"/>
          <w:highlight w:val="none"/>
          <w:lang w:eastAsia="zh-CN"/>
        </w:rPr>
        <w:t>本项目已于</w:t>
      </w:r>
      <w:r>
        <w:rPr>
          <w:rFonts w:hint="eastAsia" w:eastAsia="仿宋_GB2312" w:cs="Times New Roman"/>
          <w:color w:val="auto"/>
          <w:highlight w:val="none"/>
          <w:lang w:val="en-US" w:eastAsia="zh-CN"/>
        </w:rPr>
        <w:t>2020年10月开工，预计2022年10月完工，总工期25个月。本公司接到水土保持编制委托时间为2021年7月。因此</w:t>
      </w:r>
      <w:r>
        <w:rPr>
          <w:rFonts w:hint="eastAsia"/>
          <w:color w:val="000000"/>
        </w:rPr>
        <w:t>本项目监测时段为</w:t>
      </w:r>
      <w:r>
        <w:rPr>
          <w:rFonts w:hint="default" w:ascii="Times New Roman" w:hAnsi="Times New Roman" w:eastAsia="仿宋_GB2312" w:cs="Times New Roman"/>
          <w:color w:val="auto"/>
          <w:highlight w:val="none"/>
        </w:rPr>
        <w:t>监测时段为20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年</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rPr>
        <w:t>月~202</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eastAsia="仿宋_GB2312" w:cs="Times New Roman"/>
          <w:color w:val="auto"/>
          <w:highlight w:val="none"/>
        </w:rPr>
        <w:t>月</w:t>
      </w:r>
      <w:r>
        <w:rPr>
          <w:rFonts w:hint="eastAsia" w:eastAsia="仿宋_GB2312" w:cs="Times New Roman"/>
          <w:color w:val="auto"/>
          <w:highlight w:val="none"/>
          <w:lang w:eastAsia="zh-CN"/>
        </w:rPr>
        <w:t>，共</w:t>
      </w:r>
      <w:r>
        <w:rPr>
          <w:rFonts w:hint="eastAsia" w:eastAsia="仿宋_GB2312" w:cs="Times New Roman"/>
          <w:color w:val="auto"/>
          <w:highlight w:val="none"/>
          <w:lang w:val="en-US" w:eastAsia="zh-CN"/>
        </w:rPr>
        <w:t>39个月。其中2020年10月至2021年8月为回顾性监测。</w:t>
      </w:r>
    </w:p>
    <w:p>
      <w:pPr>
        <w:pStyle w:val="4"/>
        <w:bidi w:val="0"/>
        <w:rPr>
          <w:rFonts w:hint="eastAsia"/>
          <w:lang w:val="en-US" w:eastAsia="zh-CN"/>
        </w:rPr>
      </w:pPr>
      <w:bookmarkStart w:id="344" w:name="_Toc2658"/>
      <w:bookmarkStart w:id="345" w:name="_Toc16146"/>
      <w:bookmarkStart w:id="346" w:name="_Toc5363"/>
      <w:bookmarkStart w:id="347" w:name="_Toc1271"/>
      <w:bookmarkStart w:id="348" w:name="_Toc21799"/>
      <w:bookmarkStart w:id="349" w:name="_Toc48656945"/>
      <w:r>
        <w:rPr>
          <w:rFonts w:hint="eastAsia"/>
          <w:lang w:val="en-US" w:eastAsia="zh-CN"/>
        </w:rPr>
        <w:t>6.2监测内容、方法、频次与点位布设</w:t>
      </w:r>
      <w:bookmarkEnd w:id="344"/>
      <w:bookmarkEnd w:id="345"/>
      <w:bookmarkEnd w:id="346"/>
      <w:bookmarkEnd w:id="347"/>
      <w:bookmarkEnd w:id="348"/>
      <w:bookmarkEnd w:id="349"/>
    </w:p>
    <w:p>
      <w:pPr>
        <w:pStyle w:val="6"/>
        <w:bidi w:val="0"/>
      </w:pPr>
      <w:bookmarkStart w:id="350" w:name="_Toc19843"/>
      <w:r>
        <w:rPr>
          <w:rFonts w:hint="eastAsia"/>
        </w:rPr>
        <w:t>6.2.1 监测内容</w:t>
      </w:r>
      <w:bookmarkEnd w:id="350"/>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rPr>
        <w:t>根据</w:t>
      </w:r>
      <w:r>
        <w:rPr>
          <w:rFonts w:hint="default" w:ascii="Times New Roman" w:hAnsi="Times New Roman" w:cs="Times New Roman"/>
          <w:color w:val="auto"/>
          <w:szCs w:val="24"/>
        </w:rPr>
        <w:t>《生产建设项目水土保持监测与评价标准》（GB/T51240-2018）、《生产建设项目水土保持技术标准》(GB50433-2018）</w:t>
      </w:r>
      <w:r>
        <w:rPr>
          <w:rFonts w:hint="default" w:ascii="Times New Roman" w:hAnsi="Times New Roman" w:cs="Times New Roman"/>
          <w:color w:val="auto"/>
        </w:rPr>
        <w:t>的相关要求，结合工程建设和新增水土流失的特点分析，</w:t>
      </w:r>
      <w:r>
        <w:rPr>
          <w:rFonts w:hint="default" w:ascii="Times New Roman" w:hAnsi="Times New Roman" w:cs="Times New Roman"/>
          <w:color w:val="auto"/>
          <w:szCs w:val="24"/>
          <w:lang w:val="zh-CN"/>
        </w:rPr>
        <w:t>监测内容包括水土流失影响因素、水土流失状况、水土流失危害、水土保持措施等监测内容。</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1、水土流失影响因素监测</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水土流失影响因素监测的内容包自然影响因素，水土保持设施、植被的占压和损毁情况，项目占地和水土流失防治责任范围变化情况等。</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2、水土流失状况监测</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本项目水土流失状况监测主要包括水土流失的类型、形式、面积、分布及强度，各监测分区及其重点对象的土壤流失量等内容。</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3、水土流失危害监测</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水土流失危害监测内容包括水土流失对主体工程造成危害的方式、数量和程度等；水土流失掩埋冲毁农田、道路、居民点等的数量和程度；生产建设项目造成的沙化、崩塌、滑坡、泥石流等灾害；对水源地、生态保护区、江河湖泊、水库、塘坝的危害，有可能直接进入江湖湖泊或产生行洪安全影响的弃土（石、渣）情况。</w:t>
      </w:r>
    </w:p>
    <w:p>
      <w:pPr>
        <w:ind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lang w:val="zh-CN"/>
        </w:rPr>
        <w:t>4、水土保持措施监测</w:t>
      </w:r>
    </w:p>
    <w:p>
      <w:pPr>
        <w:ind w:firstLine="480"/>
        <w:rPr>
          <w:rFonts w:hint="default" w:ascii="Times New Roman" w:hAnsi="Times New Roman" w:cs="Times New Roman"/>
          <w:color w:val="auto"/>
        </w:rPr>
      </w:pPr>
      <w:r>
        <w:rPr>
          <w:rFonts w:hint="default" w:ascii="Times New Roman" w:hAnsi="Times New Roman" w:cs="Times New Roman"/>
          <w:color w:val="auto"/>
          <w:szCs w:val="24"/>
          <w:lang w:val="zh-CN"/>
        </w:rPr>
        <w:t>水土保持措施监测应对工程措施、植物措施和临时措施进行全面监测。监测内容包括措施种类、面积、分布、生长状况、成活率、保存率和林草覆盖率；工程措施的类型、数量、分布和完好程度；临时措施的类型、数量和分布；主体工程和各项水土保持措施的实施进展情况；水土保持措施对主体工程安全建设和运行发挥的作用；水土保持措施对周边生态环境发挥的作用。</w:t>
      </w:r>
    </w:p>
    <w:p>
      <w:pPr>
        <w:pStyle w:val="6"/>
        <w:rPr>
          <w:rFonts w:hint="default" w:ascii="Times New Roman" w:hAnsi="Times New Roman" w:cs="Times New Roman"/>
          <w:color w:val="auto"/>
        </w:rPr>
      </w:pPr>
      <w:bookmarkStart w:id="351" w:name="_Toc451243030"/>
      <w:r>
        <w:rPr>
          <w:rFonts w:hint="default" w:ascii="Times New Roman" w:hAnsi="Times New Roman" w:cs="Times New Roman"/>
          <w:color w:val="auto"/>
        </w:rPr>
        <w:t>6.2.</w:t>
      </w:r>
      <w:r>
        <w:rPr>
          <w:rFonts w:hint="eastAsia" w:cs="Times New Roman"/>
          <w:color w:val="auto"/>
          <w:lang w:val="en-US" w:eastAsia="zh-CN"/>
        </w:rPr>
        <w:t>2</w:t>
      </w:r>
      <w:r>
        <w:rPr>
          <w:rFonts w:hint="default" w:ascii="Times New Roman" w:hAnsi="Times New Roman" w:cs="Times New Roman"/>
          <w:color w:val="auto"/>
        </w:rPr>
        <w:t xml:space="preserve"> 监测方法</w:t>
      </w:r>
      <w:bookmarkEnd w:id="351"/>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监测方法按照《生产建设项目水土保持监测与评价标准》（GB/T51240-2018）进行。本项目水土保持监测方法采用调查监测、地面观测与巡查法相结合地方法。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1、调查监测法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资料收集分析法：对与项目区背景值有关的指标，通过查阅主体工程设计资料，收集气象、水文、土壤、土地利用等资料进行分析，结合实地调查分析对各指标赋值；对水土流失危害监测涉及的指标主要通过对项目区重点地段进行典型调查和对周边居民进行访谈调查，获取监测数据。</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（2）实地量测法：对防治责任范围、扰动地表面积、损坏水土保持功能面积采用全站仪通过现场地形测量并结合施工资料和监理资料确定。</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2、地面观测（集沙池法）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集沙池法适用于径流冲刷颗粒较大，汇水面积不大，有集中出口的地方，按照设计频次及时观测沉砂池中的泥沙厚度，通常是在沉砂池的四个角及中心点分别量测泥沙厚度，并测的泥沙容重，采用下式计算土壤流失量。</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公式：         </w:t>
      </w:r>
      <w:r>
        <w:rPr>
          <w:rFonts w:hint="default" w:ascii="Times New Roman" w:hAnsi="Times New Roman" w:cs="Times New Roman"/>
          <w:color w:val="auto"/>
          <w:szCs w:val="24"/>
        </w:rPr>
        <w:drawing>
          <wp:inline distT="0" distB="0" distL="114300" distR="114300">
            <wp:extent cx="2129790" cy="37401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129790" cy="374015"/>
                    </a:xfrm>
                    <a:prstGeom prst="rect">
                      <a:avLst/>
                    </a:prstGeom>
                    <a:noFill/>
                    <a:ln>
                      <a:noFill/>
                    </a:ln>
                  </pic:spPr>
                </pic:pic>
              </a:graphicData>
            </a:graphic>
          </wp:inline>
        </w:drawing>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式中：ST：汇水区域土壤流失量，g；hi：沉砂池四个角及中心点的泥沙厚度，cm；S：沉砂池地面面积，</w:t>
      </w:r>
      <w:r>
        <w:rPr>
          <w:rFonts w:hint="eastAsia" w:cs="Times New Roman"/>
          <w:color w:val="auto"/>
          <w:szCs w:val="24"/>
          <w:lang w:eastAsia="zh-CN"/>
        </w:rPr>
        <w:t>m²</w:t>
      </w:r>
      <w:r>
        <w:rPr>
          <w:rFonts w:hint="default" w:ascii="Times New Roman" w:hAnsi="Times New Roman" w:cs="Times New Roman"/>
          <w:color w:val="auto"/>
          <w:szCs w:val="24"/>
        </w:rPr>
        <w:t>；rs：泥沙容重，g/c</w:t>
      </w:r>
      <w:r>
        <w:rPr>
          <w:rFonts w:hint="eastAsia" w:cs="Times New Roman"/>
          <w:color w:val="auto"/>
          <w:szCs w:val="24"/>
          <w:lang w:eastAsia="zh-CN"/>
        </w:rPr>
        <w:t>m³</w:t>
      </w:r>
      <w:r>
        <w:rPr>
          <w:rFonts w:hint="default" w:ascii="Times New Roman" w:hAnsi="Times New Roman" w:cs="Times New Roman"/>
          <w:color w:val="auto"/>
          <w:szCs w:val="24"/>
        </w:rPr>
        <w:t>。</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针对本项目的实际情况，可利用项目区内布设的临时沉砂池作为监测点位进行水土流失的监测。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3、场地巡查法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对水土流失危害、水土保持设施实施情况、重大水土流失等采用不定期巡查和观察法监测，采用实地量测法和样方调查法，并结合施工和监理资料，最终确定扰动面积、土石方量及水保措施实施数量。在巡查过程中，不仅要量测水土流失量、分析水土流失的原因，而且要监测水土保持措施，分析防治成效，应该将巡查时的情况详细记录，以备分析、总结水土保持成效和编制水土保持监测报告。</w:t>
      </w:r>
    </w:p>
    <w:p>
      <w:pPr>
        <w:pStyle w:val="6"/>
        <w:rPr>
          <w:rFonts w:hint="default" w:ascii="Times New Roman" w:hAnsi="Times New Roman" w:cs="Times New Roman"/>
          <w:color w:val="auto"/>
        </w:rPr>
      </w:pPr>
      <w:r>
        <w:rPr>
          <w:rFonts w:hint="default" w:ascii="Times New Roman" w:hAnsi="Times New Roman" w:cs="Times New Roman"/>
          <w:color w:val="auto"/>
        </w:rPr>
        <w:t>6.2.</w:t>
      </w:r>
      <w:r>
        <w:rPr>
          <w:rFonts w:hint="eastAsia" w:cs="Times New Roman"/>
          <w:color w:val="auto"/>
          <w:lang w:val="en-US" w:eastAsia="zh-CN"/>
        </w:rPr>
        <w:t>3</w:t>
      </w:r>
      <w:r>
        <w:rPr>
          <w:rFonts w:hint="default" w:ascii="Times New Roman" w:hAnsi="Times New Roman" w:cs="Times New Roman"/>
          <w:color w:val="auto"/>
        </w:rPr>
        <w:t xml:space="preserve"> 监测频次</w:t>
      </w:r>
    </w:p>
    <w:p>
      <w:pPr>
        <w:ind w:firstLine="480"/>
        <w:rPr>
          <w:rFonts w:hint="default" w:ascii="Times New Roman" w:hAnsi="Times New Roman" w:cs="Times New Roman"/>
          <w:color w:val="auto"/>
        </w:rPr>
      </w:pPr>
      <w:r>
        <w:rPr>
          <w:rFonts w:hint="default" w:ascii="Times New Roman" w:hAnsi="Times New Roman" w:cs="Times New Roman"/>
          <w:color w:val="auto"/>
        </w:rPr>
        <w:t>1、水土流失影响因素监测：地形地貌整个监测期监测1次；地表组成物质在施工准备期前和试运行期各监测1次；植被状况施工准备期前测定1次；地表扰动情况每季度全线巡查至少1次，典型地段每月监测1次；渣场每季度至少监测1次，正在使用的弃渣场应每10天监测1次，其他时段每季度至少监测1次。</w:t>
      </w:r>
    </w:p>
    <w:p>
      <w:pPr>
        <w:ind w:firstLine="480"/>
        <w:rPr>
          <w:rFonts w:hint="default" w:ascii="Times New Roman" w:hAnsi="Times New Roman" w:cs="Times New Roman"/>
          <w:color w:val="auto"/>
        </w:rPr>
      </w:pPr>
      <w:r>
        <w:rPr>
          <w:rFonts w:hint="default" w:ascii="Times New Roman" w:hAnsi="Times New Roman" w:cs="Times New Roman"/>
          <w:color w:val="auto"/>
        </w:rPr>
        <w:t>2、水土流失状况监测：水土流失类型及形式监测1次；水土流失面积每季度监测1次；土壤侵蚀强度在施工准备期前和监测末期各监测1次，施工期监测1次。</w:t>
      </w:r>
    </w:p>
    <w:p>
      <w:pPr>
        <w:ind w:firstLine="480"/>
        <w:rPr>
          <w:rFonts w:hint="default" w:ascii="Times New Roman" w:hAnsi="Times New Roman" w:cs="Times New Roman"/>
          <w:color w:val="auto"/>
        </w:rPr>
      </w:pPr>
      <w:r>
        <w:rPr>
          <w:rFonts w:hint="default" w:ascii="Times New Roman" w:hAnsi="Times New Roman" w:cs="Times New Roman"/>
          <w:color w:val="auto"/>
        </w:rPr>
        <w:t>3、水土流失危害：水土流失危害时间发生后1周内完成监测工作。</w:t>
      </w:r>
    </w:p>
    <w:p>
      <w:pPr>
        <w:ind w:firstLine="480"/>
        <w:rPr>
          <w:rFonts w:hint="default" w:ascii="Times New Roman" w:hAnsi="Times New Roman" w:cs="Times New Roman"/>
          <w:color w:val="auto"/>
        </w:rPr>
      </w:pPr>
      <w:r>
        <w:rPr>
          <w:rFonts w:hint="default" w:ascii="Times New Roman" w:hAnsi="Times New Roman" w:cs="Times New Roman"/>
          <w:color w:val="auto"/>
        </w:rPr>
        <w:t>4、水土保持措施监测：植物类型及面积每季度调查1次；成活率、保存率及生长状况每年调查1次；郁闭度与盖度在植被生长最茂盛的季节监测1次；工程措施重点区域每月监测1次，整体状况每季度监测1次。</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项目监测内容、频次、方法一览表见表6-1：</w:t>
      </w:r>
    </w:p>
    <w:p>
      <w:pPr>
        <w:pStyle w:val="38"/>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表6</w:t>
      </w:r>
      <w:r>
        <w:rPr>
          <w:rFonts w:hint="eastAsia" w:eastAsia="仿宋_GB2312" w:cs="Times New Roman"/>
          <w:b/>
          <w:color w:val="auto"/>
          <w:sz w:val="21"/>
          <w:szCs w:val="21"/>
          <w:lang w:val="en-US" w:eastAsia="zh-CN"/>
        </w:rPr>
        <w:t>-</w:t>
      </w:r>
      <w:r>
        <w:rPr>
          <w:rFonts w:hint="default" w:ascii="Times New Roman" w:hAnsi="Times New Roman" w:eastAsia="仿宋_GB2312" w:cs="Times New Roman"/>
          <w:b/>
          <w:color w:val="auto"/>
          <w:sz w:val="21"/>
          <w:szCs w:val="21"/>
        </w:rPr>
        <w:t>1  监测内容、频次及方法一览表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698"/>
        <w:gridCol w:w="4786"/>
        <w:gridCol w:w="20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73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序号</w:t>
            </w:r>
          </w:p>
        </w:tc>
        <w:tc>
          <w:tcPr>
            <w:tcW w:w="1698" w:type="dxa"/>
            <w:noWrap w:val="0"/>
            <w:vAlign w:val="center"/>
          </w:tcPr>
          <w:p>
            <w:pPr>
              <w:spacing w:line="240" w:lineRule="auto"/>
              <w:ind w:firstLine="420"/>
              <w:jc w:val="center"/>
              <w:rPr>
                <w:rFonts w:hint="default" w:ascii="Times New Roman" w:hAnsi="Times New Roman" w:cs="Times New Roman"/>
                <w:color w:val="auto"/>
                <w:sz w:val="21"/>
              </w:rPr>
            </w:pPr>
            <w:r>
              <w:rPr>
                <w:rFonts w:hint="default" w:ascii="Times New Roman" w:hAnsi="Times New Roman" w:cs="Times New Roman"/>
                <w:color w:val="auto"/>
                <w:sz w:val="21"/>
              </w:rPr>
              <w:t>监测内容</w:t>
            </w:r>
          </w:p>
        </w:tc>
        <w:tc>
          <w:tcPr>
            <w:tcW w:w="4786" w:type="dxa"/>
            <w:noWrap w:val="0"/>
            <w:vAlign w:val="center"/>
          </w:tcPr>
          <w:p>
            <w:pPr>
              <w:spacing w:line="240" w:lineRule="auto"/>
              <w:ind w:firstLine="420"/>
              <w:jc w:val="center"/>
              <w:rPr>
                <w:rFonts w:hint="default" w:ascii="Times New Roman" w:hAnsi="Times New Roman" w:cs="Times New Roman"/>
                <w:color w:val="auto"/>
                <w:sz w:val="21"/>
              </w:rPr>
            </w:pPr>
            <w:r>
              <w:rPr>
                <w:rFonts w:hint="default" w:ascii="Times New Roman" w:hAnsi="Times New Roman" w:cs="Times New Roman"/>
                <w:color w:val="auto"/>
                <w:sz w:val="21"/>
              </w:rPr>
              <w:t>监测频次</w:t>
            </w:r>
          </w:p>
        </w:tc>
        <w:tc>
          <w:tcPr>
            <w:tcW w:w="2068" w:type="dxa"/>
            <w:noWrap w:val="0"/>
            <w:vAlign w:val="center"/>
          </w:tcPr>
          <w:p>
            <w:pPr>
              <w:spacing w:line="240" w:lineRule="auto"/>
              <w:ind w:firstLine="420"/>
              <w:jc w:val="center"/>
              <w:rPr>
                <w:rFonts w:hint="default" w:ascii="Times New Roman" w:hAnsi="Times New Roman" w:cs="Times New Roman"/>
                <w:color w:val="auto"/>
                <w:sz w:val="21"/>
              </w:rPr>
            </w:pPr>
            <w:r>
              <w:rPr>
                <w:rFonts w:hint="default" w:ascii="Times New Roman" w:hAnsi="Times New Roman" w:cs="Times New Roman"/>
                <w:color w:val="auto"/>
                <w:sz w:val="21"/>
              </w:rPr>
              <w:t>监测方法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73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1698" w:type="dxa"/>
            <w:noWrap w:val="0"/>
            <w:vAlign w:val="center"/>
          </w:tcPr>
          <w:p>
            <w:pPr>
              <w:spacing w:line="240" w:lineRule="auto"/>
              <w:jc w:val="both"/>
              <w:rPr>
                <w:rFonts w:hint="default" w:ascii="Times New Roman" w:hAnsi="Times New Roman" w:cs="Times New Roman"/>
                <w:color w:val="auto"/>
                <w:sz w:val="21"/>
              </w:rPr>
            </w:pPr>
            <w:r>
              <w:rPr>
                <w:rFonts w:hint="default" w:ascii="Times New Roman" w:hAnsi="Times New Roman" w:cs="Times New Roman"/>
                <w:color w:val="auto"/>
                <w:sz w:val="21"/>
              </w:rPr>
              <w:t>水土流失影响因素监测</w:t>
            </w:r>
          </w:p>
        </w:tc>
        <w:tc>
          <w:tcPr>
            <w:tcW w:w="478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地形地貌整个监测期监测1次；植被状况施工准确前期监测1次；扰动地表情况每季度全线巡查1次，典型地段每月监测1次；渣场每季度监测1次。</w:t>
            </w:r>
          </w:p>
        </w:tc>
        <w:tc>
          <w:tcPr>
            <w:tcW w:w="2068" w:type="dxa"/>
            <w:noWrap w:val="0"/>
            <w:vAlign w:val="center"/>
          </w:tcPr>
          <w:p>
            <w:pPr>
              <w:spacing w:line="24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实地调查结合资料分析法、实测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73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1698" w:type="dxa"/>
            <w:noWrap w:val="0"/>
            <w:vAlign w:val="center"/>
          </w:tcPr>
          <w:p>
            <w:pPr>
              <w:spacing w:line="240" w:lineRule="auto"/>
              <w:jc w:val="both"/>
              <w:rPr>
                <w:rFonts w:hint="default" w:ascii="Times New Roman" w:hAnsi="Times New Roman" w:cs="Times New Roman"/>
                <w:color w:val="auto"/>
                <w:sz w:val="21"/>
              </w:rPr>
            </w:pPr>
            <w:r>
              <w:rPr>
                <w:rFonts w:hint="default" w:ascii="Times New Roman" w:hAnsi="Times New Roman" w:cs="Times New Roman"/>
                <w:color w:val="auto"/>
                <w:sz w:val="21"/>
              </w:rPr>
              <w:t>水土流失状况监测</w:t>
            </w:r>
          </w:p>
        </w:tc>
        <w:tc>
          <w:tcPr>
            <w:tcW w:w="478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水土流失类型及形式监测1次；水土流失面积每季度监测1次；土壤侵蚀强度在施工准备期前和监测末期各监测1次，施工期监测1次</w:t>
            </w:r>
          </w:p>
        </w:tc>
        <w:tc>
          <w:tcPr>
            <w:tcW w:w="2068" w:type="dxa"/>
            <w:noWrap w:val="0"/>
            <w:vAlign w:val="center"/>
          </w:tcPr>
          <w:p>
            <w:pPr>
              <w:spacing w:line="24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集沙池法、定位监测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73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3</w:t>
            </w:r>
          </w:p>
        </w:tc>
        <w:tc>
          <w:tcPr>
            <w:tcW w:w="1698"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水土流失危害</w:t>
            </w:r>
          </w:p>
        </w:tc>
        <w:tc>
          <w:tcPr>
            <w:tcW w:w="478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水土流失危害时间发生后1周内完成监测工作</w:t>
            </w:r>
          </w:p>
        </w:tc>
        <w:tc>
          <w:tcPr>
            <w:tcW w:w="2068" w:type="dxa"/>
            <w:noWrap w:val="0"/>
            <w:vAlign w:val="center"/>
          </w:tcPr>
          <w:p>
            <w:pPr>
              <w:spacing w:line="24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实地调查、实测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3" w:hRule="atLeast"/>
          <w:jc w:val="center"/>
        </w:trPr>
        <w:tc>
          <w:tcPr>
            <w:tcW w:w="73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4</w:t>
            </w:r>
          </w:p>
        </w:tc>
        <w:tc>
          <w:tcPr>
            <w:tcW w:w="1698"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水土保持措施监测</w:t>
            </w:r>
          </w:p>
        </w:tc>
        <w:tc>
          <w:tcPr>
            <w:tcW w:w="4786" w:type="dxa"/>
            <w:noWrap w:val="0"/>
            <w:vAlign w:val="center"/>
          </w:tcPr>
          <w:p>
            <w:pPr>
              <w:spacing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植物类型及面积每季度调查1次；成活率、保存率及生长状况每年调查1次；郁闭度与盖度在植被生长最茂盛的季节监测1次；工程措施重点区域每月监测1次，整体状况每季度监测1次</w:t>
            </w:r>
          </w:p>
        </w:tc>
        <w:tc>
          <w:tcPr>
            <w:tcW w:w="2068" w:type="dxa"/>
            <w:noWrap w:val="0"/>
            <w:vAlign w:val="center"/>
          </w:tcPr>
          <w:p>
            <w:pPr>
              <w:spacing w:line="24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实测、全面巡查</w:t>
            </w:r>
          </w:p>
        </w:tc>
      </w:tr>
    </w:tbl>
    <w:p>
      <w:pPr>
        <w:keepNext/>
        <w:ind w:firstLine="0" w:firstLineChars="0"/>
        <w:jc w:val="left"/>
        <w:outlineLvl w:val="1"/>
        <w:rPr>
          <w:b/>
          <w:color w:val="000000"/>
          <w:sz w:val="30"/>
        </w:rPr>
      </w:pPr>
      <w:bookmarkStart w:id="352" w:name="_Toc32355"/>
      <w:bookmarkStart w:id="353" w:name="_Toc10748"/>
      <w:bookmarkStart w:id="354" w:name="_Toc48656946"/>
      <w:bookmarkStart w:id="355" w:name="_Toc20150"/>
      <w:bookmarkStart w:id="356" w:name="_Toc44925347"/>
      <w:bookmarkStart w:id="357" w:name="_Toc28585"/>
      <w:bookmarkStart w:id="358" w:name="_Toc20379"/>
      <w:r>
        <w:rPr>
          <w:rFonts w:hint="eastAsia"/>
          <w:b/>
          <w:color w:val="000000"/>
          <w:sz w:val="30"/>
        </w:rPr>
        <w:t>6.3 点位布设</w:t>
      </w:r>
      <w:bookmarkEnd w:id="352"/>
      <w:bookmarkEnd w:id="353"/>
      <w:bookmarkEnd w:id="354"/>
      <w:bookmarkEnd w:id="355"/>
      <w:bookmarkEnd w:id="356"/>
      <w:bookmarkEnd w:id="357"/>
      <w:bookmarkEnd w:id="358"/>
    </w:p>
    <w:p>
      <w:pPr>
        <w:ind w:firstLine="480"/>
        <w:rPr>
          <w:color w:val="000000"/>
        </w:rPr>
      </w:pPr>
      <w:r>
        <w:rPr>
          <w:color w:val="000000"/>
        </w:rPr>
        <w:t>本工程为</w:t>
      </w:r>
      <w:r>
        <w:rPr>
          <w:rFonts w:hint="eastAsia"/>
          <w:color w:val="000000"/>
          <w:lang w:val="en-US" w:eastAsia="zh-CN"/>
        </w:rPr>
        <w:t>点</w:t>
      </w:r>
      <w:r>
        <w:rPr>
          <w:rFonts w:hint="eastAsia"/>
          <w:color w:val="000000"/>
        </w:rPr>
        <w:t>性</w:t>
      </w:r>
      <w:r>
        <w:rPr>
          <w:color w:val="000000"/>
        </w:rPr>
        <w:t>工程，其水土保持监测以调查监测和场地巡查监测相结合的方式进行，便于及时发现有无水土流失现象和查验各项水土保持措施布设情况及效果。同时根据现场条件在各监测区布设典型的固定观测点，获取能满足监测目标的数据。</w:t>
      </w:r>
    </w:p>
    <w:p>
      <w:pPr>
        <w:ind w:firstLine="480"/>
        <w:rPr>
          <w:color w:val="000000"/>
        </w:rPr>
      </w:pPr>
      <w:r>
        <w:rPr>
          <w:color w:val="000000"/>
        </w:rPr>
        <w:t>依据主体工程建设特点、施工中易产生新增水土流失的区域及工程原有水土流失类型、强度等因素，结合水土流失预测结果，确定本工程水土保持监测的重点监测区域为</w:t>
      </w:r>
      <w:r>
        <w:rPr>
          <w:rFonts w:hint="eastAsia"/>
          <w:color w:val="000000"/>
          <w:lang w:eastAsia="zh-CN"/>
        </w:rPr>
        <w:t>建筑构物区</w:t>
      </w:r>
      <w:r>
        <w:rPr>
          <w:color w:val="000000"/>
        </w:rPr>
        <w:t>，并在分区内布设固定的监测点位。</w:t>
      </w:r>
    </w:p>
    <w:p>
      <w:pPr>
        <w:ind w:firstLine="480"/>
        <w:rPr>
          <w:color w:val="000000"/>
        </w:rPr>
      </w:pPr>
      <w:r>
        <w:rPr>
          <w:color w:val="000000"/>
        </w:rPr>
        <w:t>因此，工程建设期间，结合项目区地形，在</w:t>
      </w:r>
      <w:r>
        <w:rPr>
          <w:rFonts w:hint="eastAsia"/>
          <w:color w:val="000000"/>
          <w:lang w:eastAsia="zh-CN"/>
        </w:rPr>
        <w:t>建筑构物区、景观绿化区</w:t>
      </w:r>
      <w:r>
        <w:rPr>
          <w:color w:val="000000"/>
        </w:rPr>
        <w:t>布置</w:t>
      </w:r>
      <w:r>
        <w:rPr>
          <w:rFonts w:hint="eastAsia"/>
          <w:color w:val="000000"/>
          <w:lang w:val="en-US" w:eastAsia="zh-CN"/>
        </w:rPr>
        <w:t>2</w:t>
      </w:r>
      <w:r>
        <w:rPr>
          <w:color w:val="000000"/>
        </w:rPr>
        <w:t>个监测点位。</w:t>
      </w:r>
    </w:p>
    <w:p>
      <w:pPr>
        <w:ind w:firstLine="480"/>
        <w:rPr>
          <w:color w:val="000000"/>
        </w:rPr>
      </w:pPr>
      <w:r>
        <w:rPr>
          <w:color w:val="000000"/>
        </w:rPr>
        <w:t>鉴于工程建设过程中，各监测区的大部分施工扰动面均处于持续扰动过程中，适宜的固定观测站点应为在较长时段内暂不受扰动的开挖或填筑坡面等，本方案监测点位置仅为示意位置，具体点位需根据相应区域实际施工方案确定。监测单位接受监测任务后应通过现场调查和具体的施工设计进一步予以明确。</w:t>
      </w:r>
    </w:p>
    <w:p>
      <w:pPr>
        <w:keepNext w:val="0"/>
        <w:keepLines w:val="0"/>
        <w:pageBreakBefore w:val="0"/>
        <w:widowControl w:val="0"/>
        <w:tabs>
          <w:tab w:val="center" w:pos="4153"/>
        </w:tabs>
        <w:kinsoku/>
        <w:wordWrap w:val="0"/>
        <w:overflowPunct/>
        <w:topLinePunct w:val="0"/>
        <w:autoSpaceDE/>
        <w:autoSpaceDN/>
        <w:bidi w:val="0"/>
        <w:adjustRightInd w:val="0"/>
        <w:snapToGrid w:val="0"/>
        <w:spacing w:line="240" w:lineRule="auto"/>
        <w:ind w:firstLine="0" w:firstLineChars="0"/>
        <w:textAlignment w:val="auto"/>
        <w:rPr>
          <w:rFonts w:hint="eastAsia"/>
          <w:color w:val="000000"/>
          <w:lang w:eastAsia="zh-CN"/>
        </w:rPr>
      </w:pPr>
      <w:r>
        <w:rPr>
          <w:rFonts w:hint="eastAsia"/>
          <w:color w:val="000000"/>
        </w:rPr>
        <w:t>水土保持监测计划详见表6-</w:t>
      </w:r>
      <w:r>
        <w:rPr>
          <w:rFonts w:hint="eastAsia"/>
          <w:color w:val="000000"/>
          <w:lang w:val="en-US" w:eastAsia="zh-CN"/>
        </w:rPr>
        <w:t>2</w:t>
      </w:r>
      <w:r>
        <w:rPr>
          <w:rFonts w:hint="eastAsia"/>
          <w:color w:val="000000"/>
          <w:lang w:eastAsia="zh-CN"/>
        </w:rPr>
        <w:t>。</w:t>
      </w:r>
    </w:p>
    <w:p>
      <w:pPr>
        <w:pStyle w:val="25"/>
        <w:keepNext w:val="0"/>
        <w:keepLines w:val="0"/>
        <w:pageBreakBefore w:val="0"/>
        <w:widowControl w:val="0"/>
        <w:kinsoku/>
        <w:wordWrap/>
        <w:overflowPunct/>
        <w:topLinePunct w:val="0"/>
        <w:autoSpaceDE/>
        <w:autoSpaceDN/>
        <w:bidi w:val="0"/>
        <w:adjustRightInd w:val="0"/>
        <w:snapToGrid w:val="0"/>
        <w:ind w:firstLine="2108" w:firstLineChars="1000"/>
        <w:jc w:val="both"/>
        <w:textAlignment w:val="auto"/>
        <w:rPr>
          <w:rFonts w:hint="eastAsia"/>
        </w:rPr>
      </w:pPr>
    </w:p>
    <w:p>
      <w:pPr>
        <w:pStyle w:val="25"/>
        <w:keepNext w:val="0"/>
        <w:keepLines w:val="0"/>
        <w:pageBreakBefore w:val="0"/>
        <w:widowControl w:val="0"/>
        <w:kinsoku/>
        <w:wordWrap/>
        <w:overflowPunct/>
        <w:topLinePunct w:val="0"/>
        <w:autoSpaceDE/>
        <w:autoSpaceDN/>
        <w:bidi w:val="0"/>
        <w:adjustRightInd w:val="0"/>
        <w:snapToGrid w:val="0"/>
        <w:ind w:firstLine="2108" w:firstLineChars="1000"/>
        <w:jc w:val="both"/>
        <w:textAlignment w:val="auto"/>
      </w:pPr>
      <w:r>
        <w:rPr>
          <w:rFonts w:hint="eastAsia"/>
        </w:rPr>
        <w:t>表6</w:t>
      </w:r>
      <w:r>
        <w:t>-</w:t>
      </w:r>
      <w:r>
        <w:rPr>
          <w:rFonts w:hint="eastAsia"/>
          <w:lang w:val="en-US" w:eastAsia="zh-CN"/>
        </w:rPr>
        <w:t>2</w:t>
      </w:r>
      <w:r>
        <w:rPr>
          <w:rFonts w:hint="eastAsia"/>
        </w:rPr>
        <w:t>水土保持监测内容、方法、频次一览表</w:t>
      </w:r>
    </w:p>
    <w:tbl>
      <w:tblPr>
        <w:tblStyle w:val="19"/>
        <w:tblW w:w="50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85"/>
        <w:gridCol w:w="2154"/>
        <w:gridCol w:w="1168"/>
        <w:gridCol w:w="1360"/>
        <w:gridCol w:w="1346"/>
        <w:gridCol w:w="18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47" w:type="pct"/>
            <w:tcBorders>
              <w:top w:val="single" w:color="auto" w:sz="12" w:space="0"/>
              <w:left w:val="single" w:color="auto" w:sz="12" w:space="0"/>
              <w:bottom w:val="single" w:color="auto" w:sz="4" w:space="0"/>
              <w:right w:val="single" w:color="auto" w:sz="4" w:space="0"/>
            </w:tcBorders>
            <w:noWrap w:val="0"/>
            <w:vAlign w:val="center"/>
          </w:tcPr>
          <w:p>
            <w:pPr>
              <w:pStyle w:val="31"/>
              <w:rPr>
                <w:rFonts w:hint="eastAsia"/>
                <w:color w:val="000000"/>
              </w:rPr>
            </w:pPr>
            <w:r>
              <w:rPr>
                <w:rFonts w:hint="eastAsia"/>
                <w:color w:val="000000"/>
              </w:rPr>
              <w:t>监测</w:t>
            </w:r>
          </w:p>
          <w:p>
            <w:pPr>
              <w:pStyle w:val="31"/>
              <w:rPr>
                <w:color w:val="000000"/>
              </w:rPr>
            </w:pPr>
            <w:r>
              <w:rPr>
                <w:rFonts w:hint="eastAsia"/>
                <w:color w:val="000000"/>
              </w:rPr>
              <w:t>时段</w:t>
            </w:r>
          </w:p>
        </w:tc>
        <w:tc>
          <w:tcPr>
            <w:tcW w:w="1278" w:type="pct"/>
            <w:tcBorders>
              <w:top w:val="single" w:color="auto" w:sz="12"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监测单元</w:t>
            </w:r>
          </w:p>
        </w:tc>
        <w:tc>
          <w:tcPr>
            <w:tcW w:w="693" w:type="pct"/>
            <w:tcBorders>
              <w:top w:val="single" w:color="auto" w:sz="12"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监测点位</w:t>
            </w:r>
          </w:p>
        </w:tc>
        <w:tc>
          <w:tcPr>
            <w:tcW w:w="807" w:type="pct"/>
            <w:tcBorders>
              <w:top w:val="single" w:color="auto" w:sz="12"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监测内容</w:t>
            </w:r>
          </w:p>
        </w:tc>
        <w:tc>
          <w:tcPr>
            <w:tcW w:w="798" w:type="pct"/>
            <w:tcBorders>
              <w:top w:val="single" w:color="auto" w:sz="12"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主要监测方法</w:t>
            </w:r>
          </w:p>
        </w:tc>
        <w:tc>
          <w:tcPr>
            <w:tcW w:w="1075" w:type="pct"/>
            <w:tcBorders>
              <w:top w:val="single" w:color="auto" w:sz="12" w:space="0"/>
              <w:left w:val="single" w:color="auto" w:sz="4" w:space="0"/>
              <w:bottom w:val="single" w:color="auto" w:sz="4" w:space="0"/>
              <w:right w:val="single" w:color="auto" w:sz="12" w:space="0"/>
            </w:tcBorders>
            <w:noWrap w:val="0"/>
            <w:vAlign w:val="center"/>
          </w:tcPr>
          <w:p>
            <w:pPr>
              <w:pStyle w:val="31"/>
              <w:rPr>
                <w:color w:val="000000"/>
              </w:rPr>
            </w:pPr>
            <w:r>
              <w:rPr>
                <w:rFonts w:hint="eastAsia"/>
                <w:color w:val="000000"/>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47" w:type="pct"/>
            <w:vMerge w:val="restart"/>
            <w:tcBorders>
              <w:top w:val="single" w:color="auto" w:sz="4" w:space="0"/>
              <w:left w:val="single" w:color="auto" w:sz="12" w:space="0"/>
              <w:bottom w:val="single" w:color="auto" w:sz="4" w:space="0"/>
              <w:right w:val="single" w:color="auto" w:sz="4" w:space="0"/>
            </w:tcBorders>
            <w:noWrap w:val="0"/>
            <w:vAlign w:val="center"/>
          </w:tcPr>
          <w:p>
            <w:pPr>
              <w:pStyle w:val="31"/>
              <w:rPr>
                <w:rFonts w:hint="default" w:eastAsia="仿宋_GB2312"/>
                <w:color w:val="000000"/>
                <w:lang w:val="en-US" w:eastAsia="zh-CN"/>
              </w:rPr>
            </w:pPr>
            <w:r>
              <w:rPr>
                <w:rFonts w:hint="eastAsia"/>
                <w:color w:val="000000"/>
                <w:lang w:val="en-US" w:eastAsia="zh-CN"/>
              </w:rPr>
              <w:t>施工期到设计水平年结束</w:t>
            </w:r>
          </w:p>
        </w:tc>
        <w:tc>
          <w:tcPr>
            <w:tcW w:w="1278" w:type="pct"/>
            <w:tcBorders>
              <w:top w:val="single" w:color="auto" w:sz="4" w:space="0"/>
              <w:left w:val="single" w:color="auto" w:sz="4" w:space="0"/>
              <w:bottom w:val="single" w:color="auto" w:sz="4" w:space="0"/>
              <w:right w:val="single" w:color="auto" w:sz="4" w:space="0"/>
            </w:tcBorders>
            <w:noWrap w:val="0"/>
            <w:vAlign w:val="center"/>
          </w:tcPr>
          <w:p>
            <w:pPr>
              <w:pStyle w:val="31"/>
              <w:rPr>
                <w:rFonts w:hint="default" w:eastAsia="仿宋_GB2312"/>
                <w:color w:val="000000"/>
                <w:lang w:val="en-US" w:eastAsia="zh-CN"/>
              </w:rPr>
            </w:pPr>
            <w:r>
              <w:rPr>
                <w:rFonts w:hint="eastAsia"/>
                <w:color w:val="000000"/>
                <w:lang w:val="en-US" w:eastAsia="zh-CN"/>
              </w:rPr>
              <w:t>景观绿化区</w:t>
            </w:r>
          </w:p>
        </w:tc>
        <w:tc>
          <w:tcPr>
            <w:tcW w:w="693" w:type="pct"/>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color w:val="000000"/>
              </w:rPr>
              <w:t>1</w:t>
            </w:r>
            <w:r>
              <w:rPr>
                <w:rFonts w:hint="eastAsia"/>
                <w:color w:val="000000"/>
              </w:rPr>
              <w:t>个</w:t>
            </w:r>
          </w:p>
        </w:tc>
        <w:tc>
          <w:tcPr>
            <w:tcW w:w="807" w:type="pct"/>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水土流失防治成效监测</w:t>
            </w:r>
          </w:p>
        </w:tc>
        <w:tc>
          <w:tcPr>
            <w:tcW w:w="798" w:type="pct"/>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实地量测和调查监测相结合</w:t>
            </w:r>
          </w:p>
        </w:tc>
        <w:tc>
          <w:tcPr>
            <w:tcW w:w="1075" w:type="pct"/>
            <w:tcBorders>
              <w:top w:val="single" w:color="auto" w:sz="4" w:space="0"/>
              <w:left w:val="single" w:color="auto" w:sz="4" w:space="0"/>
              <w:bottom w:val="single" w:color="auto" w:sz="4" w:space="0"/>
              <w:right w:val="single" w:color="auto" w:sz="12" w:space="0"/>
            </w:tcBorders>
            <w:noWrap w:val="0"/>
            <w:vAlign w:val="center"/>
          </w:tcPr>
          <w:p>
            <w:pPr>
              <w:pStyle w:val="31"/>
              <w:rPr>
                <w:color w:val="000000"/>
              </w:rPr>
            </w:pPr>
            <w:r>
              <w:rPr>
                <w:rFonts w:hint="eastAsia"/>
                <w:color w:val="000000"/>
              </w:rPr>
              <w:t>至少每季度1次，每次降雨量50mm／12h及以上后加测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47" w:type="pct"/>
            <w:vMerge w:val="continue"/>
            <w:tcBorders>
              <w:top w:val="single" w:color="auto" w:sz="4" w:space="0"/>
              <w:left w:val="single" w:color="auto" w:sz="12" w:space="0"/>
              <w:bottom w:val="single" w:color="auto" w:sz="12" w:space="0"/>
              <w:right w:val="single" w:color="auto" w:sz="4" w:space="0"/>
            </w:tcBorders>
            <w:noWrap w:val="0"/>
            <w:vAlign w:val="center"/>
          </w:tcPr>
          <w:p>
            <w:pPr>
              <w:pStyle w:val="31"/>
              <w:rPr>
                <w:color w:val="000000"/>
              </w:rPr>
            </w:pPr>
          </w:p>
        </w:tc>
        <w:tc>
          <w:tcPr>
            <w:tcW w:w="1278" w:type="pct"/>
            <w:tcBorders>
              <w:top w:val="single" w:color="auto" w:sz="4" w:space="0"/>
              <w:left w:val="single" w:color="auto" w:sz="4" w:space="0"/>
              <w:bottom w:val="single" w:color="auto" w:sz="12" w:space="0"/>
              <w:right w:val="single" w:color="auto" w:sz="4" w:space="0"/>
            </w:tcBorders>
            <w:noWrap w:val="0"/>
            <w:vAlign w:val="center"/>
          </w:tcPr>
          <w:p>
            <w:pPr>
              <w:pStyle w:val="31"/>
              <w:rPr>
                <w:rFonts w:hint="default" w:eastAsia="仿宋_GB2312"/>
                <w:color w:val="000000"/>
                <w:lang w:val="en-US" w:eastAsia="zh-CN"/>
              </w:rPr>
            </w:pPr>
            <w:r>
              <w:rPr>
                <w:rFonts w:hint="eastAsia"/>
                <w:color w:val="000000"/>
                <w:lang w:val="en-US" w:eastAsia="zh-CN"/>
              </w:rPr>
              <w:t>建筑构物区</w:t>
            </w:r>
          </w:p>
        </w:tc>
        <w:tc>
          <w:tcPr>
            <w:tcW w:w="693" w:type="pct"/>
            <w:tcBorders>
              <w:top w:val="single" w:color="auto" w:sz="4" w:space="0"/>
              <w:left w:val="single" w:color="auto" w:sz="4" w:space="0"/>
              <w:bottom w:val="single" w:color="auto" w:sz="12" w:space="0"/>
              <w:right w:val="single" w:color="auto" w:sz="4" w:space="0"/>
            </w:tcBorders>
            <w:noWrap w:val="0"/>
            <w:vAlign w:val="center"/>
          </w:tcPr>
          <w:p>
            <w:pPr>
              <w:pStyle w:val="31"/>
              <w:rPr>
                <w:color w:val="000000"/>
              </w:rPr>
            </w:pPr>
            <w:r>
              <w:rPr>
                <w:color w:val="000000"/>
              </w:rPr>
              <w:t>1</w:t>
            </w:r>
            <w:r>
              <w:rPr>
                <w:rFonts w:hint="eastAsia"/>
                <w:color w:val="000000"/>
              </w:rPr>
              <w:t>个</w:t>
            </w:r>
          </w:p>
        </w:tc>
        <w:tc>
          <w:tcPr>
            <w:tcW w:w="807" w:type="pct"/>
            <w:tcBorders>
              <w:top w:val="single" w:color="auto" w:sz="4" w:space="0"/>
              <w:left w:val="single" w:color="auto" w:sz="4" w:space="0"/>
              <w:bottom w:val="single" w:color="auto" w:sz="12" w:space="0"/>
              <w:right w:val="single" w:color="auto" w:sz="4" w:space="0"/>
            </w:tcBorders>
            <w:noWrap w:val="0"/>
            <w:vAlign w:val="center"/>
          </w:tcPr>
          <w:p>
            <w:pPr>
              <w:pStyle w:val="31"/>
              <w:rPr>
                <w:color w:val="000000"/>
              </w:rPr>
            </w:pPr>
            <w:r>
              <w:rPr>
                <w:rFonts w:hint="eastAsia"/>
                <w:color w:val="000000"/>
              </w:rPr>
              <w:t>水土流失防治成效监测</w:t>
            </w:r>
          </w:p>
        </w:tc>
        <w:tc>
          <w:tcPr>
            <w:tcW w:w="798" w:type="pct"/>
            <w:tcBorders>
              <w:top w:val="single" w:color="auto" w:sz="4" w:space="0"/>
              <w:left w:val="single" w:color="auto" w:sz="4" w:space="0"/>
              <w:bottom w:val="single" w:color="auto" w:sz="12" w:space="0"/>
              <w:right w:val="single" w:color="auto" w:sz="4" w:space="0"/>
            </w:tcBorders>
            <w:noWrap w:val="0"/>
            <w:vAlign w:val="center"/>
          </w:tcPr>
          <w:p>
            <w:pPr>
              <w:pStyle w:val="31"/>
              <w:rPr>
                <w:color w:val="000000"/>
              </w:rPr>
            </w:pPr>
            <w:r>
              <w:rPr>
                <w:rFonts w:hint="eastAsia"/>
                <w:color w:val="000000"/>
              </w:rPr>
              <w:t>实地量测和调查监测相结合</w:t>
            </w:r>
          </w:p>
        </w:tc>
        <w:tc>
          <w:tcPr>
            <w:tcW w:w="1075" w:type="pct"/>
            <w:tcBorders>
              <w:top w:val="single" w:color="auto" w:sz="4" w:space="0"/>
              <w:left w:val="single" w:color="auto" w:sz="4" w:space="0"/>
              <w:bottom w:val="single" w:color="auto" w:sz="12" w:space="0"/>
              <w:right w:val="single" w:color="auto" w:sz="12" w:space="0"/>
            </w:tcBorders>
            <w:noWrap w:val="0"/>
            <w:vAlign w:val="center"/>
          </w:tcPr>
          <w:p>
            <w:pPr>
              <w:pStyle w:val="31"/>
              <w:rPr>
                <w:color w:val="000000"/>
              </w:rPr>
            </w:pPr>
            <w:r>
              <w:rPr>
                <w:rFonts w:hint="eastAsia"/>
                <w:color w:val="000000"/>
              </w:rPr>
              <w:t>至少每季度</w:t>
            </w:r>
            <w:r>
              <w:rPr>
                <w:color w:val="000000"/>
              </w:rPr>
              <w:t>1</w:t>
            </w:r>
            <w:r>
              <w:rPr>
                <w:rFonts w:hint="eastAsia"/>
                <w:color w:val="000000"/>
              </w:rPr>
              <w:t>次，每次降雨量50mm／12h及以上后及时加测</w:t>
            </w:r>
          </w:p>
        </w:tc>
      </w:tr>
    </w:tbl>
    <w:p>
      <w:pPr>
        <w:pStyle w:val="4"/>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bookmarkStart w:id="359" w:name="_Toc4847"/>
      <w:bookmarkStart w:id="360" w:name="_Toc11235"/>
      <w:bookmarkStart w:id="361" w:name="_Toc4103"/>
      <w:r>
        <w:rPr>
          <w:rFonts w:hint="eastAsia"/>
          <w:color w:val="000000"/>
        </w:rPr>
        <w:t>6</w:t>
      </w:r>
      <w:r>
        <w:rPr>
          <w:color w:val="000000"/>
        </w:rPr>
        <w:t>.</w:t>
      </w:r>
      <w:r>
        <w:rPr>
          <w:rFonts w:hint="eastAsia"/>
          <w:color w:val="000000"/>
        </w:rPr>
        <w:t>4监测设施设备及人员配备</w:t>
      </w:r>
      <w:bookmarkEnd w:id="359"/>
      <w:bookmarkEnd w:id="360"/>
      <w:bookmarkEnd w:id="361"/>
    </w:p>
    <w:p>
      <w:pPr>
        <w:ind w:firstLine="480" w:firstLineChars="200"/>
        <w:rPr>
          <w:rFonts w:hint="default" w:ascii="Times New Roman" w:hAnsi="Times New Roman" w:eastAsia="仿宋" w:cs="Times New Roman"/>
          <w:kern w:val="2"/>
          <w:sz w:val="24"/>
          <w:lang w:val="en-US" w:eastAsia="zh-CN" w:bidi="ar-SA"/>
        </w:rPr>
      </w:pPr>
      <w:r>
        <w:rPr>
          <w:rFonts w:hint="eastAsia" w:ascii="仿宋" w:hAnsi="仿宋" w:eastAsia="仿宋"/>
        </w:rPr>
        <w:t>本项目监测任务可由建设单位自行或委托具有相应技术能力的单位开展监测工，</w:t>
      </w:r>
      <w:r>
        <w:rPr>
          <w:rFonts w:hint="eastAsia" w:ascii="仿宋" w:hAnsi="仿宋"/>
          <w:lang w:eastAsia="zh-CN"/>
        </w:rPr>
        <w:t>应至少配备</w:t>
      </w:r>
      <w:r>
        <w:rPr>
          <w:rFonts w:hint="eastAsia" w:ascii="仿宋" w:hAnsi="仿宋"/>
          <w:lang w:val="en-US" w:eastAsia="zh-CN"/>
        </w:rPr>
        <w:t>2名监测技术人员，</w:t>
      </w:r>
      <w:r>
        <w:rPr>
          <w:rFonts w:hint="eastAsia" w:ascii="仿宋" w:hAnsi="仿宋" w:eastAsia="仿宋"/>
        </w:rPr>
        <w:t>具体详见下表6-</w:t>
      </w:r>
      <w:r>
        <w:rPr>
          <w:rFonts w:hint="eastAsia" w:ascii="仿宋" w:hAnsi="仿宋"/>
          <w:lang w:val="en-US" w:eastAsia="zh-CN"/>
        </w:rPr>
        <w:t>3</w:t>
      </w:r>
      <w:r>
        <w:rPr>
          <w:rFonts w:hint="eastAsia" w:ascii="仿宋" w:hAnsi="仿宋" w:eastAsia="仿宋"/>
        </w:rPr>
        <w:t>。</w:t>
      </w:r>
    </w:p>
    <w:p>
      <w:pPr>
        <w:pStyle w:val="25"/>
        <w:rPr>
          <w:rFonts w:ascii="仿宋" w:hAnsi="仿宋" w:eastAsia="仿宋"/>
          <w:color w:val="auto"/>
        </w:rPr>
      </w:pPr>
      <w:r>
        <w:rPr>
          <w:rFonts w:hint="eastAsia" w:cs="Times New Roman"/>
          <w:kern w:val="2"/>
          <w:sz w:val="24"/>
          <w:lang w:val="en-US" w:eastAsia="zh-CN" w:bidi="ar-SA"/>
        </w:rPr>
        <w:tab/>
      </w:r>
      <w:r>
        <w:rPr>
          <w:rFonts w:hint="eastAsia" w:ascii="仿宋" w:hAnsi="仿宋" w:eastAsia="仿宋"/>
          <w:color w:val="auto"/>
        </w:rPr>
        <w:t>表6</w:t>
      </w:r>
      <w:r>
        <w:rPr>
          <w:rFonts w:hint="eastAsia" w:ascii="仿宋" w:hAnsi="仿宋" w:eastAsia="仿宋"/>
          <w:color w:val="auto"/>
          <w:lang w:val="en-US" w:eastAsia="zh-CN"/>
        </w:rPr>
        <w:t>-3</w:t>
      </w:r>
      <w:r>
        <w:rPr>
          <w:rFonts w:hint="eastAsia" w:ascii="仿宋" w:hAnsi="仿宋" w:eastAsia="仿宋"/>
          <w:color w:val="auto"/>
        </w:rPr>
        <w:t>监测设施、设备估算表</w:t>
      </w:r>
    </w:p>
    <w:tbl>
      <w:tblPr>
        <w:tblStyle w:val="19"/>
        <w:tblW w:w="7536" w:type="dxa"/>
        <w:jc w:val="center"/>
        <w:tblLayout w:type="fixed"/>
        <w:tblCellMar>
          <w:top w:w="0" w:type="dxa"/>
          <w:left w:w="0" w:type="dxa"/>
          <w:bottom w:w="0" w:type="dxa"/>
          <w:right w:w="0" w:type="dxa"/>
        </w:tblCellMar>
      </w:tblPr>
      <w:tblGrid>
        <w:gridCol w:w="1839"/>
        <w:gridCol w:w="1147"/>
        <w:gridCol w:w="994"/>
        <w:gridCol w:w="3556"/>
      </w:tblGrid>
      <w:tr>
        <w:tblPrEx>
          <w:tblCellMar>
            <w:top w:w="0" w:type="dxa"/>
            <w:left w:w="0" w:type="dxa"/>
            <w:bottom w:w="0" w:type="dxa"/>
            <w:right w:w="0" w:type="dxa"/>
          </w:tblCellMar>
        </w:tblPrEx>
        <w:trPr>
          <w:trHeight w:val="411"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2"/>
              <w:jc w:val="center"/>
              <w:rPr>
                <w:rFonts w:ascii="仿宋" w:hAnsi="仿宋" w:eastAsia="仿宋" w:cs="宋体"/>
                <w:kern w:val="0"/>
                <w:szCs w:val="24"/>
                <w:lang w:eastAsia="en-US"/>
              </w:rPr>
            </w:pPr>
            <w:r>
              <w:rPr>
                <w:rFonts w:ascii="仿宋" w:hAnsi="仿宋" w:eastAsia="仿宋" w:cs="宋体"/>
                <w:kern w:val="0"/>
                <w:szCs w:val="24"/>
                <w:lang w:eastAsia="en-US"/>
              </w:rPr>
              <w:t>仪器、设施设备</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单位</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2"/>
              <w:jc w:val="center"/>
              <w:rPr>
                <w:rFonts w:ascii="仿宋" w:hAnsi="仿宋" w:eastAsia="仿宋" w:cs="宋体"/>
                <w:kern w:val="0"/>
                <w:szCs w:val="24"/>
                <w:lang w:eastAsia="en-US"/>
              </w:rPr>
            </w:pPr>
            <w:r>
              <w:rPr>
                <w:rFonts w:ascii="仿宋" w:hAnsi="仿宋" w:eastAsia="仿宋" w:cs="宋体"/>
                <w:kern w:val="0"/>
                <w:szCs w:val="24"/>
                <w:lang w:eastAsia="en-US"/>
              </w:rPr>
              <w:t>数量</w:t>
            </w:r>
          </w:p>
        </w:tc>
        <w:tc>
          <w:tcPr>
            <w:tcW w:w="3556"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5"/>
              <w:jc w:val="center"/>
              <w:rPr>
                <w:rFonts w:ascii="仿宋" w:hAnsi="仿宋" w:eastAsia="仿宋" w:cs="宋体"/>
                <w:kern w:val="0"/>
                <w:szCs w:val="24"/>
                <w:lang w:eastAsia="en-US"/>
              </w:rPr>
            </w:pPr>
            <w:r>
              <w:rPr>
                <w:rFonts w:ascii="仿宋" w:hAnsi="仿宋" w:eastAsia="仿宋" w:cs="宋体"/>
                <w:kern w:val="0"/>
                <w:szCs w:val="24"/>
                <w:lang w:eastAsia="en-US"/>
              </w:rPr>
              <w:t>备注</w:t>
            </w:r>
          </w:p>
        </w:tc>
      </w:tr>
      <w:tr>
        <w:tblPrEx>
          <w:tblCellMar>
            <w:top w:w="0" w:type="dxa"/>
            <w:left w:w="0" w:type="dxa"/>
            <w:bottom w:w="0" w:type="dxa"/>
            <w:right w:w="0" w:type="dxa"/>
          </w:tblCellMar>
        </w:tblPrEx>
        <w:trPr>
          <w:trHeight w:val="396"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木尺</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个</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76" w:lineRule="auto"/>
              <w:ind w:right="5"/>
              <w:jc w:val="center"/>
              <w:rPr>
                <w:rFonts w:ascii="仿宋" w:hAnsi="仿宋" w:eastAsia="仿宋"/>
                <w:kern w:val="0"/>
                <w:szCs w:val="24"/>
                <w:lang w:eastAsia="en-US"/>
              </w:rPr>
            </w:pPr>
            <w:r>
              <w:rPr>
                <w:rFonts w:ascii="仿宋" w:hAnsi="仿宋" w:eastAsia="仿宋"/>
                <w:kern w:val="0"/>
                <w:szCs w:val="24"/>
                <w:lang w:eastAsia="en-US"/>
              </w:rPr>
              <w:t>1</w:t>
            </w:r>
          </w:p>
        </w:tc>
        <w:tc>
          <w:tcPr>
            <w:tcW w:w="3556" w:type="dxa"/>
            <w:vMerge w:val="restart"/>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40" w:line="276" w:lineRule="auto"/>
              <w:ind w:right="209" w:firstLine="0" w:firstLineChars="0"/>
              <w:jc w:val="center"/>
              <w:rPr>
                <w:rFonts w:ascii="仿宋" w:hAnsi="仿宋" w:eastAsia="仿宋" w:cs="宋体"/>
                <w:kern w:val="0"/>
                <w:szCs w:val="24"/>
              </w:rPr>
            </w:pPr>
            <w:r>
              <w:rPr>
                <w:rFonts w:ascii="仿宋" w:hAnsi="仿宋" w:eastAsia="仿宋" w:cs="宋体"/>
                <w:kern w:val="0"/>
                <w:szCs w:val="24"/>
              </w:rPr>
              <w:t>用于最大边长小于</w:t>
            </w:r>
            <w:r>
              <w:rPr>
                <w:rFonts w:ascii="仿宋" w:hAnsi="仿宋" w:eastAsia="仿宋"/>
                <w:kern w:val="0"/>
                <w:szCs w:val="24"/>
              </w:rPr>
              <w:t>5m</w:t>
            </w:r>
            <w:r>
              <w:rPr>
                <w:rFonts w:ascii="仿宋" w:hAnsi="仿宋" w:eastAsia="仿宋"/>
                <w:spacing w:val="-3"/>
                <w:kern w:val="0"/>
                <w:szCs w:val="24"/>
              </w:rPr>
              <w:t xml:space="preserve"> </w:t>
            </w:r>
            <w:r>
              <w:rPr>
                <w:rFonts w:ascii="仿宋" w:hAnsi="仿宋" w:eastAsia="仿宋" w:cs="宋体"/>
                <w:kern w:val="0"/>
                <w:szCs w:val="24"/>
              </w:rPr>
              <w:t>的水保设施面积、长度的测量，测量误差小于</w:t>
            </w:r>
            <w:r>
              <w:rPr>
                <w:rFonts w:ascii="仿宋" w:hAnsi="仿宋" w:eastAsia="仿宋"/>
                <w:kern w:val="0"/>
                <w:szCs w:val="24"/>
              </w:rPr>
              <w:t>±3%</w:t>
            </w:r>
            <w:r>
              <w:rPr>
                <w:rFonts w:ascii="仿宋" w:hAnsi="仿宋" w:eastAsia="仿宋" w:cs="宋体"/>
                <w:kern w:val="0"/>
                <w:szCs w:val="24"/>
              </w:rPr>
              <w:t>。</w:t>
            </w:r>
          </w:p>
        </w:tc>
      </w:tr>
      <w:tr>
        <w:tblPrEx>
          <w:tblCellMar>
            <w:top w:w="0" w:type="dxa"/>
            <w:left w:w="0" w:type="dxa"/>
            <w:bottom w:w="0" w:type="dxa"/>
            <w:right w:w="0" w:type="dxa"/>
          </w:tblCellMar>
        </w:tblPrEx>
        <w:trPr>
          <w:trHeight w:val="856"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2"/>
              <w:jc w:val="center"/>
              <w:rPr>
                <w:rFonts w:ascii="仿宋" w:hAnsi="仿宋" w:eastAsia="仿宋" w:cs="宋体"/>
                <w:kern w:val="0"/>
                <w:szCs w:val="24"/>
                <w:lang w:eastAsia="en-US"/>
              </w:rPr>
            </w:pPr>
            <w:r>
              <w:rPr>
                <w:rFonts w:ascii="仿宋" w:hAnsi="仿宋" w:eastAsia="仿宋" w:cs="宋体"/>
                <w:kern w:val="0"/>
                <w:szCs w:val="24"/>
                <w:lang w:eastAsia="en-US"/>
              </w:rPr>
              <w:t>钢卷尺</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个</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76" w:lineRule="auto"/>
              <w:ind w:right="5"/>
              <w:jc w:val="center"/>
              <w:rPr>
                <w:rFonts w:ascii="仿宋" w:hAnsi="仿宋" w:eastAsia="仿宋"/>
                <w:kern w:val="0"/>
                <w:szCs w:val="24"/>
                <w:lang w:eastAsia="en-US"/>
              </w:rPr>
            </w:pPr>
            <w:r>
              <w:rPr>
                <w:rFonts w:ascii="仿宋" w:hAnsi="仿宋" w:eastAsia="仿宋"/>
                <w:kern w:val="0"/>
                <w:szCs w:val="24"/>
                <w:lang w:eastAsia="en-US"/>
              </w:rPr>
              <w:t>2</w:t>
            </w:r>
          </w:p>
        </w:tc>
        <w:tc>
          <w:tcPr>
            <w:tcW w:w="3556" w:type="dxa"/>
            <w:vMerge w:val="continue"/>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firstLine="480"/>
              <w:jc w:val="center"/>
              <w:rPr>
                <w:rFonts w:ascii="仿宋" w:hAnsi="仿宋" w:eastAsia="仿宋"/>
                <w:kern w:val="0"/>
                <w:szCs w:val="24"/>
                <w:lang w:eastAsia="en-US"/>
              </w:rPr>
            </w:pPr>
          </w:p>
        </w:tc>
      </w:tr>
      <w:tr>
        <w:tblPrEx>
          <w:tblCellMar>
            <w:top w:w="0" w:type="dxa"/>
            <w:left w:w="0" w:type="dxa"/>
            <w:bottom w:w="0" w:type="dxa"/>
            <w:right w:w="0" w:type="dxa"/>
          </w:tblCellMar>
        </w:tblPrEx>
        <w:trPr>
          <w:trHeight w:val="703"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01" w:line="276" w:lineRule="auto"/>
              <w:jc w:val="center"/>
              <w:rPr>
                <w:rFonts w:ascii="仿宋" w:hAnsi="仿宋" w:eastAsia="仿宋" w:cs="宋体"/>
                <w:kern w:val="0"/>
                <w:szCs w:val="24"/>
                <w:lang w:eastAsia="en-US"/>
              </w:rPr>
            </w:pPr>
            <w:r>
              <w:rPr>
                <w:rFonts w:ascii="仿宋" w:hAnsi="仿宋" w:eastAsia="仿宋" w:cs="宋体"/>
                <w:kern w:val="0"/>
                <w:szCs w:val="24"/>
                <w:lang w:eastAsia="en-US"/>
              </w:rPr>
              <w:t>测绳</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01" w:line="276" w:lineRule="auto"/>
              <w:jc w:val="center"/>
              <w:rPr>
                <w:rFonts w:ascii="仿宋" w:hAnsi="仿宋" w:eastAsia="仿宋" w:cs="宋体"/>
                <w:kern w:val="0"/>
                <w:szCs w:val="24"/>
                <w:lang w:eastAsia="en-US"/>
              </w:rPr>
            </w:pPr>
            <w:r>
              <w:rPr>
                <w:rFonts w:ascii="仿宋" w:hAnsi="仿宋" w:eastAsia="仿宋" w:cs="宋体"/>
                <w:kern w:val="0"/>
                <w:szCs w:val="24"/>
                <w:lang w:eastAsia="en-US"/>
              </w:rPr>
              <w:t>个</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41" w:line="276" w:lineRule="auto"/>
              <w:ind w:right="5"/>
              <w:jc w:val="center"/>
              <w:rPr>
                <w:rFonts w:ascii="仿宋" w:hAnsi="仿宋" w:eastAsia="仿宋"/>
                <w:kern w:val="0"/>
                <w:szCs w:val="24"/>
                <w:lang w:eastAsia="en-US"/>
              </w:rPr>
            </w:pPr>
            <w:r>
              <w:rPr>
                <w:rFonts w:ascii="仿宋" w:hAnsi="仿宋" w:eastAsia="仿宋"/>
                <w:kern w:val="0"/>
                <w:szCs w:val="24"/>
                <w:lang w:eastAsia="en-US"/>
              </w:rPr>
              <w:t>2</w:t>
            </w:r>
          </w:p>
        </w:tc>
        <w:tc>
          <w:tcPr>
            <w:tcW w:w="3556"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1" w:line="276" w:lineRule="auto"/>
              <w:ind w:right="183" w:firstLine="0" w:firstLineChars="0"/>
              <w:jc w:val="center"/>
              <w:rPr>
                <w:rFonts w:ascii="仿宋" w:hAnsi="仿宋" w:eastAsia="仿宋" w:cs="宋体"/>
                <w:kern w:val="0"/>
                <w:szCs w:val="24"/>
              </w:rPr>
            </w:pPr>
            <w:r>
              <w:rPr>
                <w:rFonts w:ascii="仿宋" w:hAnsi="仿宋" w:eastAsia="仿宋" w:cs="宋体"/>
                <w:kern w:val="0"/>
                <w:szCs w:val="24"/>
              </w:rPr>
              <w:t>测量最大边长为</w:t>
            </w:r>
            <w:r>
              <w:rPr>
                <w:rFonts w:ascii="仿宋" w:hAnsi="仿宋" w:eastAsia="仿宋" w:cs="宋体"/>
                <w:spacing w:val="-46"/>
                <w:kern w:val="0"/>
                <w:szCs w:val="24"/>
              </w:rPr>
              <w:t xml:space="preserve"> </w:t>
            </w:r>
            <w:r>
              <w:rPr>
                <w:rFonts w:ascii="仿宋" w:hAnsi="仿宋" w:eastAsia="仿宋"/>
                <w:kern w:val="0"/>
                <w:szCs w:val="24"/>
              </w:rPr>
              <w:t>5m</w:t>
            </w:r>
            <w:r>
              <w:rPr>
                <w:rFonts w:ascii="仿宋" w:hAnsi="仿宋" w:eastAsia="仿宋" w:cs="宋体"/>
                <w:kern w:val="0"/>
                <w:szCs w:val="24"/>
              </w:rPr>
              <w:t>～</w:t>
            </w:r>
            <w:r>
              <w:rPr>
                <w:rFonts w:ascii="仿宋" w:hAnsi="仿宋" w:eastAsia="仿宋"/>
                <w:kern w:val="0"/>
                <w:szCs w:val="24"/>
              </w:rPr>
              <w:t>100m</w:t>
            </w:r>
            <w:r>
              <w:rPr>
                <w:rFonts w:ascii="仿宋" w:hAnsi="仿宋" w:eastAsia="仿宋"/>
                <w:spacing w:val="-4"/>
                <w:kern w:val="0"/>
                <w:szCs w:val="24"/>
              </w:rPr>
              <w:t xml:space="preserve"> </w:t>
            </w:r>
            <w:r>
              <w:rPr>
                <w:rFonts w:ascii="仿宋" w:hAnsi="仿宋" w:eastAsia="仿宋" w:cs="宋体"/>
                <w:kern w:val="0"/>
                <w:szCs w:val="24"/>
              </w:rPr>
              <w:t>的水保设施面积长度的测量测量误差小于</w:t>
            </w:r>
            <w:r>
              <w:rPr>
                <w:rFonts w:ascii="仿宋" w:hAnsi="仿宋" w:eastAsia="仿宋"/>
                <w:kern w:val="0"/>
                <w:szCs w:val="24"/>
              </w:rPr>
              <w:t>±3%</w:t>
            </w:r>
            <w:r>
              <w:rPr>
                <w:rFonts w:ascii="仿宋" w:hAnsi="仿宋" w:eastAsia="仿宋" w:cs="宋体"/>
                <w:kern w:val="0"/>
                <w:szCs w:val="24"/>
              </w:rPr>
              <w:t>。</w:t>
            </w:r>
          </w:p>
        </w:tc>
      </w:tr>
      <w:tr>
        <w:tblPrEx>
          <w:tblCellMar>
            <w:top w:w="0" w:type="dxa"/>
            <w:left w:w="0" w:type="dxa"/>
            <w:bottom w:w="0" w:type="dxa"/>
            <w:right w:w="0" w:type="dxa"/>
          </w:tblCellMar>
        </w:tblPrEx>
        <w:trPr>
          <w:trHeight w:val="726"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35" w:line="276" w:lineRule="auto"/>
              <w:ind w:right="2"/>
              <w:jc w:val="center"/>
              <w:rPr>
                <w:rFonts w:ascii="仿宋" w:hAnsi="仿宋" w:eastAsia="仿宋" w:cs="宋体"/>
                <w:kern w:val="0"/>
                <w:szCs w:val="24"/>
                <w:lang w:eastAsia="en-US"/>
              </w:rPr>
            </w:pPr>
            <w:r>
              <w:rPr>
                <w:rFonts w:ascii="仿宋" w:hAnsi="仿宋" w:eastAsia="仿宋" w:cs="宋体"/>
                <w:kern w:val="0"/>
                <w:szCs w:val="24"/>
                <w:lang w:eastAsia="en-US"/>
              </w:rPr>
              <w:t>测距仪</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135" w:line="276" w:lineRule="auto"/>
              <w:jc w:val="center"/>
              <w:rPr>
                <w:rFonts w:ascii="仿宋" w:hAnsi="仿宋" w:eastAsia="仿宋" w:cs="宋体"/>
                <w:kern w:val="0"/>
                <w:szCs w:val="24"/>
                <w:lang w:eastAsia="en-US"/>
              </w:rPr>
            </w:pPr>
            <w:r>
              <w:rPr>
                <w:rFonts w:ascii="仿宋" w:hAnsi="仿宋" w:eastAsia="仿宋" w:cs="宋体"/>
                <w:kern w:val="0"/>
                <w:szCs w:val="24"/>
                <w:lang w:eastAsia="en-US"/>
              </w:rPr>
              <w:t>台</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5"/>
              <w:jc w:val="center"/>
              <w:rPr>
                <w:rFonts w:ascii="仿宋" w:hAnsi="仿宋" w:eastAsia="仿宋"/>
                <w:kern w:val="0"/>
                <w:szCs w:val="24"/>
                <w:lang w:eastAsia="en-US"/>
              </w:rPr>
            </w:pPr>
            <w:r>
              <w:rPr>
                <w:rFonts w:ascii="仿宋" w:hAnsi="仿宋" w:eastAsia="仿宋"/>
                <w:kern w:val="0"/>
                <w:szCs w:val="24"/>
                <w:lang w:eastAsia="en-US"/>
              </w:rPr>
              <w:t>2</w:t>
            </w:r>
          </w:p>
        </w:tc>
        <w:tc>
          <w:tcPr>
            <w:tcW w:w="3556"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45" w:line="276" w:lineRule="auto"/>
              <w:ind w:right="118" w:firstLine="0" w:firstLineChars="0"/>
              <w:jc w:val="center"/>
              <w:rPr>
                <w:rFonts w:ascii="仿宋" w:hAnsi="仿宋" w:eastAsia="仿宋" w:cs="宋体"/>
                <w:kern w:val="0"/>
                <w:szCs w:val="24"/>
              </w:rPr>
            </w:pPr>
            <w:r>
              <w:rPr>
                <w:rFonts w:ascii="仿宋" w:hAnsi="仿宋" w:eastAsia="仿宋" w:cs="宋体"/>
                <w:kern w:val="0"/>
                <w:szCs w:val="24"/>
              </w:rPr>
              <w:t>测量最大边长为</w:t>
            </w:r>
            <w:r>
              <w:rPr>
                <w:rFonts w:ascii="仿宋" w:hAnsi="仿宋" w:eastAsia="仿宋" w:cs="宋体"/>
                <w:spacing w:val="-45"/>
                <w:kern w:val="0"/>
                <w:szCs w:val="24"/>
              </w:rPr>
              <w:t xml:space="preserve"> </w:t>
            </w:r>
            <w:r>
              <w:rPr>
                <w:rFonts w:ascii="仿宋" w:hAnsi="仿宋" w:eastAsia="仿宋"/>
                <w:kern w:val="0"/>
                <w:szCs w:val="24"/>
              </w:rPr>
              <w:t>100m</w:t>
            </w:r>
            <w:r>
              <w:rPr>
                <w:rFonts w:ascii="仿宋" w:hAnsi="仿宋" w:eastAsia="仿宋"/>
                <w:spacing w:val="-3"/>
                <w:kern w:val="0"/>
                <w:szCs w:val="24"/>
              </w:rPr>
              <w:t xml:space="preserve"> </w:t>
            </w:r>
            <w:r>
              <w:rPr>
                <w:rFonts w:ascii="仿宋" w:hAnsi="仿宋" w:eastAsia="仿宋" w:cs="宋体"/>
                <w:kern w:val="0"/>
                <w:szCs w:val="24"/>
              </w:rPr>
              <w:t>以上的水保设施面积、长度的 测量，精度应达分米级。</w:t>
            </w:r>
          </w:p>
        </w:tc>
      </w:tr>
      <w:tr>
        <w:tblPrEx>
          <w:tblCellMar>
            <w:top w:w="0" w:type="dxa"/>
            <w:left w:w="0" w:type="dxa"/>
            <w:bottom w:w="0" w:type="dxa"/>
            <w:right w:w="0" w:type="dxa"/>
          </w:tblCellMar>
        </w:tblPrEx>
        <w:trPr>
          <w:trHeight w:val="415"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76" w:lineRule="auto"/>
              <w:ind w:right="1"/>
              <w:jc w:val="center"/>
              <w:rPr>
                <w:rFonts w:ascii="仿宋" w:hAnsi="仿宋" w:eastAsia="仿宋"/>
                <w:kern w:val="0"/>
                <w:szCs w:val="24"/>
                <w:lang w:eastAsia="en-US"/>
              </w:rPr>
            </w:pPr>
            <w:r>
              <w:rPr>
                <w:rFonts w:ascii="仿宋" w:hAnsi="仿宋" w:eastAsia="仿宋"/>
                <w:kern w:val="0"/>
                <w:szCs w:val="24"/>
                <w:lang w:eastAsia="en-US"/>
              </w:rPr>
              <w:t>GPS</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台</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76" w:lineRule="auto"/>
              <w:ind w:right="5"/>
              <w:jc w:val="center"/>
              <w:rPr>
                <w:rFonts w:ascii="仿宋" w:hAnsi="仿宋" w:eastAsia="仿宋"/>
                <w:kern w:val="0"/>
                <w:szCs w:val="24"/>
                <w:lang w:eastAsia="en-US"/>
              </w:rPr>
            </w:pPr>
            <w:r>
              <w:rPr>
                <w:rFonts w:ascii="仿宋" w:hAnsi="仿宋" w:eastAsia="仿宋"/>
                <w:kern w:val="0"/>
                <w:szCs w:val="24"/>
                <w:lang w:eastAsia="en-US"/>
              </w:rPr>
              <w:t>2</w:t>
            </w:r>
          </w:p>
        </w:tc>
        <w:tc>
          <w:tcPr>
            <w:tcW w:w="3556"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8"/>
              <w:jc w:val="center"/>
              <w:rPr>
                <w:rFonts w:ascii="仿宋" w:hAnsi="仿宋" w:eastAsia="仿宋" w:cs="宋体"/>
                <w:kern w:val="0"/>
                <w:szCs w:val="24"/>
                <w:lang w:eastAsia="en-US"/>
              </w:rPr>
            </w:pPr>
            <w:r>
              <w:rPr>
                <w:rFonts w:ascii="仿宋" w:hAnsi="仿宋" w:eastAsia="仿宋" w:cs="宋体"/>
                <w:kern w:val="0"/>
                <w:szCs w:val="24"/>
                <w:lang w:eastAsia="en-US"/>
              </w:rPr>
              <w:t>手持</w:t>
            </w:r>
            <w:r>
              <w:rPr>
                <w:rFonts w:ascii="仿宋" w:hAnsi="仿宋" w:eastAsia="仿宋" w:cs="宋体"/>
                <w:spacing w:val="-48"/>
                <w:kern w:val="0"/>
                <w:szCs w:val="24"/>
                <w:lang w:eastAsia="en-US"/>
              </w:rPr>
              <w:t xml:space="preserve"> </w:t>
            </w:r>
            <w:r>
              <w:rPr>
                <w:rFonts w:ascii="仿宋" w:hAnsi="仿宋" w:eastAsia="仿宋"/>
                <w:kern w:val="0"/>
                <w:szCs w:val="24"/>
                <w:lang w:eastAsia="en-US"/>
              </w:rPr>
              <w:t>GPS</w:t>
            </w:r>
            <w:r>
              <w:rPr>
                <w:rFonts w:ascii="仿宋" w:hAnsi="仿宋" w:eastAsia="仿宋" w:cs="宋体"/>
                <w:kern w:val="0"/>
                <w:szCs w:val="24"/>
                <w:lang w:eastAsia="en-US"/>
              </w:rPr>
              <w:t>，定位</w:t>
            </w:r>
          </w:p>
        </w:tc>
      </w:tr>
      <w:tr>
        <w:tblPrEx>
          <w:tblCellMar>
            <w:top w:w="0" w:type="dxa"/>
            <w:left w:w="0" w:type="dxa"/>
            <w:bottom w:w="0" w:type="dxa"/>
            <w:right w:w="0" w:type="dxa"/>
          </w:tblCellMar>
        </w:tblPrEx>
        <w:trPr>
          <w:trHeight w:val="421" w:hRule="exact"/>
          <w:jc w:val="center"/>
        </w:trPr>
        <w:tc>
          <w:tcPr>
            <w:tcW w:w="1839" w:type="dxa"/>
            <w:tcBorders>
              <w:top w:val="single" w:color="auto" w:sz="4" w:space="0"/>
              <w:left w:val="single" w:color="auto" w:sz="4" w:space="0"/>
              <w:bottom w:val="single" w:color="auto" w:sz="4" w:space="0"/>
              <w:right w:val="single" w:color="auto" w:sz="4" w:space="0"/>
            </w:tcBorders>
            <w:noWrap w:val="0"/>
            <w:vAlign w:val="top"/>
          </w:tcPr>
          <w:p>
            <w:pPr>
              <w:tabs>
                <w:tab w:val="left" w:pos="847"/>
                <w:tab w:val="center" w:pos="1214"/>
              </w:tabs>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相机</w:t>
            </w:r>
          </w:p>
        </w:tc>
        <w:tc>
          <w:tcPr>
            <w:tcW w:w="1147"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jc w:val="center"/>
              <w:rPr>
                <w:rFonts w:ascii="仿宋" w:hAnsi="仿宋" w:eastAsia="仿宋" w:cs="宋体"/>
                <w:kern w:val="0"/>
                <w:szCs w:val="24"/>
                <w:lang w:eastAsia="en-US"/>
              </w:rPr>
            </w:pPr>
            <w:r>
              <w:rPr>
                <w:rFonts w:ascii="仿宋" w:hAnsi="仿宋" w:eastAsia="仿宋" w:cs="宋体"/>
                <w:kern w:val="0"/>
                <w:szCs w:val="24"/>
                <w:lang w:eastAsia="en-US"/>
              </w:rPr>
              <w:t>台</w:t>
            </w:r>
          </w:p>
        </w:tc>
        <w:tc>
          <w:tcPr>
            <w:tcW w:w="994"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76" w:lineRule="auto"/>
              <w:ind w:right="5"/>
              <w:jc w:val="center"/>
              <w:rPr>
                <w:rFonts w:ascii="仿宋" w:hAnsi="仿宋" w:eastAsia="仿宋"/>
                <w:kern w:val="0"/>
                <w:szCs w:val="24"/>
                <w:lang w:eastAsia="en-US"/>
              </w:rPr>
            </w:pPr>
            <w:r>
              <w:rPr>
                <w:rFonts w:ascii="仿宋" w:hAnsi="仿宋" w:eastAsia="仿宋"/>
                <w:kern w:val="0"/>
                <w:szCs w:val="24"/>
                <w:lang w:eastAsia="en-US"/>
              </w:rPr>
              <w:t>2</w:t>
            </w:r>
          </w:p>
        </w:tc>
        <w:tc>
          <w:tcPr>
            <w:tcW w:w="3556"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76" w:lineRule="auto"/>
              <w:ind w:right="5"/>
              <w:jc w:val="center"/>
              <w:rPr>
                <w:rFonts w:ascii="仿宋" w:hAnsi="仿宋" w:eastAsia="仿宋" w:cs="宋体"/>
                <w:kern w:val="0"/>
                <w:szCs w:val="24"/>
                <w:lang w:eastAsia="en-US"/>
              </w:rPr>
            </w:pPr>
            <w:r>
              <w:rPr>
                <w:rFonts w:ascii="仿宋" w:hAnsi="仿宋" w:eastAsia="仿宋" w:cs="宋体"/>
                <w:kern w:val="0"/>
                <w:szCs w:val="24"/>
                <w:lang w:eastAsia="en-US"/>
              </w:rPr>
              <w:t>现场影像资料记录</w:t>
            </w:r>
          </w:p>
        </w:tc>
      </w:tr>
    </w:tbl>
    <w:p>
      <w:pPr>
        <w:pStyle w:val="4"/>
        <w:rPr>
          <w:rFonts w:hint="default" w:ascii="Times New Roman" w:hAnsi="Times New Roman" w:eastAsia="仿宋" w:cs="Times New Roman"/>
          <w:kern w:val="2"/>
          <w:sz w:val="24"/>
          <w:lang w:val="en-US" w:eastAsia="zh-CN" w:bidi="ar-SA"/>
        </w:rPr>
      </w:pPr>
      <w:bookmarkStart w:id="362" w:name="_Toc22939"/>
      <w:bookmarkStart w:id="363" w:name="_Toc18502"/>
      <w:bookmarkStart w:id="364" w:name="_Toc8861"/>
      <w:r>
        <w:rPr>
          <w:rFonts w:hint="eastAsia"/>
          <w:color w:val="000000"/>
        </w:rPr>
        <w:t>6</w:t>
      </w:r>
      <w:r>
        <w:rPr>
          <w:color w:val="000000"/>
        </w:rPr>
        <w:t>.</w:t>
      </w:r>
      <w:r>
        <w:rPr>
          <w:rFonts w:hint="eastAsia"/>
          <w:color w:val="000000"/>
        </w:rPr>
        <w:t>5监测成果</w:t>
      </w:r>
      <w:bookmarkEnd w:id="362"/>
      <w:bookmarkEnd w:id="363"/>
      <w:bookmarkEnd w:id="364"/>
    </w:p>
    <w:p>
      <w:pPr>
        <w:pStyle w:val="39"/>
        <w:ind w:left="0" w:leftChars="0" w:firstLine="480" w:firstLineChars="200"/>
      </w:pPr>
      <w:r>
        <w:rPr>
          <w:rFonts w:hint="eastAsia"/>
        </w:rPr>
        <w:t>水土保持监测成果应包括以下四方面内容：</w:t>
      </w:r>
    </w:p>
    <w:p>
      <w:pPr>
        <w:pStyle w:val="39"/>
        <w:ind w:left="0" w:leftChars="0" w:firstLine="480" w:firstLineChars="200"/>
      </w:pPr>
      <w:r>
        <w:rPr>
          <w:rFonts w:hint="eastAsia"/>
        </w:rPr>
        <w:t>（1）明确水土保持监测工作制度，完成监测设计与实施计划技术论证。</w:t>
      </w:r>
    </w:p>
    <w:p>
      <w:pPr>
        <w:pStyle w:val="39"/>
        <w:ind w:firstLine="480"/>
      </w:pPr>
      <w:r>
        <w:rPr>
          <w:rFonts w:hint="eastAsia"/>
        </w:rPr>
        <w:t>（2）水土保持监测报告。水土保持监测报告应包括前言、项目及项目区概况、水土保持监测、监测结果分析、工程建设水土流失防治的经验和特点、项目综合评价及建议等内容。</w:t>
      </w:r>
    </w:p>
    <w:p>
      <w:pPr>
        <w:pStyle w:val="39"/>
        <w:ind w:firstLine="480"/>
      </w:pPr>
      <w:r>
        <w:rPr>
          <w:rFonts w:hint="eastAsia"/>
        </w:rPr>
        <w:t>（3）监测表格：作为监测成果报告的附表。</w:t>
      </w:r>
    </w:p>
    <w:p>
      <w:pPr>
        <w:bidi w:val="0"/>
        <w:ind w:firstLine="480" w:firstLineChars="200"/>
        <w:rPr>
          <w:rFonts w:hint="eastAsia"/>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rPr>
        <w:t>（4）监测图件：主要包括工程地理位置图、水土流失防治责任范围图、工程建设前项目区水土流失现状图、水土保持措施布局图、工程竣工后项目区水土流失现状图等，作为监测成果报告的附图。</w:t>
      </w:r>
    </w:p>
    <w:p>
      <w:pPr>
        <w:pStyle w:val="3"/>
        <w:jc w:val="center"/>
        <w:rPr>
          <w:szCs w:val="22"/>
        </w:rPr>
      </w:pPr>
      <w:bookmarkStart w:id="365" w:name="_Toc29655"/>
      <w:bookmarkStart w:id="366" w:name="_Toc3702"/>
      <w:bookmarkStart w:id="367" w:name="_Toc9129"/>
      <w:bookmarkStart w:id="368" w:name="_Toc4157"/>
      <w:bookmarkStart w:id="369" w:name="_Toc2121"/>
      <w:r>
        <w:rPr>
          <w:rFonts w:hint="eastAsia"/>
          <w:szCs w:val="22"/>
        </w:rPr>
        <w:t>7水土保持投资概算及效益分析</w:t>
      </w:r>
      <w:bookmarkEnd w:id="365"/>
      <w:bookmarkEnd w:id="366"/>
      <w:bookmarkEnd w:id="367"/>
      <w:bookmarkEnd w:id="368"/>
      <w:bookmarkEnd w:id="369"/>
    </w:p>
    <w:p>
      <w:pPr>
        <w:pStyle w:val="4"/>
        <w:bidi w:val="0"/>
      </w:pPr>
      <w:bookmarkStart w:id="370" w:name="_Toc30637"/>
      <w:bookmarkStart w:id="371" w:name="_Toc3233"/>
      <w:bookmarkStart w:id="372" w:name="_Toc20497"/>
      <w:bookmarkStart w:id="373" w:name="_Toc4697"/>
      <w:r>
        <w:t>7.1投资概算</w:t>
      </w:r>
      <w:bookmarkEnd w:id="370"/>
      <w:bookmarkEnd w:id="371"/>
      <w:bookmarkEnd w:id="372"/>
      <w:bookmarkEnd w:id="373"/>
    </w:p>
    <w:p>
      <w:pPr>
        <w:ind w:firstLine="480" w:firstLineChars="200"/>
        <w:rPr>
          <w:rFonts w:hint="eastAsia" w:eastAsia="仿宋"/>
          <w:lang w:eastAsia="zh-CN"/>
        </w:rPr>
      </w:pPr>
      <w:r>
        <w:rPr>
          <w:rFonts w:hint="eastAsia"/>
        </w:rPr>
        <w:t>本工程的水土保持工程费用</w:t>
      </w:r>
      <w:r>
        <w:rPr>
          <w:rFonts w:hint="eastAsia"/>
          <w:lang w:val="en-US" w:eastAsia="zh-CN"/>
        </w:rPr>
        <w:t>概算</w:t>
      </w:r>
      <w:r>
        <w:rPr>
          <w:rFonts w:hint="eastAsia"/>
        </w:rPr>
        <w:t>分为第一部分工程措施、第二部分植物措施、第三部分临时措施及第四部分独立费用，另外还有基本预备费、水土保持补偿费等。本方案水土保持工程为工程的重要组成部分，投资</w:t>
      </w:r>
      <w:r>
        <w:rPr>
          <w:rFonts w:hint="eastAsia"/>
          <w:lang w:val="en-US" w:eastAsia="zh-CN"/>
        </w:rPr>
        <w:t>概算</w:t>
      </w:r>
      <w:r>
        <w:rPr>
          <w:rFonts w:hint="eastAsia"/>
        </w:rPr>
        <w:t>所采用主体工程结算的价格</w:t>
      </w:r>
      <w:r>
        <w:rPr>
          <w:rFonts w:hint="eastAsia"/>
          <w:lang w:eastAsia="zh-CN"/>
        </w:rPr>
        <w:t>。</w:t>
      </w:r>
    </w:p>
    <w:p>
      <w:pPr>
        <w:pStyle w:val="6"/>
      </w:pPr>
      <w:r>
        <w:t>7.1.1编制原则及依据</w:t>
      </w:r>
    </w:p>
    <w:p>
      <w:pPr>
        <w:keepNext/>
        <w:keepLines/>
        <w:spacing w:line="360" w:lineRule="auto"/>
        <w:ind w:firstLine="482" w:firstLineChars="200"/>
        <w:rPr>
          <w:b/>
          <w:bCs/>
        </w:rPr>
      </w:pPr>
      <w:r>
        <w:rPr>
          <w:b/>
          <w:bCs/>
        </w:rPr>
        <w:t>一、</w:t>
      </w:r>
      <w:r>
        <w:rPr>
          <w:b/>
          <w:bCs/>
          <w:lang w:val="zh-CN"/>
        </w:rPr>
        <w:t>编制原则</w:t>
      </w:r>
    </w:p>
    <w:p>
      <w:pPr>
        <w:pStyle w:val="9"/>
        <w:spacing w:before="179"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1、本水土保持方案概算编制的项目划分、费用构成、编制方法等严格按照《四川省水利水电工程设计概（估）算编制规定》(川水发〔2015〕9号)、《水土保持工程估算定额》(水总〔2003〕67号)及《生产建设项目水土保持技术标准》(GB50433-2018) 等进行编制。</w:t>
      </w:r>
    </w:p>
    <w:p>
      <w:pPr>
        <w:pStyle w:val="9"/>
        <w:spacing w:before="179"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2、水土保持工程作为主体工程的重要内容，主要材料概算价格参照四川省建设工程造价信息现行材料价格。本方案采用主体工程施工定价。</w:t>
      </w:r>
    </w:p>
    <w:p>
      <w:pPr>
        <w:pStyle w:val="9"/>
        <w:spacing w:before="179"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3、本项目水土保持投资概算作为主体工程投资概算组成部分，计入建设项目总投资概算中。对于主体工程中界定为水土保持工程的防护措施投资，将其列入本方案的投资总概算中，和新增的水土保持措施概算投资一起构成该水土保持方案的总投资。</w:t>
      </w:r>
    </w:p>
    <w:p>
      <w:pPr>
        <w:pStyle w:val="9"/>
        <w:spacing w:line="307" w:lineRule="exact"/>
        <w:ind w:left="0" w:leftChars="0" w:right="-94" w:rightChars="-39" w:firstLine="480" w:firstLineChars="200"/>
      </w:pPr>
      <w:r>
        <w:rPr>
          <w:rFonts w:ascii="Times New Roman" w:eastAsia="Times New Roman"/>
        </w:rPr>
        <w:t>4</w:t>
      </w:r>
      <w:r>
        <w:t>、价格水平年</w:t>
      </w:r>
      <w:r>
        <w:rPr>
          <w:rFonts w:hint="eastAsia"/>
          <w:lang w:eastAsia="zh-CN"/>
        </w:rPr>
        <w:t>采用</w:t>
      </w:r>
      <w:r>
        <w:rPr>
          <w:rFonts w:hint="eastAsia"/>
        </w:rPr>
        <w:t>《四川工程造价信息》</w:t>
      </w:r>
      <w:r>
        <w:rPr>
          <w:rFonts w:hint="eastAsia" w:ascii="Times New Roman" w:hAnsi="Times New Roman" w:eastAsia="仿宋" w:cs="Times New Roman"/>
          <w:kern w:val="2"/>
          <w:sz w:val="24"/>
          <w:szCs w:val="24"/>
          <w:lang w:val="en-US" w:eastAsia="zh-CN" w:bidi="ar-SA"/>
        </w:rPr>
        <w:t>2021年第二季度</w:t>
      </w:r>
      <w:r>
        <w:rPr>
          <w:rFonts w:hint="eastAsia" w:ascii="Times New Roman" w:hAnsi="Times New Roman" w:cs="Times New Roman"/>
          <w:kern w:val="2"/>
          <w:sz w:val="24"/>
          <w:szCs w:val="24"/>
          <w:lang w:val="en-US" w:eastAsia="zh-CN" w:bidi="ar-SA"/>
        </w:rPr>
        <w:t>价格水平</w:t>
      </w:r>
      <w:r>
        <w:t>。</w:t>
      </w:r>
    </w:p>
    <w:p>
      <w:pPr>
        <w:keepNext/>
        <w:keepLines/>
        <w:spacing w:line="360" w:lineRule="auto"/>
        <w:ind w:firstLine="482" w:firstLineChars="200"/>
        <w:rPr>
          <w:b/>
          <w:bCs/>
          <w:lang w:val="zh-CN"/>
        </w:rPr>
      </w:pPr>
      <w:r>
        <w:rPr>
          <w:b/>
          <w:bCs/>
        </w:rPr>
        <w:t>二、</w:t>
      </w:r>
      <w:r>
        <w:rPr>
          <w:b/>
          <w:bCs/>
          <w:lang w:val="zh-CN"/>
        </w:rPr>
        <w:t>编制依据</w:t>
      </w:r>
    </w:p>
    <w:p>
      <w:pPr>
        <w:pStyle w:val="9"/>
        <w:spacing w:before="194"/>
        <w:ind w:left="0" w:lef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1、《水土保持工程概（估）算编制规定》(水总〔2003〕67号)；</w:t>
      </w:r>
    </w:p>
    <w:p>
      <w:pPr>
        <w:pStyle w:val="9"/>
        <w:spacing w:before="194"/>
        <w:ind w:left="0" w:lef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2、《水土保持工程估算定额》(水总〔2003〕67号)；</w:t>
      </w:r>
    </w:p>
    <w:p>
      <w:pPr>
        <w:pStyle w:val="9"/>
        <w:spacing w:before="179"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3、《财政部、国家发展改革委、水利部、中国人民银行关于印发〈水土保持补偿费征收使用管理办法〉的通知》(财综〔2014〕8号)；</w:t>
      </w:r>
    </w:p>
    <w:p>
      <w:pPr>
        <w:pStyle w:val="9"/>
        <w:spacing w:before="2"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4、《国家发展改革委、财政部、水利部关于水土保持补偿费收费标准（试行）的通知》(发改价格〔2014〕886号)；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5、国家发展和改革委《关于进一步放开建设工程专业服务价格的通知》(发改价格〔2015〕299号)；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6、《四川省财政厅、水利厅等&lt;关于印发四川省水土保持补偿费征收使用管理实施办法&gt;的通知》(川财综〔2014〕6号)；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7、四川省发展和改革委员会、四川省财政厅《关于制定水土保持补偿费收费标准的通知》(川发改价格〔2017〕347号)；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8、四川省建设工程造价总站关于对成都市等19个市、州2015年《四川省建设工程工程量清单计价定额》人工费调整的批复（川建价发〔2020〕6号）；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9、《四川省水利水电工程设计概（估）算编制规定》(川水发〔2015〕9号)；</w:t>
      </w:r>
    </w:p>
    <w:p>
      <w:pPr>
        <w:pStyle w:val="9"/>
        <w:spacing w:line="381" w:lineRule="auto"/>
        <w:ind w:left="0" w:leftChars="0" w:right="-94" w:rightChars="0" w:firstLine="480" w:firstLineChars="200"/>
        <w:rPr>
          <w:rFonts w:ascii="Times New Roman" w:hAnsi="Times New Roman" w:eastAsia="仿宋" w:cs="Times New Roman"/>
          <w:kern w:val="2"/>
          <w:sz w:val="24"/>
          <w:szCs w:val="24"/>
          <w:lang w:val="en-US" w:eastAsia="zh-CN" w:bidi="ar-SA"/>
        </w:rPr>
      </w:pPr>
      <w:r>
        <w:rPr>
          <w:rFonts w:ascii="Times New Roman" w:hAnsi="Times New Roman" w:eastAsia="仿宋" w:cs="Times New Roman"/>
          <w:kern w:val="2"/>
          <w:sz w:val="24"/>
          <w:szCs w:val="24"/>
          <w:lang w:val="en-US" w:eastAsia="zh-CN" w:bidi="ar-SA"/>
        </w:rPr>
        <w:t>10、《水利部办公厅关于调整水利工程计价依据增值税计算标准的通知》(办财务函〔2019〕448号)；</w:t>
      </w:r>
    </w:p>
    <w:p>
      <w:pPr>
        <w:pStyle w:val="9"/>
        <w:spacing w:line="381" w:lineRule="auto"/>
        <w:ind w:left="0" w:leftChars="0" w:right="-94" w:rightChars="0" w:firstLine="480" w:firstLineChars="200"/>
        <w:rPr>
          <w:lang w:val="en-US" w:eastAsia="zh-CN"/>
        </w:rPr>
      </w:pPr>
      <w:r>
        <w:rPr>
          <w:rFonts w:ascii="Times New Roman" w:hAnsi="Times New Roman" w:eastAsia="仿宋" w:cs="Times New Roman"/>
          <w:kern w:val="2"/>
          <w:sz w:val="24"/>
          <w:szCs w:val="24"/>
          <w:lang w:val="en-US" w:eastAsia="zh-CN" w:bidi="ar-SA"/>
        </w:rPr>
        <w:t>11、四川省水利厅关于印发《增值税税率调整后&lt;四川省水利水电工程设计概（估） 算编制规定&gt;相应调整办法》的通知(川水函〔2019〕610号)。</w:t>
      </w:r>
    </w:p>
    <w:p>
      <w:pPr>
        <w:keepNext/>
        <w:keepLines/>
        <w:spacing w:line="360" w:lineRule="auto"/>
        <w:ind w:firstLine="482" w:firstLineChars="200"/>
        <w:rPr>
          <w:b/>
          <w:bCs/>
          <w:lang w:val="zh-CN"/>
        </w:rPr>
      </w:pPr>
      <w:r>
        <w:rPr>
          <w:b/>
          <w:bCs/>
        </w:rPr>
        <w:t>三、</w:t>
      </w:r>
      <w:r>
        <w:rPr>
          <w:b/>
          <w:bCs/>
          <w:lang w:val="zh-CN"/>
        </w:rPr>
        <w:t>编制方法及计算标准</w:t>
      </w:r>
    </w:p>
    <w:p>
      <w:pPr>
        <w:spacing w:line="360" w:lineRule="auto"/>
        <w:ind w:firstLine="460" w:firstLineChars="192"/>
      </w:pPr>
      <w:r>
        <w:t>水土保持工程投资分为水土保持工程静态投资和水土保持补偿费两大部分。水土保持工程静态投资由水土保持工程措施、植物措施、监测措施、临时措施、独立费用和预备费6部分组成。</w:t>
      </w:r>
    </w:p>
    <w:p>
      <w:pPr>
        <w:spacing w:line="360" w:lineRule="auto"/>
        <w:ind w:firstLine="460" w:firstLineChars="192"/>
      </w:pPr>
      <w:r>
        <w:rPr>
          <w:rFonts w:hint="eastAsia"/>
          <w:lang w:eastAsia="zh-CN"/>
        </w:rPr>
        <w:t>（一）</w:t>
      </w:r>
      <w:r>
        <w:t>基础单价</w:t>
      </w:r>
    </w:p>
    <w:p>
      <w:pPr>
        <w:spacing w:line="360" w:lineRule="auto"/>
        <w:ind w:firstLine="460" w:firstLineChars="192"/>
      </w:pPr>
      <w:r>
        <w:t>（1）人工预算单价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lang w:val="sq-AL"/>
        </w:rPr>
      </w:pPr>
      <w:r>
        <w:rPr>
          <w:rFonts w:hint="default" w:ascii="Times New Roman" w:hAnsi="Times New Roman" w:eastAsia="仿宋_GB2312" w:cs="Times New Roman"/>
          <w:color w:val="auto"/>
          <w:kern w:val="1"/>
          <w:sz w:val="24"/>
          <w:szCs w:val="24"/>
          <w:lang w:val="sq-AL"/>
        </w:rPr>
        <w:t>工程区位于四川省南充市仪陇县境内，本方案人工单价参照主体工程人工单价，即15.63元/工时。</w:t>
      </w:r>
    </w:p>
    <w:p>
      <w:pPr>
        <w:spacing w:line="360" w:lineRule="auto"/>
        <w:ind w:firstLine="460" w:firstLineChars="192"/>
      </w:pPr>
      <w:r>
        <w:t>（2）主要材料预算价格。</w:t>
      </w:r>
    </w:p>
    <w:p>
      <w:pPr>
        <w:ind w:firstLine="480"/>
        <w:rPr>
          <w:rFonts w:ascii="仿宋" w:hAnsi="仿宋" w:eastAsia="仿宋"/>
        </w:rPr>
      </w:pPr>
      <w:r>
        <w:rPr>
          <w:rFonts w:hint="eastAsia"/>
        </w:rPr>
        <w:t>材料</w:t>
      </w:r>
      <w:r>
        <w:rPr>
          <w:rFonts w:hint="eastAsia"/>
          <w:lang w:val="en-US" w:eastAsia="zh-CN"/>
        </w:rPr>
        <w:t>估算</w:t>
      </w:r>
      <w:r>
        <w:rPr>
          <w:rFonts w:hint="eastAsia"/>
        </w:rPr>
        <w:t>价格采用《四川工程造价信息》2021年</w:t>
      </w:r>
      <w:r>
        <w:rPr>
          <w:rFonts w:hint="eastAsia"/>
          <w:lang w:val="en-US" w:eastAsia="zh-CN"/>
        </w:rPr>
        <w:t>5</w:t>
      </w:r>
      <w:r>
        <w:rPr>
          <w:rFonts w:hint="eastAsia"/>
        </w:rPr>
        <w:t>月价格水平。详见表7-1。</w:t>
      </w:r>
    </w:p>
    <w:p>
      <w:pPr>
        <w:pStyle w:val="28"/>
        <w:spacing w:after="0" w:line="20" w:lineRule="atLeast"/>
        <w:outlineLvl w:val="9"/>
        <w:rPr>
          <w:rFonts w:hint="eastAsia" w:ascii="仿宋" w:hAnsi="仿宋" w:eastAsia="仿宋"/>
          <w:color w:val="auto"/>
          <w:szCs w:val="24"/>
        </w:rPr>
      </w:pPr>
      <w:bookmarkStart w:id="374" w:name="_Toc11234_WPSOffice_Level3"/>
    </w:p>
    <w:p>
      <w:pPr>
        <w:pStyle w:val="28"/>
        <w:spacing w:after="0" w:line="20" w:lineRule="atLeast"/>
        <w:outlineLvl w:val="9"/>
        <w:rPr>
          <w:rFonts w:hint="eastAsia" w:ascii="仿宋" w:hAnsi="仿宋" w:eastAsia="仿宋"/>
          <w:color w:val="auto"/>
          <w:szCs w:val="24"/>
        </w:rPr>
      </w:pPr>
    </w:p>
    <w:p>
      <w:pPr>
        <w:pStyle w:val="28"/>
        <w:spacing w:after="0" w:line="20" w:lineRule="atLeast"/>
        <w:outlineLvl w:val="9"/>
        <w:rPr>
          <w:rFonts w:hint="eastAsia" w:ascii="仿宋" w:hAnsi="仿宋" w:eastAsia="仿宋"/>
          <w:color w:val="auto"/>
          <w:szCs w:val="24"/>
        </w:rPr>
      </w:pPr>
    </w:p>
    <w:p>
      <w:pPr>
        <w:pStyle w:val="28"/>
        <w:spacing w:after="0" w:line="20" w:lineRule="atLeast"/>
        <w:outlineLvl w:val="9"/>
        <w:rPr>
          <w:rFonts w:hint="eastAsia" w:ascii="仿宋" w:hAnsi="仿宋" w:eastAsia="仿宋"/>
          <w:color w:val="auto"/>
          <w:szCs w:val="24"/>
        </w:rPr>
      </w:pPr>
    </w:p>
    <w:p>
      <w:pPr>
        <w:pStyle w:val="28"/>
        <w:spacing w:after="0" w:line="20" w:lineRule="atLeast"/>
        <w:outlineLvl w:val="9"/>
        <w:rPr>
          <w:rFonts w:hint="eastAsia" w:ascii="仿宋" w:hAnsi="仿宋" w:eastAsia="仿宋"/>
          <w:color w:val="auto"/>
          <w:szCs w:val="24"/>
        </w:rPr>
      </w:pPr>
    </w:p>
    <w:p>
      <w:pPr>
        <w:pStyle w:val="28"/>
        <w:spacing w:after="0" w:line="20" w:lineRule="atLeast"/>
        <w:outlineLvl w:val="9"/>
        <w:rPr>
          <w:rFonts w:ascii="仿宋" w:hAnsi="仿宋" w:eastAsia="仿宋"/>
          <w:color w:val="auto"/>
          <w:szCs w:val="24"/>
        </w:rPr>
      </w:pPr>
      <w:r>
        <w:rPr>
          <w:rFonts w:hint="eastAsia" w:ascii="仿宋" w:hAnsi="仿宋" w:eastAsia="仿宋"/>
          <w:color w:val="auto"/>
          <w:szCs w:val="24"/>
        </w:rPr>
        <w:t>表7-1  主要材料估算单价</w:t>
      </w:r>
      <w:bookmarkEnd w:id="374"/>
    </w:p>
    <w:tbl>
      <w:tblPr>
        <w:tblStyle w:val="19"/>
        <w:tblW w:w="5775" w:type="dxa"/>
        <w:jc w:val="center"/>
        <w:tblLayout w:type="fixed"/>
        <w:tblCellMar>
          <w:top w:w="0" w:type="dxa"/>
          <w:left w:w="0" w:type="dxa"/>
          <w:bottom w:w="0" w:type="dxa"/>
          <w:right w:w="0" w:type="dxa"/>
        </w:tblCellMar>
      </w:tblPr>
      <w:tblGrid>
        <w:gridCol w:w="791"/>
        <w:gridCol w:w="2370"/>
        <w:gridCol w:w="1159"/>
        <w:gridCol w:w="1455"/>
      </w:tblGrid>
      <w:tr>
        <w:tblPrEx>
          <w:tblCellMar>
            <w:top w:w="0" w:type="dxa"/>
            <w:left w:w="0" w:type="dxa"/>
            <w:bottom w:w="0" w:type="dxa"/>
            <w:right w:w="0" w:type="dxa"/>
          </w:tblCellMar>
        </w:tblPrEx>
        <w:trPr>
          <w:trHeight w:val="2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left="2" w:firstLine="0" w:firstLineChars="0"/>
              <w:jc w:val="both"/>
              <w:rPr>
                <w:rFonts w:ascii="仿宋" w:hAnsi="仿宋" w:eastAsia="仿宋" w:cs="宋体"/>
                <w:kern w:val="0"/>
                <w:szCs w:val="24"/>
                <w:lang w:eastAsia="en-US"/>
              </w:rPr>
            </w:pPr>
            <w:r>
              <w:rPr>
                <w:rFonts w:ascii="仿宋" w:hAnsi="仿宋" w:eastAsia="仿宋" w:cs="宋体"/>
                <w:kern w:val="0"/>
                <w:szCs w:val="24"/>
                <w:lang w:eastAsia="en-US"/>
              </w:rPr>
              <w:t>序号</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名称及规格</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单位</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0" w:firstLineChars="0"/>
              <w:jc w:val="both"/>
              <w:rPr>
                <w:rFonts w:ascii="仿宋" w:hAnsi="仿宋" w:eastAsia="仿宋" w:cs="宋体"/>
                <w:kern w:val="0"/>
                <w:szCs w:val="24"/>
                <w:lang w:eastAsia="en-US"/>
              </w:rPr>
            </w:pPr>
            <w:r>
              <w:rPr>
                <w:rFonts w:ascii="仿宋" w:hAnsi="仿宋" w:eastAsia="仿宋" w:cs="宋体"/>
                <w:kern w:val="0"/>
                <w:szCs w:val="24"/>
                <w:lang w:eastAsia="en-US"/>
              </w:rPr>
              <w:t>预算价格</w:t>
            </w:r>
            <w:r>
              <w:rPr>
                <w:rFonts w:ascii="仿宋" w:hAnsi="仿宋" w:eastAsia="仿宋"/>
                <w:kern w:val="0"/>
                <w:szCs w:val="24"/>
                <w:lang w:eastAsia="en-US"/>
              </w:rPr>
              <w:t>/</w:t>
            </w:r>
            <w:r>
              <w:rPr>
                <w:rFonts w:ascii="仿宋" w:hAnsi="仿宋" w:eastAsia="仿宋" w:cs="宋体"/>
                <w:kern w:val="0"/>
                <w:szCs w:val="24"/>
                <w:lang w:eastAsia="en-US"/>
              </w:rPr>
              <w:t>元</w:t>
            </w:r>
          </w:p>
        </w:tc>
      </w:tr>
      <w:tr>
        <w:tblPrEx>
          <w:tblCellMar>
            <w:top w:w="0" w:type="dxa"/>
            <w:left w:w="0" w:type="dxa"/>
            <w:bottom w:w="0" w:type="dxa"/>
            <w:right w:w="0" w:type="dxa"/>
          </w:tblCellMar>
        </w:tblPrEx>
        <w:trPr>
          <w:trHeight w:val="495"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1</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right="1" w:firstLine="480"/>
              <w:jc w:val="both"/>
              <w:rPr>
                <w:rFonts w:ascii="仿宋" w:hAnsi="仿宋" w:eastAsia="仿宋" w:cs="宋体"/>
                <w:kern w:val="0"/>
                <w:szCs w:val="24"/>
                <w:lang w:eastAsia="en-US"/>
              </w:rPr>
            </w:pPr>
            <w:r>
              <w:rPr>
                <w:rFonts w:ascii="仿宋" w:hAnsi="仿宋" w:eastAsia="仿宋" w:cs="宋体"/>
                <w:kern w:val="0"/>
                <w:szCs w:val="24"/>
                <w:lang w:eastAsia="en-US"/>
              </w:rPr>
              <w:t>砂浆</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5" w:line="240" w:lineRule="auto"/>
              <w:ind w:firstLine="480"/>
              <w:jc w:val="both"/>
              <w:rPr>
                <w:rFonts w:hint="eastAsia" w:ascii="仿宋" w:hAnsi="仿宋" w:eastAsia="仿宋"/>
                <w:kern w:val="0"/>
                <w:szCs w:val="24"/>
                <w:lang w:eastAsia="zh-CN"/>
              </w:rPr>
            </w:pPr>
            <w:r>
              <w:rPr>
                <w:rFonts w:hint="eastAsia" w:ascii="仿宋" w:hAnsi="仿宋"/>
                <w:kern w:val="0"/>
                <w:position w:val="-7"/>
                <w:szCs w:val="24"/>
                <w:lang w:eastAsia="zh-CN"/>
              </w:rPr>
              <w:t>m³</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2" w:firstLine="480"/>
              <w:jc w:val="both"/>
              <w:rPr>
                <w:rFonts w:ascii="仿宋" w:hAnsi="仿宋" w:eastAsia="仿宋"/>
                <w:kern w:val="0"/>
                <w:szCs w:val="24"/>
                <w:lang w:eastAsia="en-US"/>
              </w:rPr>
            </w:pPr>
            <w:r>
              <w:rPr>
                <w:rFonts w:ascii="仿宋" w:hAnsi="仿宋" w:eastAsia="仿宋"/>
                <w:kern w:val="0"/>
                <w:szCs w:val="24"/>
                <w:lang w:eastAsia="en-US"/>
              </w:rPr>
              <w:t>369</w:t>
            </w:r>
          </w:p>
        </w:tc>
      </w:tr>
      <w:tr>
        <w:tblPrEx>
          <w:tblCellMar>
            <w:top w:w="0" w:type="dxa"/>
            <w:left w:w="0" w:type="dxa"/>
            <w:bottom w:w="0" w:type="dxa"/>
            <w:right w:w="0" w:type="dxa"/>
          </w:tblCellMar>
        </w:tblPrEx>
        <w:trPr>
          <w:trHeight w:val="431"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2</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right="1" w:firstLine="480"/>
              <w:jc w:val="both"/>
              <w:rPr>
                <w:rFonts w:ascii="仿宋" w:hAnsi="仿宋" w:eastAsia="仿宋" w:cs="宋体"/>
                <w:kern w:val="0"/>
                <w:szCs w:val="24"/>
                <w:lang w:eastAsia="en-US"/>
              </w:rPr>
            </w:pPr>
            <w:r>
              <w:rPr>
                <w:rFonts w:ascii="仿宋" w:hAnsi="仿宋" w:eastAsia="仿宋" w:cs="宋体"/>
                <w:kern w:val="0"/>
                <w:szCs w:val="24"/>
                <w:lang w:eastAsia="en-US"/>
              </w:rPr>
              <w:t>柴油</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firstLine="480"/>
              <w:jc w:val="both"/>
              <w:rPr>
                <w:rFonts w:ascii="仿宋" w:hAnsi="仿宋" w:eastAsia="仿宋"/>
                <w:kern w:val="0"/>
                <w:szCs w:val="24"/>
                <w:lang w:eastAsia="en-US"/>
              </w:rPr>
            </w:pPr>
            <w:r>
              <w:rPr>
                <w:rFonts w:ascii="仿宋" w:hAnsi="仿宋" w:eastAsia="仿宋"/>
                <w:kern w:val="0"/>
                <w:szCs w:val="24"/>
                <w:lang w:eastAsia="en-US"/>
              </w:rPr>
              <w:t>kg</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firstLine="480"/>
              <w:jc w:val="both"/>
              <w:rPr>
                <w:rFonts w:ascii="仿宋" w:hAnsi="仿宋" w:eastAsia="仿宋"/>
                <w:kern w:val="0"/>
                <w:szCs w:val="24"/>
                <w:lang w:eastAsia="en-US"/>
              </w:rPr>
            </w:pPr>
            <w:r>
              <w:rPr>
                <w:rFonts w:ascii="仿宋" w:hAnsi="仿宋" w:eastAsia="仿宋"/>
                <w:kern w:val="0"/>
                <w:szCs w:val="24"/>
                <w:lang w:eastAsia="en-US"/>
              </w:rPr>
              <w:t>7.16</w:t>
            </w:r>
          </w:p>
        </w:tc>
      </w:tr>
      <w:tr>
        <w:tblPrEx>
          <w:tblCellMar>
            <w:top w:w="0" w:type="dxa"/>
            <w:left w:w="0" w:type="dxa"/>
            <w:bottom w:w="0" w:type="dxa"/>
            <w:right w:w="0" w:type="dxa"/>
          </w:tblCellMar>
        </w:tblPrEx>
        <w:trPr>
          <w:trHeight w:val="422"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3</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right="1" w:firstLine="480"/>
              <w:jc w:val="both"/>
              <w:rPr>
                <w:rFonts w:ascii="仿宋" w:hAnsi="仿宋" w:eastAsia="仿宋" w:cs="宋体"/>
                <w:kern w:val="0"/>
                <w:szCs w:val="24"/>
                <w:lang w:eastAsia="en-US"/>
              </w:rPr>
            </w:pPr>
            <w:r>
              <w:rPr>
                <w:rFonts w:ascii="仿宋" w:hAnsi="仿宋" w:eastAsia="仿宋" w:cs="宋体"/>
                <w:kern w:val="0"/>
                <w:szCs w:val="24"/>
                <w:lang w:eastAsia="en-US"/>
              </w:rPr>
              <w:t>块石</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5" w:line="240" w:lineRule="auto"/>
              <w:ind w:firstLine="480"/>
              <w:jc w:val="both"/>
              <w:rPr>
                <w:rFonts w:hint="eastAsia" w:ascii="仿宋" w:hAnsi="仿宋" w:eastAsia="仿宋"/>
                <w:kern w:val="0"/>
                <w:szCs w:val="24"/>
                <w:lang w:eastAsia="zh-CN"/>
              </w:rPr>
            </w:pPr>
            <w:r>
              <w:rPr>
                <w:rFonts w:hint="eastAsia" w:ascii="仿宋" w:hAnsi="仿宋"/>
                <w:kern w:val="0"/>
                <w:position w:val="-7"/>
                <w:szCs w:val="24"/>
                <w:lang w:eastAsia="zh-CN"/>
              </w:rPr>
              <w:t>m³</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2" w:firstLine="480"/>
              <w:jc w:val="both"/>
              <w:rPr>
                <w:rFonts w:ascii="仿宋" w:hAnsi="仿宋" w:eastAsia="仿宋"/>
                <w:kern w:val="0"/>
                <w:szCs w:val="24"/>
                <w:lang w:eastAsia="en-US"/>
              </w:rPr>
            </w:pPr>
            <w:r>
              <w:rPr>
                <w:rFonts w:ascii="仿宋" w:hAnsi="仿宋" w:eastAsia="仿宋"/>
                <w:kern w:val="0"/>
                <w:szCs w:val="24"/>
                <w:lang w:eastAsia="en-US"/>
              </w:rPr>
              <w:t>55</w:t>
            </w:r>
          </w:p>
        </w:tc>
      </w:tr>
      <w:tr>
        <w:tblPrEx>
          <w:tblCellMar>
            <w:top w:w="0" w:type="dxa"/>
            <w:left w:w="0" w:type="dxa"/>
            <w:bottom w:w="0" w:type="dxa"/>
            <w:right w:w="0" w:type="dxa"/>
          </w:tblCellMar>
        </w:tblPrEx>
        <w:trPr>
          <w:trHeight w:val="414"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4</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防雨布</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5" w:line="240" w:lineRule="auto"/>
              <w:ind w:firstLine="480"/>
              <w:jc w:val="both"/>
              <w:rPr>
                <w:rFonts w:hint="eastAsia" w:ascii="仿宋" w:hAnsi="仿宋" w:eastAsia="仿宋"/>
                <w:kern w:val="0"/>
                <w:szCs w:val="24"/>
                <w:lang w:eastAsia="zh-CN"/>
              </w:rPr>
            </w:pPr>
            <w:r>
              <w:rPr>
                <w:rFonts w:hint="eastAsia" w:ascii="仿宋" w:hAnsi="仿宋"/>
                <w:kern w:val="0"/>
                <w:position w:val="-7"/>
                <w:szCs w:val="24"/>
                <w:lang w:eastAsia="zh-CN"/>
              </w:rPr>
              <w:t>m²</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firstLine="480"/>
              <w:jc w:val="both"/>
              <w:rPr>
                <w:rFonts w:ascii="仿宋" w:hAnsi="仿宋" w:eastAsia="仿宋"/>
                <w:kern w:val="0"/>
                <w:szCs w:val="24"/>
                <w:lang w:eastAsia="en-US"/>
              </w:rPr>
            </w:pPr>
            <w:r>
              <w:rPr>
                <w:rFonts w:ascii="仿宋" w:hAnsi="仿宋" w:eastAsia="仿宋"/>
                <w:kern w:val="0"/>
                <w:szCs w:val="24"/>
                <w:lang w:eastAsia="en-US"/>
              </w:rPr>
              <w:t>3.50</w:t>
            </w:r>
          </w:p>
        </w:tc>
      </w:tr>
      <w:tr>
        <w:tblPrEx>
          <w:tblCellMar>
            <w:top w:w="0" w:type="dxa"/>
            <w:left w:w="0" w:type="dxa"/>
            <w:bottom w:w="0" w:type="dxa"/>
            <w:right w:w="0" w:type="dxa"/>
          </w:tblCellMar>
        </w:tblPrEx>
        <w:trPr>
          <w:trHeight w:val="421"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5</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编织袋</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条</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right="1" w:firstLine="480"/>
              <w:jc w:val="both"/>
              <w:rPr>
                <w:rFonts w:ascii="仿宋" w:hAnsi="仿宋" w:eastAsia="仿宋"/>
                <w:kern w:val="0"/>
                <w:szCs w:val="24"/>
                <w:lang w:eastAsia="en-US"/>
              </w:rPr>
            </w:pPr>
            <w:r>
              <w:rPr>
                <w:rFonts w:ascii="仿宋" w:hAnsi="仿宋" w:eastAsia="仿宋"/>
                <w:kern w:val="0"/>
                <w:szCs w:val="24"/>
                <w:lang w:eastAsia="en-US"/>
              </w:rPr>
              <w:t>9</w:t>
            </w:r>
          </w:p>
        </w:tc>
      </w:tr>
      <w:tr>
        <w:tblPrEx>
          <w:tblCellMar>
            <w:top w:w="0" w:type="dxa"/>
            <w:left w:w="0" w:type="dxa"/>
            <w:bottom w:w="0" w:type="dxa"/>
            <w:right w:w="0" w:type="dxa"/>
          </w:tblCellMar>
        </w:tblPrEx>
        <w:trPr>
          <w:trHeight w:val="555"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6</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农家土杂肥</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5" w:line="240" w:lineRule="auto"/>
              <w:ind w:firstLine="480"/>
              <w:jc w:val="both"/>
              <w:rPr>
                <w:rFonts w:hint="eastAsia" w:ascii="仿宋" w:hAnsi="仿宋" w:eastAsia="仿宋"/>
                <w:kern w:val="0"/>
                <w:szCs w:val="24"/>
                <w:lang w:eastAsia="zh-CN"/>
              </w:rPr>
            </w:pPr>
            <w:r>
              <w:rPr>
                <w:rFonts w:hint="eastAsia" w:ascii="仿宋" w:hAnsi="仿宋"/>
                <w:kern w:val="0"/>
                <w:position w:val="-7"/>
                <w:szCs w:val="24"/>
                <w:lang w:eastAsia="zh-CN"/>
              </w:rPr>
              <w:t>m³</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210</w:t>
            </w:r>
          </w:p>
        </w:tc>
      </w:tr>
      <w:tr>
        <w:tblPrEx>
          <w:tblCellMar>
            <w:top w:w="0" w:type="dxa"/>
            <w:left w:w="0" w:type="dxa"/>
            <w:bottom w:w="0" w:type="dxa"/>
            <w:right w:w="0" w:type="dxa"/>
          </w:tblCellMar>
        </w:tblPrEx>
        <w:trPr>
          <w:trHeight w:val="418"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7</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right="1" w:firstLine="480"/>
              <w:jc w:val="both"/>
              <w:rPr>
                <w:rFonts w:ascii="仿宋" w:hAnsi="仿宋" w:eastAsia="仿宋" w:cs="宋体"/>
                <w:kern w:val="0"/>
                <w:szCs w:val="24"/>
                <w:lang w:eastAsia="en-US"/>
              </w:rPr>
            </w:pPr>
            <w:r>
              <w:rPr>
                <w:rFonts w:ascii="仿宋" w:hAnsi="仿宋" w:eastAsia="仿宋" w:cs="宋体"/>
                <w:kern w:val="0"/>
                <w:szCs w:val="24"/>
                <w:lang w:eastAsia="en-US"/>
              </w:rPr>
              <w:t>草籽</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firstLine="480"/>
              <w:jc w:val="both"/>
              <w:rPr>
                <w:rFonts w:ascii="仿宋" w:hAnsi="仿宋" w:eastAsia="仿宋"/>
                <w:kern w:val="0"/>
                <w:szCs w:val="24"/>
                <w:lang w:eastAsia="en-US"/>
              </w:rPr>
            </w:pPr>
            <w:r>
              <w:rPr>
                <w:rFonts w:ascii="仿宋" w:hAnsi="仿宋" w:eastAsia="仿宋"/>
                <w:kern w:val="0"/>
                <w:szCs w:val="24"/>
                <w:lang w:eastAsia="en-US"/>
              </w:rPr>
              <w:t>kg</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2" w:firstLine="480"/>
              <w:jc w:val="both"/>
              <w:rPr>
                <w:rFonts w:ascii="仿宋" w:hAnsi="仿宋" w:eastAsia="仿宋"/>
                <w:kern w:val="0"/>
                <w:szCs w:val="24"/>
                <w:lang w:eastAsia="en-US"/>
              </w:rPr>
            </w:pPr>
            <w:r>
              <w:rPr>
                <w:rFonts w:ascii="仿宋" w:hAnsi="仿宋" w:eastAsia="仿宋"/>
                <w:kern w:val="0"/>
                <w:szCs w:val="24"/>
                <w:lang w:eastAsia="en-US"/>
              </w:rPr>
              <w:t>120</w:t>
            </w:r>
          </w:p>
        </w:tc>
      </w:tr>
      <w:tr>
        <w:tblPrEx>
          <w:tblCellMar>
            <w:top w:w="0" w:type="dxa"/>
            <w:left w:w="0" w:type="dxa"/>
            <w:bottom w:w="0" w:type="dxa"/>
            <w:right w:w="0" w:type="dxa"/>
          </w:tblCellMar>
        </w:tblPrEx>
        <w:trPr>
          <w:trHeight w:val="424"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8</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电</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right="1" w:firstLine="480"/>
              <w:jc w:val="both"/>
              <w:rPr>
                <w:rFonts w:ascii="仿宋" w:hAnsi="仿宋" w:eastAsia="仿宋"/>
                <w:kern w:val="0"/>
                <w:szCs w:val="24"/>
                <w:lang w:eastAsia="en-US"/>
              </w:rPr>
            </w:pPr>
            <w:r>
              <w:rPr>
                <w:rFonts w:ascii="仿宋" w:hAnsi="仿宋" w:eastAsia="仿宋"/>
                <w:kern w:val="0"/>
                <w:szCs w:val="24"/>
                <w:lang w:eastAsia="en-US"/>
              </w:rPr>
              <w:t>kW·h</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firstLine="480"/>
              <w:jc w:val="both"/>
              <w:rPr>
                <w:rFonts w:ascii="仿宋" w:hAnsi="仿宋" w:eastAsia="仿宋"/>
                <w:kern w:val="0"/>
                <w:szCs w:val="24"/>
                <w:lang w:eastAsia="en-US"/>
              </w:rPr>
            </w:pPr>
            <w:r>
              <w:rPr>
                <w:rFonts w:ascii="仿宋" w:hAnsi="仿宋" w:eastAsia="仿宋"/>
                <w:kern w:val="0"/>
                <w:szCs w:val="24"/>
                <w:lang w:eastAsia="en-US"/>
              </w:rPr>
              <w:t>1.05</w:t>
            </w:r>
          </w:p>
        </w:tc>
      </w:tr>
      <w:tr>
        <w:tblPrEx>
          <w:tblCellMar>
            <w:top w:w="0" w:type="dxa"/>
            <w:left w:w="0" w:type="dxa"/>
            <w:bottom w:w="0" w:type="dxa"/>
            <w:right w:w="0" w:type="dxa"/>
          </w:tblCellMar>
        </w:tblPrEx>
        <w:trPr>
          <w:trHeight w:val="431" w:hRule="exac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1" w:firstLine="480"/>
              <w:jc w:val="both"/>
              <w:rPr>
                <w:rFonts w:ascii="仿宋" w:hAnsi="仿宋" w:eastAsia="仿宋"/>
                <w:kern w:val="0"/>
                <w:szCs w:val="24"/>
                <w:lang w:eastAsia="en-US"/>
              </w:rPr>
            </w:pPr>
            <w:r>
              <w:rPr>
                <w:rFonts w:ascii="仿宋" w:hAnsi="仿宋" w:eastAsia="仿宋"/>
                <w:kern w:val="0"/>
                <w:szCs w:val="24"/>
                <w:lang w:eastAsia="en-US"/>
              </w:rPr>
              <w:t>9</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right="1" w:firstLine="480"/>
              <w:jc w:val="both"/>
              <w:rPr>
                <w:rFonts w:ascii="仿宋" w:hAnsi="仿宋" w:eastAsia="仿宋" w:cs="宋体"/>
                <w:kern w:val="0"/>
                <w:szCs w:val="24"/>
                <w:lang w:eastAsia="en-US"/>
              </w:rPr>
            </w:pPr>
            <w:r>
              <w:rPr>
                <w:rFonts w:ascii="仿宋" w:hAnsi="仿宋" w:eastAsia="仿宋" w:cs="宋体"/>
                <w:kern w:val="0"/>
                <w:szCs w:val="24"/>
                <w:lang w:eastAsia="en-US"/>
              </w:rPr>
              <w:t>表土</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5" w:line="240" w:lineRule="auto"/>
              <w:ind w:firstLine="480"/>
              <w:jc w:val="both"/>
              <w:rPr>
                <w:rFonts w:hint="eastAsia" w:ascii="仿宋" w:hAnsi="仿宋" w:eastAsia="仿宋"/>
                <w:kern w:val="0"/>
                <w:szCs w:val="24"/>
                <w:lang w:eastAsia="zh-CN"/>
              </w:rPr>
            </w:pPr>
            <w:r>
              <w:rPr>
                <w:rFonts w:hint="eastAsia" w:ascii="仿宋" w:hAnsi="仿宋"/>
                <w:kern w:val="0"/>
                <w:position w:val="-7"/>
                <w:szCs w:val="24"/>
                <w:lang w:eastAsia="zh-CN"/>
              </w:rPr>
              <w:t>m³</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8" w:line="240" w:lineRule="auto"/>
              <w:ind w:left="2" w:firstLine="480"/>
              <w:jc w:val="both"/>
              <w:rPr>
                <w:rFonts w:ascii="仿宋" w:hAnsi="仿宋" w:eastAsia="仿宋"/>
                <w:kern w:val="0"/>
                <w:szCs w:val="24"/>
                <w:lang w:eastAsia="en-US"/>
              </w:rPr>
            </w:pPr>
            <w:r>
              <w:rPr>
                <w:rFonts w:ascii="仿宋" w:hAnsi="仿宋" w:eastAsia="仿宋"/>
                <w:kern w:val="0"/>
                <w:szCs w:val="24"/>
                <w:lang w:eastAsia="en-US"/>
              </w:rPr>
              <w:t>45</w:t>
            </w:r>
          </w:p>
        </w:tc>
      </w:tr>
      <w:tr>
        <w:tblPrEx>
          <w:tblCellMar>
            <w:top w:w="0" w:type="dxa"/>
            <w:left w:w="0" w:type="dxa"/>
            <w:bottom w:w="0" w:type="dxa"/>
            <w:right w:w="0" w:type="dxa"/>
          </w:tblCellMar>
        </w:tblPrEx>
        <w:trPr>
          <w:trHeight w:val="2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9" w:line="240" w:lineRule="auto"/>
              <w:ind w:left="7" w:firstLine="480"/>
              <w:jc w:val="both"/>
              <w:rPr>
                <w:rFonts w:ascii="仿宋" w:hAnsi="仿宋" w:eastAsia="仿宋"/>
                <w:kern w:val="0"/>
                <w:szCs w:val="24"/>
                <w:lang w:eastAsia="en-US"/>
              </w:rPr>
            </w:pPr>
            <w:r>
              <w:rPr>
                <w:rFonts w:ascii="仿宋" w:hAnsi="仿宋" w:eastAsia="仿宋"/>
                <w:kern w:val="0"/>
                <w:szCs w:val="24"/>
                <w:lang w:eastAsia="en-US"/>
              </w:rPr>
              <w:t>10</w:t>
            </w:r>
          </w:p>
        </w:tc>
        <w:tc>
          <w:tcPr>
            <w:tcW w:w="2370"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line="240" w:lineRule="auto"/>
              <w:ind w:firstLine="480"/>
              <w:jc w:val="both"/>
              <w:rPr>
                <w:rFonts w:ascii="仿宋" w:hAnsi="仿宋" w:eastAsia="仿宋" w:cs="宋体"/>
                <w:kern w:val="0"/>
                <w:szCs w:val="24"/>
                <w:lang w:eastAsia="en-US"/>
              </w:rPr>
            </w:pPr>
            <w:r>
              <w:rPr>
                <w:rFonts w:ascii="仿宋" w:hAnsi="仿宋" w:eastAsia="仿宋" w:cs="宋体"/>
                <w:kern w:val="0"/>
                <w:szCs w:val="24"/>
                <w:lang w:eastAsia="en-US"/>
              </w:rPr>
              <w:t>盖板排水沟</w:t>
            </w:r>
          </w:p>
        </w:tc>
        <w:tc>
          <w:tcPr>
            <w:tcW w:w="1159"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9" w:line="240" w:lineRule="auto"/>
              <w:ind w:right="1" w:firstLine="480"/>
              <w:jc w:val="both"/>
              <w:rPr>
                <w:rFonts w:ascii="仿宋" w:hAnsi="仿宋" w:eastAsia="仿宋"/>
                <w:kern w:val="0"/>
                <w:szCs w:val="24"/>
                <w:lang w:eastAsia="en-US"/>
              </w:rPr>
            </w:pPr>
            <w:r>
              <w:rPr>
                <w:rFonts w:ascii="仿宋" w:hAnsi="仿宋" w:eastAsia="仿宋"/>
                <w:kern w:val="0"/>
                <w:szCs w:val="24"/>
                <w:lang w:eastAsia="en-US"/>
              </w:rPr>
              <w:t>m</w:t>
            </w:r>
          </w:p>
        </w:tc>
        <w:tc>
          <w:tcPr>
            <w:tcW w:w="1455" w:type="dxa"/>
            <w:tcBorders>
              <w:top w:val="single" w:color="auto" w:sz="4" w:space="0"/>
              <w:left w:val="single" w:color="auto" w:sz="4" w:space="0"/>
              <w:bottom w:val="single" w:color="auto" w:sz="4" w:space="0"/>
              <w:right w:val="single" w:color="auto" w:sz="4" w:space="0"/>
            </w:tcBorders>
            <w:noWrap w:val="0"/>
            <w:vAlign w:val="top"/>
          </w:tcPr>
          <w:p>
            <w:pPr>
              <w:overflowPunct w:val="0"/>
              <w:adjustRightInd/>
              <w:snapToGrid/>
              <w:spacing w:before="29" w:line="240" w:lineRule="auto"/>
              <w:ind w:left="2" w:firstLine="480"/>
              <w:jc w:val="both"/>
              <w:rPr>
                <w:rFonts w:ascii="仿宋" w:hAnsi="仿宋" w:eastAsia="仿宋"/>
                <w:kern w:val="0"/>
                <w:szCs w:val="24"/>
                <w:lang w:eastAsia="en-US"/>
              </w:rPr>
            </w:pPr>
            <w:r>
              <w:rPr>
                <w:rFonts w:ascii="仿宋" w:hAnsi="仿宋" w:eastAsia="仿宋"/>
                <w:kern w:val="0"/>
                <w:szCs w:val="24"/>
                <w:lang w:eastAsia="en-US"/>
              </w:rPr>
              <w:t>200</w:t>
            </w:r>
          </w:p>
        </w:tc>
      </w:tr>
    </w:tbl>
    <w:p>
      <w:pPr>
        <w:pStyle w:val="40"/>
        <w:ind w:firstLine="480"/>
      </w:pP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（二）水土保持措施单价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水土保持工程概算由工程措施、植物措施、监测措施、施工临时工程、独立费用、预备费和水土保持补偿费7部分。</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1、编制方法</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（1）工程措施单价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采用水利部水总[2003]67号《水土保持工程概（估）算编制规定和定额》。由直接工程费、间接费、企业利润、税金组成。其中直接工程费包含直接费和其他直接费。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1）直接工程费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①直接费：包括人工费、材料费和机械使用费。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人工费=定额劳动量（工时）×人工预算单价（元/工时）</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材料费=定额材料用量×材料预算单价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机械使用费=定额机械使用量（台时）×施工机械台时费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②其他直接费按直接费的3.8%计算；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③现场经费=直接费×现场经费费率。</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2）间接费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土石方工程：  按直接工程费的3.3~5.5%计算（本方案取4.4%）；</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混凝土工程：  按直接工程费的4.3%计算；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其他工程：    按直接工程费的4.4%计算。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3）企业利润：按直接工程费和间接费之和的7%计算；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4）税金：按增值税税率（直接工程费、间接费和企业利润三项之和）的9%计算。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5）扩大系数：本方案为不进行扩大计算。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（2）植物措施单价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采用水利部水总[2003]67号《水土保持工程概（估）算编制规定和定额》。由直接工程费、间接费、企业利润、税金组成。其中直接工程费包含直接费和其他直接费。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1）直接工程费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①直接费：包括人工费、材料费和机械使用费。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人工费=定额劳动量（工时）×人工预算单价（元/工时）</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材料费=定额材料用量×材料预算单价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机械使用费=定额机械使用量（台时）×施工机械台时费</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②其他直接费：按直接费的2.5%计算。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③现场经费=直接费×现场经费费率。</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2）间接费：按直接工程费的3.3%计算。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3）企业利润：按直接工程费和间接费之和的5%计算。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4）税金：按增值税税率（直接工程费、间接费和企业利润三项之和）的9%计算。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5）扩大系数：本方案不进行扩大计算。</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2、水土保持措施单价</w:t>
      </w:r>
    </w:p>
    <w:p>
      <w:pPr>
        <w:adjustRightInd w:val="0"/>
        <w:snapToGrid w:val="0"/>
        <w:spacing w:line="360" w:lineRule="auto"/>
        <w:ind w:firstLine="480" w:firstLineChars="200"/>
        <w:rPr>
          <w:rFonts w:hint="default" w:ascii="Times New Roman" w:hAnsi="Times New Roman" w:eastAsia="仿宋_GB2312" w:cs="Times New Roman"/>
          <w:color w:val="auto"/>
          <w:kern w:val="1"/>
          <w:sz w:val="24"/>
          <w:szCs w:val="24"/>
        </w:rPr>
      </w:pPr>
      <w:r>
        <w:rPr>
          <w:rFonts w:hint="default" w:ascii="Times New Roman" w:hAnsi="Times New Roman" w:eastAsia="仿宋_GB2312" w:cs="Times New Roman"/>
          <w:color w:val="auto"/>
          <w:kern w:val="1"/>
          <w:sz w:val="24"/>
          <w:szCs w:val="24"/>
        </w:rPr>
        <w:t>依据水利部水总[2003]67号《水土保持工程概（估）算编制规定和定额》，工程单价=直接工程费+间接费+企业利润+税金。本方案水土保持工程措施、植物措施和临时措施单价见表7-</w:t>
      </w:r>
      <w:r>
        <w:rPr>
          <w:rFonts w:hint="eastAsia" w:eastAsia="仿宋_GB2312" w:cs="Times New Roman"/>
          <w:color w:val="auto"/>
          <w:kern w:val="1"/>
          <w:sz w:val="24"/>
          <w:szCs w:val="24"/>
          <w:lang w:val="en-US" w:eastAsia="zh-CN"/>
        </w:rPr>
        <w:t>2</w:t>
      </w:r>
      <w:r>
        <w:rPr>
          <w:rFonts w:hint="default" w:ascii="Times New Roman" w:hAnsi="Times New Roman" w:eastAsia="仿宋_GB2312" w:cs="Times New Roman"/>
          <w:color w:val="auto"/>
          <w:kern w:val="1"/>
          <w:sz w:val="24"/>
          <w:szCs w:val="24"/>
        </w:rPr>
        <w:t>。</w:t>
      </w:r>
    </w:p>
    <w:p>
      <w:pPr>
        <w:bidi w:val="0"/>
        <w:jc w:val="center"/>
        <w:rPr>
          <w:rFonts w:hint="default"/>
          <w:b/>
          <w:bCs/>
        </w:rPr>
      </w:pPr>
      <w:bookmarkStart w:id="375" w:name="_Toc672"/>
      <w:bookmarkStart w:id="376" w:name="_Toc30731"/>
      <w:bookmarkStart w:id="377" w:name="_Toc27796"/>
      <w:bookmarkStart w:id="378" w:name="_Toc2903"/>
      <w:bookmarkStart w:id="379" w:name="_Toc2599"/>
      <w:bookmarkStart w:id="380" w:name="_Toc22427"/>
      <w:r>
        <w:rPr>
          <w:rFonts w:hint="eastAsia"/>
          <w:b/>
          <w:bCs/>
          <w:lang w:eastAsia="zh-CN"/>
        </w:rPr>
        <w:t>表</w:t>
      </w:r>
      <w:r>
        <w:rPr>
          <w:rFonts w:hint="eastAsia"/>
          <w:b/>
          <w:bCs/>
          <w:lang w:val="en-US" w:eastAsia="zh-CN"/>
        </w:rPr>
        <w:t xml:space="preserve">7-2 </w:t>
      </w:r>
      <w:r>
        <w:rPr>
          <w:rFonts w:hint="eastAsia"/>
          <w:b/>
          <w:bCs/>
          <w:lang w:eastAsia="zh-CN"/>
        </w:rPr>
        <w:t>主</w:t>
      </w:r>
      <w:r>
        <w:rPr>
          <w:b/>
          <w:bCs/>
        </w:rPr>
        <w:t>体设计</w:t>
      </w:r>
      <w:r>
        <w:rPr>
          <w:rFonts w:hint="eastAsia"/>
          <w:b/>
          <w:bCs/>
          <w:lang w:val="en-US" w:eastAsia="zh-CN"/>
        </w:rPr>
        <w:t>与新增</w:t>
      </w:r>
      <w:r>
        <w:rPr>
          <w:b/>
          <w:bCs/>
        </w:rPr>
        <w:t>的水土保持措施工程量及投资统计表</w:t>
      </w:r>
      <w:bookmarkEnd w:id="375"/>
      <w:bookmarkEnd w:id="376"/>
      <w:bookmarkEnd w:id="377"/>
      <w:bookmarkEnd w:id="378"/>
      <w:bookmarkEnd w:id="379"/>
      <w:bookmarkEnd w:id="380"/>
    </w:p>
    <w:tbl>
      <w:tblPr>
        <w:tblStyle w:val="19"/>
        <w:tblW w:w="8608" w:type="dxa"/>
        <w:tblInd w:w="93" w:type="dxa"/>
        <w:shd w:val="clear" w:color="auto" w:fill="auto"/>
        <w:tblLayout w:type="fixed"/>
        <w:tblCellMar>
          <w:top w:w="0" w:type="dxa"/>
          <w:left w:w="108" w:type="dxa"/>
          <w:bottom w:w="0" w:type="dxa"/>
          <w:right w:w="108" w:type="dxa"/>
        </w:tblCellMar>
      </w:tblPr>
      <w:tblGrid>
        <w:gridCol w:w="1101"/>
        <w:gridCol w:w="946"/>
        <w:gridCol w:w="1896"/>
        <w:gridCol w:w="941"/>
        <w:gridCol w:w="761"/>
        <w:gridCol w:w="683"/>
        <w:gridCol w:w="1051"/>
        <w:gridCol w:w="1229"/>
      </w:tblGrid>
      <w:tr>
        <w:tblPrEx>
          <w:shd w:val="clear" w:color="auto" w:fill="auto"/>
          <w:tblCellMar>
            <w:top w:w="0" w:type="dxa"/>
            <w:left w:w="108" w:type="dxa"/>
            <w:bottom w:w="0" w:type="dxa"/>
            <w:right w:w="108" w:type="dxa"/>
          </w:tblCellMar>
        </w:tblPrEx>
        <w:trPr>
          <w:trHeight w:val="796"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项目组成</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措施类型</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措施名称</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数量</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单价（元）</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总价（元）</w:t>
            </w:r>
          </w:p>
        </w:tc>
      </w:tr>
      <w:tr>
        <w:tblPrEx>
          <w:tblCellMar>
            <w:top w:w="0" w:type="dxa"/>
            <w:left w:w="108" w:type="dxa"/>
            <w:bottom w:w="0" w:type="dxa"/>
            <w:right w:w="108" w:type="dxa"/>
          </w:tblCellMar>
        </w:tblPrEx>
        <w:trPr>
          <w:trHeight w:val="403" w:hRule="atLeast"/>
        </w:trPr>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建筑构物区</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临时措施</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临时排水沟</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170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135.76</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23079.2</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临时沉砂池</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口</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135.74</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135.74</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临时遮盖</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cs="仿宋"/>
                <w:i w:val="0"/>
                <w:iCs w:val="0"/>
                <w:color w:val="000000"/>
                <w:kern w:val="0"/>
                <w:sz w:val="20"/>
                <w:szCs w:val="20"/>
                <w:u w:val="none"/>
                <w:lang w:val="en-US" w:eastAsia="zh-CN" w:bidi="ar"/>
              </w:rPr>
              <w:t>m²</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1200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7.9</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9480</w:t>
            </w:r>
          </w:p>
        </w:tc>
      </w:tr>
      <w:tr>
        <w:tblPrEx>
          <w:tblCellMar>
            <w:top w:w="0" w:type="dxa"/>
            <w:left w:w="108" w:type="dxa"/>
            <w:bottom w:w="0" w:type="dxa"/>
            <w:right w:w="108" w:type="dxa"/>
          </w:tblCellMar>
        </w:tblPrEx>
        <w:trPr>
          <w:trHeight w:val="796" w:hRule="atLeast"/>
        </w:trPr>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附属设施区</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工程措施</w:t>
            </w:r>
          </w:p>
        </w:tc>
        <w:tc>
          <w:tcPr>
            <w:tcW w:w="1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聚乙烯PE缠绕结构壁管</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DN200</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450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cs="仿宋"/>
                <w:i w:val="0"/>
                <w:iCs w:val="0"/>
                <w:color w:val="000000"/>
                <w:kern w:val="0"/>
                <w:sz w:val="20"/>
                <w:szCs w:val="20"/>
                <w:u w:val="none"/>
                <w:lang w:val="en-US" w:eastAsia="zh-CN" w:bidi="ar"/>
              </w:rPr>
              <w:t>4.15</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1867</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108" w:type="dxa"/>
            <w:bottom w:w="0" w:type="dxa"/>
            <w:right w:w="108" w:type="dxa"/>
          </w:tblCellMar>
        </w:tblPrEx>
        <w:trPr>
          <w:trHeight w:val="796"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DN400</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410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r>
              <w:rPr>
                <w:rFonts w:hint="eastAsia" w:ascii="仿宋" w:hAnsi="仿宋" w:cs="仿宋"/>
                <w:i w:val="0"/>
                <w:iCs w:val="0"/>
                <w:color w:val="000000"/>
                <w:kern w:val="0"/>
                <w:sz w:val="20"/>
                <w:szCs w:val="20"/>
                <w:u w:val="none"/>
                <w:lang w:val="en-US" w:eastAsia="zh-CN" w:bidi="ar"/>
              </w:rPr>
              <w:t>.68</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2738</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8</w:t>
            </w:r>
          </w:p>
        </w:tc>
      </w:tr>
      <w:tr>
        <w:tblPrEx>
          <w:tblCellMar>
            <w:top w:w="0" w:type="dxa"/>
            <w:left w:w="108" w:type="dxa"/>
            <w:bottom w:w="0" w:type="dxa"/>
            <w:right w:w="108" w:type="dxa"/>
          </w:tblCellMar>
        </w:tblPrEx>
        <w:trPr>
          <w:trHeight w:val="796"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DN600</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cs="仿宋"/>
                <w:i w:val="0"/>
                <w:iCs w:val="0"/>
                <w:color w:val="000000"/>
                <w:kern w:val="0"/>
                <w:sz w:val="20"/>
                <w:szCs w:val="20"/>
                <w:u w:val="none"/>
                <w:lang w:val="en-US" w:eastAsia="zh-CN" w:bidi="ar"/>
              </w:rPr>
              <w:t>7.9</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55</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3</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雨水检查井</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座</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28</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861</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24108</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单箅平箅式雨水口</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座</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56</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603</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33768</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临时措施</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洗车槽</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座</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30000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30000</w:t>
            </w:r>
          </w:p>
        </w:tc>
      </w:tr>
      <w:tr>
        <w:tblPrEx>
          <w:tblCellMar>
            <w:top w:w="0" w:type="dxa"/>
            <w:left w:w="108" w:type="dxa"/>
            <w:bottom w:w="0" w:type="dxa"/>
            <w:right w:w="108" w:type="dxa"/>
          </w:tblCellMar>
        </w:tblPrEx>
        <w:trPr>
          <w:trHeight w:val="427"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临时遮盖</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m²</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2500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7.9</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19750</w:t>
            </w:r>
          </w:p>
        </w:tc>
      </w:tr>
      <w:tr>
        <w:tblPrEx>
          <w:tblCellMar>
            <w:top w:w="0" w:type="dxa"/>
            <w:left w:w="108" w:type="dxa"/>
            <w:bottom w:w="0" w:type="dxa"/>
            <w:right w:w="108" w:type="dxa"/>
          </w:tblCellMar>
        </w:tblPrEx>
        <w:trPr>
          <w:trHeight w:val="796" w:hRule="atLeast"/>
        </w:trPr>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景观绿化区</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工程措施</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种植土回覆</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1393</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40.38</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56249.34</w:t>
            </w:r>
          </w:p>
        </w:tc>
      </w:tr>
      <w:tr>
        <w:tblPrEx>
          <w:tblCellMar>
            <w:top w:w="0" w:type="dxa"/>
            <w:left w:w="108" w:type="dxa"/>
            <w:bottom w:w="0" w:type="dxa"/>
            <w:right w:w="108" w:type="dxa"/>
          </w:tblCellMar>
        </w:tblPrEx>
        <w:trPr>
          <w:trHeight w:val="403"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植物措施</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香樟</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棵</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21</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1495.26</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31400.46</w:t>
            </w:r>
          </w:p>
        </w:tc>
      </w:tr>
      <w:tr>
        <w:tblPrEx>
          <w:tblCellMar>
            <w:top w:w="0" w:type="dxa"/>
            <w:left w:w="108" w:type="dxa"/>
            <w:bottom w:w="0" w:type="dxa"/>
            <w:right w:w="108" w:type="dxa"/>
          </w:tblCellMar>
        </w:tblPrEx>
        <w:trPr>
          <w:trHeight w:val="481"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台湾2号草坪</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m²</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1241</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41.26</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51203.66</w:t>
            </w:r>
          </w:p>
        </w:tc>
      </w:tr>
      <w:tr>
        <w:tblPrEx>
          <w:tblCellMar>
            <w:top w:w="0" w:type="dxa"/>
            <w:left w:w="108" w:type="dxa"/>
            <w:bottom w:w="0" w:type="dxa"/>
            <w:right w:w="108" w:type="dxa"/>
          </w:tblCellMar>
        </w:tblPrEx>
        <w:trPr>
          <w:trHeight w:val="427"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麦冬</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m²</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564</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39.24</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22131.36</w:t>
            </w:r>
          </w:p>
        </w:tc>
      </w:tr>
      <w:tr>
        <w:tblPrEx>
          <w:tblCellMar>
            <w:top w:w="0" w:type="dxa"/>
            <w:left w:w="108" w:type="dxa"/>
            <w:bottom w:w="0" w:type="dxa"/>
            <w:right w:w="108" w:type="dxa"/>
          </w:tblCellMar>
        </w:tblPrEx>
        <w:trPr>
          <w:trHeight w:val="806" w:hRule="atLeast"/>
        </w:trPr>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临时措施</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临时遮盖</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m²</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800</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7.9</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6320</w:t>
            </w:r>
          </w:p>
        </w:tc>
      </w:tr>
    </w:tbl>
    <w:p>
      <w:pPr>
        <w:bidi w:val="0"/>
      </w:pPr>
      <w:r>
        <w:rPr>
          <w:rFonts w:hint="eastAsia"/>
          <w:lang w:val="en-US" w:eastAsia="zh-CN"/>
        </w:rPr>
        <w:t>（三）</w:t>
      </w:r>
      <w:r>
        <w:t>水土保持工程概算编制</w:t>
      </w:r>
    </w:p>
    <w:p>
      <w:pPr>
        <w:bidi w:val="0"/>
        <w:ind w:firstLine="480" w:firstLineChars="200"/>
      </w:pPr>
      <w:r>
        <w:t>（1）工程措施</w:t>
      </w:r>
    </w:p>
    <w:p>
      <w:pPr>
        <w:bidi w:val="0"/>
        <w:ind w:firstLine="480" w:firstLineChars="200"/>
      </w:pPr>
      <w:r>
        <w:t>引用主体。</w:t>
      </w:r>
    </w:p>
    <w:p>
      <w:pPr>
        <w:bidi w:val="0"/>
        <w:ind w:firstLine="480" w:firstLineChars="200"/>
      </w:pPr>
      <w:r>
        <w:t>（2）植物措施</w:t>
      </w:r>
    </w:p>
    <w:p>
      <w:pPr>
        <w:bidi w:val="0"/>
        <w:ind w:firstLine="480" w:firstLineChars="200"/>
      </w:pPr>
      <w:r>
        <w:t>引用主体。</w:t>
      </w:r>
    </w:p>
    <w:p>
      <w:pPr>
        <w:bidi w:val="0"/>
        <w:ind w:firstLine="480" w:firstLineChars="200"/>
      </w:pPr>
      <w:r>
        <w:t>（3）监测措施</w:t>
      </w:r>
    </w:p>
    <w:p>
      <w:pPr>
        <w:bidi w:val="0"/>
        <w:ind w:firstLine="480" w:firstLineChars="200"/>
      </w:pPr>
      <w:r>
        <w:t>本方案为报告表，不进行水土保持监测。</w:t>
      </w:r>
    </w:p>
    <w:p>
      <w:pPr>
        <w:bidi w:val="0"/>
        <w:ind w:firstLine="480" w:firstLineChars="200"/>
      </w:pPr>
      <w:r>
        <w:t>4、独立费用组成</w:t>
      </w:r>
    </w:p>
    <w:p>
      <w:pPr>
        <w:bidi w:val="0"/>
        <w:ind w:firstLine="480" w:firstLineChars="200"/>
      </w:pPr>
      <w:r>
        <w:t>1）建设管理费：按新增工程措施费、植物措施费、监测措施费、施工临时工程费之和的2.0%计列；</w:t>
      </w:r>
    </w:p>
    <w:p>
      <w:pPr>
        <w:bidi w:val="0"/>
        <w:ind w:firstLine="480" w:firstLineChars="200"/>
      </w:pPr>
      <w:r>
        <w:t>2）水土保持方案编制费：按《水利部关于颁发《生产建设项目水土保持工程概（估）算编制规定》（总院内部资料2015版）表4-7所列标准，并结合实际合同价确定计列；</w:t>
      </w:r>
    </w:p>
    <w:p>
      <w:pPr>
        <w:bidi w:val="0"/>
        <w:ind w:firstLine="480" w:firstLineChars="200"/>
      </w:pPr>
      <w:r>
        <w:t>3）科研勘测设计费</w:t>
      </w:r>
    </w:p>
    <w:p>
      <w:pPr>
        <w:bidi w:val="0"/>
        <w:ind w:firstLine="480" w:firstLineChars="200"/>
      </w:pPr>
      <w:r>
        <w:t>①工程科学研究试验费：遇大型、特殊水土保持工程可列此项费用，按一至四部分投资合计的0.2%～0.5%计列，一般情况下不计列此项费用，根据本项目建设内容，不计列该项费用。</w:t>
      </w:r>
    </w:p>
    <w:p>
      <w:pPr>
        <w:bidi w:val="0"/>
        <w:ind w:firstLine="480" w:firstLineChars="200"/>
      </w:pPr>
      <w:r>
        <w:t>②勘测设计费：按照国家计委、建设部计价格[2002]10号文《工程勘察设计收费管理规定》，根据本项目建设内容，不计列该项费用。</w:t>
      </w:r>
    </w:p>
    <w:p>
      <w:pPr>
        <w:bidi w:val="0"/>
        <w:ind w:firstLine="480" w:firstLineChars="200"/>
      </w:pPr>
      <w:r>
        <w:t>4）工程建设监理费：本项目不进行工程建设监理，不计列该项费用；</w:t>
      </w:r>
    </w:p>
    <w:p>
      <w:pPr>
        <w:bidi w:val="0"/>
        <w:ind w:firstLine="480" w:firstLineChars="200"/>
      </w:pPr>
      <w:r>
        <w:t>5）水土保持设施竣工验收费：以主体工程土建投资合计为计算基数，按照《生产建设项目水土保持工程概（估）算编制规定》（总院内部资料2015版）表4-8所列标准，并结合实际合同价确定计列；</w:t>
      </w:r>
    </w:p>
    <w:p>
      <w:pPr>
        <w:bidi w:val="0"/>
        <w:ind w:firstLine="480" w:firstLineChars="200"/>
      </w:pPr>
      <w:r>
        <w:t>6）招标业务费：本项目水保措施与主体工程同时开展相应工作，本次不记列。</w:t>
      </w:r>
    </w:p>
    <w:p>
      <w:pPr>
        <w:bidi w:val="0"/>
        <w:ind w:firstLine="480" w:firstLineChars="200"/>
      </w:pPr>
      <w:r>
        <w:t>7）经济技术咨询费：本项费用已包含在方案编制费中，不单独计列。</w:t>
      </w:r>
    </w:p>
    <w:p>
      <w:pPr>
        <w:bidi w:val="0"/>
        <w:ind w:firstLine="480" w:firstLineChars="200"/>
      </w:pPr>
      <w:r>
        <w:t>5、预备费</w:t>
      </w:r>
    </w:p>
    <w:p>
      <w:pPr>
        <w:bidi w:val="0"/>
        <w:ind w:firstLine="480" w:firstLineChars="200"/>
      </w:pPr>
      <w:r>
        <w:t>基本预备费按第一至四部分投资（扣除主体投资）的5%计取，不计价差预备费。</w:t>
      </w:r>
    </w:p>
    <w:p>
      <w:pPr>
        <w:bidi w:val="0"/>
        <w:ind w:firstLine="480" w:firstLineChars="200"/>
      </w:pPr>
      <w:r>
        <w:t>6、水土保持补偿费</w:t>
      </w:r>
    </w:p>
    <w:p>
      <w:pPr>
        <w:bidi w:val="0"/>
        <w:ind w:firstLine="480" w:firstLineChars="200"/>
      </w:pPr>
      <w:r>
        <w:rPr>
          <w:rFonts w:hint="eastAsia"/>
        </w:rPr>
        <w:t>本项目水土保持补偿费，根据《关于制定水土保持补偿费收费标准的通知》（川发改价格</w:t>
      </w:r>
      <w:r>
        <w:t>[2017]347</w:t>
      </w:r>
      <w:r>
        <w:rPr>
          <w:rFonts w:hint="eastAsia"/>
        </w:rPr>
        <w:t>号）的要求，本项目按</w:t>
      </w:r>
      <w:r>
        <w:t>1.30</w:t>
      </w:r>
      <w:r>
        <w:rPr>
          <w:rFonts w:hint="eastAsia"/>
        </w:rPr>
        <w:t>元</w:t>
      </w:r>
      <w:r>
        <w:t>/</w:t>
      </w:r>
      <w:r>
        <w:rPr>
          <w:rFonts w:hint="eastAsia"/>
          <w:lang w:eastAsia="zh-CN"/>
        </w:rPr>
        <w:t>m²</w:t>
      </w:r>
      <w:r>
        <w:rPr>
          <w:rFonts w:hint="eastAsia"/>
        </w:rPr>
        <w:t>征收水土保持补偿费。</w:t>
      </w:r>
    </w:p>
    <w:p>
      <w:pPr>
        <w:bidi w:val="0"/>
        <w:ind w:firstLine="480" w:firstLineChars="200"/>
      </w:pPr>
      <w:r>
        <w:t>7、</w:t>
      </w:r>
      <w:r>
        <w:rPr>
          <w:lang w:val="zh-CN"/>
        </w:rPr>
        <w:t>价格水平年</w:t>
      </w:r>
    </w:p>
    <w:p>
      <w:pPr>
        <w:bidi w:val="0"/>
        <w:ind w:firstLine="480" w:firstLineChars="200"/>
      </w:pPr>
      <w:r>
        <w:t>价格水平年以</w:t>
      </w:r>
      <w:r>
        <w:rPr>
          <w:rFonts w:hint="eastAsia"/>
        </w:rPr>
        <w:t>四川</w:t>
      </w:r>
      <w:r>
        <w:t>省建设工程造价管理总站发布的202</w:t>
      </w:r>
      <w:r>
        <w:rPr>
          <w:rFonts w:hint="eastAsia"/>
          <w:lang w:val="en-US" w:eastAsia="zh-CN"/>
        </w:rPr>
        <w:t>0</w:t>
      </w:r>
      <w:r>
        <w:t>年第</w:t>
      </w:r>
      <w:r>
        <w:rPr>
          <w:rFonts w:hint="eastAsia"/>
          <w:lang w:val="en-US" w:eastAsia="zh-CN"/>
        </w:rPr>
        <w:t>2</w:t>
      </w:r>
      <w:r>
        <w:t>季度《</w:t>
      </w:r>
      <w:r>
        <w:rPr>
          <w:rFonts w:hint="eastAsia"/>
        </w:rPr>
        <w:t>四川</w:t>
      </w:r>
      <w:r>
        <w:t>省建设工程造价信息》的价格为参考依据。</w:t>
      </w:r>
    </w:p>
    <w:p>
      <w:pPr>
        <w:pStyle w:val="6"/>
        <w:rPr>
          <w:lang w:val="zh-CN"/>
        </w:rPr>
      </w:pPr>
      <w:r>
        <w:t>7.1.2</w:t>
      </w:r>
      <w:r>
        <w:rPr>
          <w:lang w:val="zh-CN"/>
        </w:rPr>
        <w:t>编制说明与</w:t>
      </w:r>
      <w:r>
        <w:t>概</w:t>
      </w:r>
      <w:r>
        <w:rPr>
          <w:lang w:val="zh-CN"/>
        </w:rPr>
        <w:t>算成</w:t>
      </w:r>
      <w:r>
        <w:rPr>
          <w:rFonts w:hint="eastAsia"/>
          <w:lang w:val="zh-CN"/>
        </w:rPr>
        <w:t>果</w:t>
      </w:r>
    </w:p>
    <w:p>
      <w:pPr>
        <w:spacing w:line="360" w:lineRule="auto"/>
        <w:ind w:firstLine="472"/>
        <w:rPr>
          <w:color w:val="auto"/>
          <w:spacing w:val="-2"/>
          <w:highlight w:val="none"/>
        </w:rPr>
      </w:pPr>
      <w:r>
        <w:rPr>
          <w:color w:val="auto"/>
          <w:spacing w:val="-2"/>
          <w:highlight w:val="none"/>
        </w:rPr>
        <w:t>本项目水土保持总投资</w:t>
      </w:r>
      <w:r>
        <w:rPr>
          <w:rFonts w:hint="eastAsia"/>
          <w:color w:val="auto"/>
          <w:spacing w:val="-2"/>
          <w:highlight w:val="none"/>
          <w:lang w:val="en-US" w:eastAsia="zh-CN"/>
        </w:rPr>
        <w:t>44.13</w:t>
      </w:r>
      <w:r>
        <w:rPr>
          <w:color w:val="auto"/>
          <w:spacing w:val="-2"/>
          <w:highlight w:val="none"/>
        </w:rPr>
        <w:t>万元（其中主体投资</w:t>
      </w:r>
      <w:r>
        <w:rPr>
          <w:rFonts w:hint="eastAsia"/>
          <w:color w:val="auto"/>
          <w:spacing w:val="-2"/>
          <w:highlight w:val="none"/>
          <w:lang w:val="en-US" w:eastAsia="zh-CN"/>
        </w:rPr>
        <w:t>27.00万元）</w:t>
      </w:r>
      <w:r>
        <w:rPr>
          <w:bCs/>
          <w:color w:val="auto"/>
          <w:highlight w:val="none"/>
        </w:rPr>
        <w:t>，本方案新增水土保持投资</w:t>
      </w:r>
      <w:r>
        <w:rPr>
          <w:rFonts w:hint="eastAsia"/>
          <w:bCs/>
          <w:color w:val="auto"/>
          <w:highlight w:val="none"/>
          <w:lang w:val="en-US" w:eastAsia="zh-CN"/>
        </w:rPr>
        <w:t>17.13</w:t>
      </w:r>
      <w:r>
        <w:rPr>
          <w:bCs/>
          <w:color w:val="auto"/>
          <w:highlight w:val="none"/>
        </w:rPr>
        <w:t>万元</w:t>
      </w:r>
      <w:r>
        <w:rPr>
          <w:color w:val="auto"/>
          <w:spacing w:val="-2"/>
          <w:highlight w:val="none"/>
        </w:rPr>
        <w:t>）</w:t>
      </w:r>
      <w:r>
        <w:rPr>
          <w:rFonts w:hint="eastAsia"/>
          <w:color w:val="auto"/>
          <w:spacing w:val="-2"/>
          <w:highlight w:val="none"/>
        </w:rPr>
        <w:t>。</w:t>
      </w:r>
      <w:r>
        <w:rPr>
          <w:rFonts w:hint="eastAsia"/>
          <w:color w:val="auto"/>
          <w:highlight w:val="none"/>
        </w:rPr>
        <w:t>水土保持新增投资中，</w:t>
      </w:r>
      <w:r>
        <w:rPr>
          <w:rFonts w:hint="eastAsia"/>
          <w:color w:val="auto"/>
          <w:highlight w:val="none"/>
          <w:lang w:eastAsia="zh-CN"/>
        </w:rPr>
        <w:t>临时措施费</w:t>
      </w:r>
      <w:r>
        <w:rPr>
          <w:rFonts w:hint="eastAsia"/>
          <w:color w:val="auto"/>
          <w:highlight w:val="none"/>
          <w:lang w:val="en-US" w:eastAsia="zh-CN"/>
        </w:rPr>
        <w:t>3.56万元，</w:t>
      </w:r>
      <w:r>
        <w:rPr>
          <w:rFonts w:hint="eastAsia"/>
          <w:color w:val="auto"/>
          <w:highlight w:val="none"/>
        </w:rPr>
        <w:t>独立费用</w:t>
      </w:r>
      <w:r>
        <w:rPr>
          <w:rFonts w:hint="eastAsia"/>
          <w:color w:val="auto"/>
          <w:highlight w:val="none"/>
          <w:lang w:val="en-US" w:eastAsia="zh-CN"/>
        </w:rPr>
        <w:t>12.07</w:t>
      </w:r>
      <w:r>
        <w:rPr>
          <w:rFonts w:hint="eastAsia"/>
          <w:color w:val="auto"/>
          <w:highlight w:val="none"/>
        </w:rPr>
        <w:t>万元</w:t>
      </w:r>
      <w:r>
        <w:rPr>
          <w:rFonts w:hint="eastAsia"/>
          <w:color w:val="auto"/>
          <w:highlight w:val="none"/>
          <w:lang w:eastAsia="zh-CN"/>
        </w:rPr>
        <w:t>（</w:t>
      </w:r>
      <w:r>
        <w:rPr>
          <w:rFonts w:hint="eastAsia"/>
          <w:color w:val="auto"/>
          <w:highlight w:val="none"/>
        </w:rPr>
        <w:t>其中</w:t>
      </w:r>
      <w:r>
        <w:rPr>
          <w:rFonts w:hint="eastAsia"/>
          <w:color w:val="auto"/>
          <w:highlight w:val="none"/>
          <w:lang w:eastAsia="zh-CN"/>
        </w:rPr>
        <w:t>建设管理费</w:t>
      </w:r>
      <w:r>
        <w:rPr>
          <w:rFonts w:hint="eastAsia"/>
          <w:color w:val="auto"/>
          <w:highlight w:val="none"/>
          <w:lang w:val="en-US" w:eastAsia="zh-CN"/>
        </w:rPr>
        <w:t>0.07万元，</w:t>
      </w:r>
      <w:r>
        <w:rPr>
          <w:rFonts w:hint="eastAsia"/>
          <w:color w:val="auto"/>
          <w:highlight w:val="none"/>
        </w:rPr>
        <w:t>科研勘测设计费</w:t>
      </w:r>
      <w:r>
        <w:rPr>
          <w:rFonts w:hint="eastAsia"/>
          <w:color w:val="auto"/>
          <w:highlight w:val="none"/>
          <w:lang w:val="en-US" w:eastAsia="zh-CN"/>
        </w:rPr>
        <w:t>3</w:t>
      </w:r>
      <w:r>
        <w:rPr>
          <w:rFonts w:hint="eastAsia"/>
          <w:color w:val="auto"/>
          <w:highlight w:val="none"/>
        </w:rPr>
        <w:t>万元，</w:t>
      </w:r>
      <w:r>
        <w:rPr>
          <w:rFonts w:hint="eastAsia"/>
          <w:color w:val="auto"/>
          <w:highlight w:val="none"/>
          <w:lang w:eastAsia="zh-CN"/>
        </w:rPr>
        <w:t>水土保持报告编制费</w:t>
      </w:r>
      <w:r>
        <w:rPr>
          <w:rFonts w:hint="eastAsia"/>
          <w:color w:val="auto"/>
          <w:highlight w:val="none"/>
          <w:lang w:val="en-US" w:eastAsia="zh-CN"/>
        </w:rPr>
        <w:t>3.5万元，</w:t>
      </w:r>
      <w:r>
        <w:rPr>
          <w:rFonts w:hint="eastAsia"/>
          <w:color w:val="auto"/>
          <w:highlight w:val="none"/>
        </w:rPr>
        <w:t>水土保持监测费</w:t>
      </w:r>
      <w:r>
        <w:rPr>
          <w:rFonts w:hint="eastAsia"/>
          <w:color w:val="auto"/>
          <w:highlight w:val="none"/>
          <w:lang w:val="en-US" w:eastAsia="zh-CN"/>
        </w:rPr>
        <w:t>3.5</w:t>
      </w:r>
      <w:r>
        <w:rPr>
          <w:rFonts w:hint="eastAsia"/>
          <w:color w:val="auto"/>
          <w:highlight w:val="none"/>
        </w:rPr>
        <w:t>万元，水土保持设施验收费</w:t>
      </w:r>
      <w:r>
        <w:rPr>
          <w:rFonts w:hint="eastAsia"/>
          <w:color w:val="auto"/>
          <w:highlight w:val="none"/>
          <w:lang w:val="en-US" w:eastAsia="zh-CN"/>
        </w:rPr>
        <w:t>2</w:t>
      </w:r>
      <w:r>
        <w:rPr>
          <w:rFonts w:hint="eastAsia"/>
          <w:color w:val="auto"/>
          <w:highlight w:val="none"/>
        </w:rPr>
        <w:t>万元）</w:t>
      </w:r>
      <w:r>
        <w:rPr>
          <w:rFonts w:hint="eastAsia"/>
          <w:color w:val="auto"/>
          <w:highlight w:val="none"/>
          <w:lang w:eastAsia="zh-CN"/>
        </w:rPr>
        <w:t>，基本预备费</w:t>
      </w:r>
      <w:r>
        <w:rPr>
          <w:rFonts w:hint="eastAsia"/>
          <w:color w:val="auto"/>
          <w:highlight w:val="none"/>
          <w:lang w:val="en-US" w:eastAsia="zh-CN"/>
        </w:rPr>
        <w:t>0.18万元</w:t>
      </w:r>
      <w:r>
        <w:rPr>
          <w:rFonts w:hint="eastAsia"/>
          <w:color w:val="auto"/>
          <w:highlight w:val="none"/>
          <w:lang w:eastAsia="zh-CN"/>
        </w:rPr>
        <w:t>，</w:t>
      </w:r>
      <w:r>
        <w:rPr>
          <w:color w:val="auto"/>
          <w:spacing w:val="-2"/>
          <w:highlight w:val="none"/>
        </w:rPr>
        <w:t>水土保持补偿费</w:t>
      </w:r>
      <w:r>
        <w:rPr>
          <w:rFonts w:hint="eastAsia"/>
          <w:color w:val="auto"/>
          <w:spacing w:val="-2"/>
          <w:highlight w:val="none"/>
          <w:lang w:val="en-US" w:eastAsia="zh-CN"/>
        </w:rPr>
        <w:t>1.32</w:t>
      </w:r>
      <w:r>
        <w:rPr>
          <w:color w:val="auto"/>
          <w:spacing w:val="-2"/>
          <w:highlight w:val="none"/>
        </w:rPr>
        <w:t>万元</w:t>
      </w:r>
      <w:r>
        <w:rPr>
          <w:rFonts w:hint="eastAsia"/>
          <w:color w:val="auto"/>
          <w:spacing w:val="-2"/>
          <w:highlight w:val="none"/>
          <w:lang w:eastAsia="zh-CN"/>
        </w:rPr>
        <w:t>。</w:t>
      </w:r>
      <w:r>
        <w:rPr>
          <w:color w:val="auto"/>
          <w:spacing w:val="-2"/>
          <w:highlight w:val="none"/>
        </w:rPr>
        <w:t>详见表</w:t>
      </w:r>
      <w:r>
        <w:rPr>
          <w:rFonts w:hint="eastAsia"/>
          <w:color w:val="auto"/>
          <w:spacing w:val="-2"/>
          <w:highlight w:val="none"/>
        </w:rPr>
        <w:t>7</w:t>
      </w:r>
      <w:r>
        <w:rPr>
          <w:color w:val="auto"/>
          <w:spacing w:val="-2"/>
          <w:highlight w:val="none"/>
        </w:rPr>
        <w:t>-3。</w:t>
      </w:r>
    </w:p>
    <w:p>
      <w:pPr>
        <w:spacing w:line="360" w:lineRule="auto"/>
        <w:jc w:val="center"/>
        <w:rPr>
          <w:b/>
          <w:spacing w:val="6"/>
          <w:sz w:val="22"/>
          <w:szCs w:val="22"/>
        </w:rPr>
      </w:pPr>
    </w:p>
    <w:p>
      <w:pPr>
        <w:spacing w:line="360" w:lineRule="auto"/>
        <w:jc w:val="center"/>
        <w:rPr>
          <w:b/>
          <w:spacing w:val="6"/>
          <w:sz w:val="22"/>
          <w:szCs w:val="22"/>
        </w:rPr>
      </w:pPr>
    </w:p>
    <w:p>
      <w:pPr>
        <w:spacing w:line="360" w:lineRule="auto"/>
        <w:jc w:val="center"/>
        <w:rPr>
          <w:b/>
          <w:spacing w:val="6"/>
          <w:sz w:val="22"/>
          <w:szCs w:val="22"/>
        </w:rPr>
      </w:pPr>
    </w:p>
    <w:p>
      <w:pPr>
        <w:spacing w:line="360" w:lineRule="auto"/>
        <w:jc w:val="center"/>
        <w:rPr>
          <w:b/>
          <w:spacing w:val="6"/>
          <w:sz w:val="22"/>
          <w:szCs w:val="22"/>
        </w:rPr>
      </w:pPr>
      <w:r>
        <w:rPr>
          <w:b/>
          <w:spacing w:val="6"/>
          <w:sz w:val="22"/>
          <w:szCs w:val="22"/>
        </w:rPr>
        <w:t>表</w:t>
      </w:r>
      <w:r>
        <w:rPr>
          <w:rFonts w:hint="eastAsia"/>
          <w:b/>
          <w:spacing w:val="6"/>
          <w:sz w:val="22"/>
          <w:szCs w:val="22"/>
        </w:rPr>
        <w:t>7</w:t>
      </w:r>
      <w:r>
        <w:rPr>
          <w:b/>
          <w:spacing w:val="6"/>
          <w:sz w:val="22"/>
          <w:szCs w:val="22"/>
        </w:rPr>
        <w:t>-3      投资概算总表         单位：万元</w:t>
      </w:r>
    </w:p>
    <w:tbl>
      <w:tblPr>
        <w:tblStyle w:val="19"/>
        <w:tblW w:w="8880" w:type="dxa"/>
        <w:tblInd w:w="-312" w:type="dxa"/>
        <w:tblLayout w:type="autofit"/>
        <w:tblCellMar>
          <w:top w:w="0" w:type="dxa"/>
          <w:left w:w="0" w:type="dxa"/>
          <w:bottom w:w="0" w:type="dxa"/>
          <w:right w:w="0" w:type="dxa"/>
        </w:tblCellMar>
      </w:tblPr>
      <w:tblGrid>
        <w:gridCol w:w="435"/>
        <w:gridCol w:w="1725"/>
        <w:gridCol w:w="1080"/>
        <w:gridCol w:w="1080"/>
        <w:gridCol w:w="1245"/>
        <w:gridCol w:w="1080"/>
        <w:gridCol w:w="1155"/>
        <w:gridCol w:w="1080"/>
      </w:tblGrid>
      <w:tr>
        <w:tblPrEx>
          <w:tblCellMar>
            <w:top w:w="0" w:type="dxa"/>
            <w:left w:w="0" w:type="dxa"/>
            <w:bottom w:w="0" w:type="dxa"/>
            <w:right w:w="0" w:type="dxa"/>
          </w:tblCellMar>
        </w:tblPrEx>
        <w:trPr>
          <w:trHeight w:val="300"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序号</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工程或费用名称</w:t>
            </w:r>
          </w:p>
        </w:tc>
        <w:tc>
          <w:tcPr>
            <w:tcW w:w="448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方案新增投资</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主体已列投资</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合计</w:t>
            </w:r>
          </w:p>
        </w:tc>
      </w:tr>
      <w:tr>
        <w:tblPrEx>
          <w:tblCellMar>
            <w:top w:w="0" w:type="dxa"/>
            <w:left w:w="0" w:type="dxa"/>
            <w:bottom w:w="0" w:type="dxa"/>
            <w:right w:w="0" w:type="dxa"/>
          </w:tblCellMar>
        </w:tblPrEx>
        <w:trPr>
          <w:trHeight w:val="300"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建安工程费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植物措施费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独立费用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小计</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r>
      <w:tr>
        <w:tblPrEx>
          <w:tblCellMar>
            <w:top w:w="0" w:type="dxa"/>
            <w:left w:w="0" w:type="dxa"/>
            <w:bottom w:w="0" w:type="dxa"/>
            <w:right w:w="0" w:type="dxa"/>
          </w:tblCellMar>
        </w:tblPrEx>
        <w:trPr>
          <w:trHeight w:val="9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第一部分</w:t>
            </w:r>
            <w:r>
              <w:rPr>
                <w:sz w:val="20"/>
                <w:szCs w:val="20"/>
              </w:rPr>
              <w:t xml:space="preserve"> </w:t>
            </w:r>
            <w:r>
              <w:rPr>
                <w:rFonts w:hint="eastAsia"/>
                <w:sz w:val="20"/>
                <w:szCs w:val="20"/>
              </w:rPr>
              <w:t>工程措施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11.2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jc w:val="center"/>
              <w:rPr>
                <w:rFonts w:hint="default" w:eastAsia="仿宋"/>
                <w:sz w:val="20"/>
                <w:szCs w:val="20"/>
                <w:lang w:val="en-US" w:eastAsia="zh-CN"/>
              </w:rPr>
            </w:pPr>
            <w:r>
              <w:rPr>
                <w:rFonts w:hint="eastAsia"/>
                <w:sz w:val="20"/>
                <w:szCs w:val="20"/>
                <w:lang w:val="en-US" w:eastAsia="zh-CN"/>
              </w:rPr>
              <w:t>11.2</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建构筑物区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lang w:eastAsia="zh-CN"/>
              </w:rPr>
              <w:t>附属</w:t>
            </w:r>
            <w:r>
              <w:rPr>
                <w:sz w:val="20"/>
                <w:szCs w:val="20"/>
              </w:rPr>
              <w:t>设施区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5.57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5.57</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eastAsia="仿宋"/>
                <w:sz w:val="20"/>
                <w:szCs w:val="20"/>
                <w:lang w:val="en-US" w:eastAsia="zh-CN"/>
              </w:rPr>
            </w:pPr>
            <w:r>
              <w:rPr>
                <w:rFonts w:hint="eastAsia"/>
                <w:sz w:val="20"/>
                <w:szCs w:val="20"/>
                <w:lang w:val="en-US" w:eastAsia="zh-CN"/>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eastAsia="仿宋"/>
                <w:sz w:val="20"/>
                <w:szCs w:val="20"/>
                <w:lang w:eastAsia="zh-CN"/>
              </w:rPr>
            </w:pPr>
            <w:r>
              <w:rPr>
                <w:rFonts w:hint="eastAsia"/>
                <w:sz w:val="20"/>
                <w:szCs w:val="20"/>
                <w:lang w:eastAsia="zh-CN"/>
              </w:rPr>
              <w:t>景观绿化区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5.63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5.63</w:t>
            </w: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第二部分</w:t>
            </w:r>
            <w:r>
              <w:rPr>
                <w:sz w:val="20"/>
                <w:szCs w:val="20"/>
              </w:rPr>
              <w:t xml:space="preserve"> </w:t>
            </w:r>
            <w:r>
              <w:rPr>
                <w:rFonts w:hint="eastAsia"/>
                <w:sz w:val="20"/>
                <w:szCs w:val="20"/>
              </w:rPr>
              <w:t>植物措施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jc w:val="center"/>
              <w:rPr>
                <w:rFonts w:hint="default" w:eastAsia="仿宋"/>
                <w:sz w:val="20"/>
                <w:szCs w:val="20"/>
                <w:lang w:val="en-US" w:eastAsia="zh-CN"/>
              </w:rPr>
            </w:pPr>
            <w:r>
              <w:rPr>
                <w:rFonts w:hint="eastAsia"/>
                <w:sz w:val="20"/>
                <w:szCs w:val="20"/>
                <w:lang w:val="en-US" w:eastAsia="zh-CN"/>
              </w:rPr>
              <w:t>10.47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jc w:val="center"/>
              <w:rPr>
                <w:sz w:val="20"/>
                <w:szCs w:val="20"/>
              </w:rPr>
            </w:pPr>
            <w:r>
              <w:rPr>
                <w:rFonts w:hint="eastAsia"/>
                <w:sz w:val="20"/>
                <w:szCs w:val="20"/>
                <w:lang w:val="en-US" w:eastAsia="zh-CN"/>
              </w:rPr>
              <w:t>10.47</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eastAsia="仿宋"/>
                <w:sz w:val="20"/>
                <w:szCs w:val="20"/>
                <w:lang w:eastAsia="zh-CN"/>
              </w:rPr>
            </w:pPr>
            <w:r>
              <w:rPr>
                <w:rFonts w:hint="eastAsia"/>
                <w:sz w:val="20"/>
                <w:szCs w:val="20"/>
                <w:lang w:eastAsia="zh-CN"/>
              </w:rPr>
              <w:t>景观绿化区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eastAsia="仿宋"/>
                <w:sz w:val="20"/>
                <w:szCs w:val="20"/>
                <w:lang w:val="en-US" w:eastAsia="zh-CN"/>
              </w:rPr>
            </w:pPr>
            <w:r>
              <w:rPr>
                <w:rFonts w:hint="eastAsia"/>
                <w:sz w:val="20"/>
                <w:szCs w:val="20"/>
                <w:lang w:val="en-US" w:eastAsia="zh-CN"/>
              </w:rPr>
              <w:t>10.47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sz w:val="20"/>
                <w:szCs w:val="20"/>
              </w:rPr>
            </w:pPr>
            <w:r>
              <w:rPr>
                <w:rFonts w:hint="eastAsia"/>
                <w:sz w:val="20"/>
                <w:szCs w:val="20"/>
                <w:lang w:val="en-US" w:eastAsia="zh-CN"/>
              </w:rPr>
              <w:t>10.47</w:t>
            </w: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w:t>
            </w:r>
            <w:r>
              <w:rPr>
                <w:rFonts w:hint="eastAsia"/>
                <w:sz w:val="20"/>
                <w:szCs w:val="20"/>
                <w:lang w:eastAsia="zh-CN"/>
              </w:rPr>
              <w:t>三</w:t>
            </w:r>
            <w:r>
              <w:rPr>
                <w:rFonts w:hint="eastAsia"/>
                <w:sz w:val="20"/>
                <w:szCs w:val="20"/>
              </w:rPr>
              <w:t>部分</w:t>
            </w:r>
            <w:r>
              <w:rPr>
                <w:sz w:val="20"/>
                <w:szCs w:val="20"/>
              </w:rPr>
              <w:t xml:space="preserve"> </w:t>
            </w:r>
            <w:r>
              <w:rPr>
                <w:rFonts w:hint="eastAsia"/>
                <w:sz w:val="20"/>
                <w:szCs w:val="20"/>
              </w:rPr>
              <w:t>监测措施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eastAsia="zh-CN"/>
              </w:rPr>
              <w:t>第四部分</w:t>
            </w:r>
            <w:r>
              <w:rPr>
                <w:rFonts w:hint="eastAsia"/>
                <w:sz w:val="20"/>
                <w:szCs w:val="20"/>
                <w:lang w:val="en-US" w:eastAsia="zh-CN"/>
              </w:rPr>
              <w:t xml:space="preserve"> 施工临时措施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3.56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3.56</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5.32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8.88</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sz w:val="20"/>
                <w:szCs w:val="20"/>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rFonts w:hint="eastAsia"/>
                <w:sz w:val="20"/>
                <w:szCs w:val="20"/>
              </w:rPr>
              <w:t>建构筑物区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0.95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sz w:val="20"/>
                <w:szCs w:val="20"/>
                <w:lang w:val="en-US" w:eastAsia="zh-CN"/>
              </w:rPr>
            </w:pPr>
            <w:r>
              <w:rPr>
                <w:rFonts w:hint="eastAsia"/>
                <w:sz w:val="20"/>
                <w:szCs w:val="20"/>
                <w:lang w:val="en-US" w:eastAsia="zh-CN"/>
              </w:rPr>
              <w:t>0.95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3.27</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sz w:val="20"/>
                <w:szCs w:val="20"/>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rFonts w:hint="eastAsia"/>
                <w:sz w:val="20"/>
                <w:szCs w:val="20"/>
                <w:lang w:eastAsia="zh-CN"/>
              </w:rPr>
              <w:t>附属</w:t>
            </w:r>
            <w:r>
              <w:rPr>
                <w:sz w:val="20"/>
                <w:szCs w:val="20"/>
              </w:rPr>
              <w:t>设施区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1.98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sz w:val="20"/>
                <w:szCs w:val="20"/>
                <w:lang w:val="en-US" w:eastAsia="zh-CN"/>
              </w:rPr>
            </w:pPr>
            <w:r>
              <w:rPr>
                <w:rFonts w:hint="eastAsia"/>
                <w:sz w:val="20"/>
                <w:szCs w:val="20"/>
                <w:lang w:val="en-US" w:eastAsia="zh-CN"/>
              </w:rPr>
              <w:t>1.98</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eastAsia="仿宋"/>
                <w:sz w:val="20"/>
                <w:szCs w:val="20"/>
                <w:lang w:val="en-US" w:eastAsia="zh-CN"/>
              </w:rPr>
            </w:pPr>
            <w:r>
              <w:rPr>
                <w:rFonts w:hint="eastAsia"/>
                <w:sz w:val="20"/>
                <w:szCs w:val="20"/>
                <w:lang w:val="en-US" w:eastAsia="zh-CN"/>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4.98</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rFonts w:hint="eastAsia"/>
                <w:sz w:val="20"/>
                <w:szCs w:val="20"/>
                <w:lang w:val="en-US" w:eastAsia="zh-CN"/>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eastAsia" w:ascii="Times New Roman" w:hAnsi="Times New Roman" w:eastAsia="仿宋" w:cs="Times New Roman"/>
                <w:kern w:val="2"/>
                <w:sz w:val="20"/>
                <w:szCs w:val="20"/>
                <w:lang w:val="en-US" w:eastAsia="zh-CN" w:bidi="ar-SA"/>
              </w:rPr>
            </w:pPr>
            <w:r>
              <w:rPr>
                <w:rFonts w:hint="eastAsia"/>
                <w:sz w:val="20"/>
                <w:szCs w:val="20"/>
                <w:lang w:eastAsia="zh-CN"/>
              </w:rPr>
              <w:t>景观绿化区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0.63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0.63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0.63</w:t>
            </w:r>
          </w:p>
        </w:tc>
      </w:tr>
      <w:tr>
        <w:tblPrEx>
          <w:tblCellMar>
            <w:top w:w="0" w:type="dxa"/>
            <w:left w:w="0" w:type="dxa"/>
            <w:bottom w:w="0" w:type="dxa"/>
            <w:right w:w="0" w:type="dxa"/>
          </w:tblCellMar>
        </w:tblPrEx>
        <w:trPr>
          <w:trHeight w:val="273"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第五部分</w:t>
            </w:r>
            <w:r>
              <w:rPr>
                <w:sz w:val="20"/>
                <w:szCs w:val="20"/>
              </w:rPr>
              <w:t xml:space="preserve"> </w:t>
            </w:r>
            <w:r>
              <w:rPr>
                <w:rFonts w:hint="eastAsia"/>
                <w:sz w:val="20"/>
                <w:szCs w:val="20"/>
              </w:rPr>
              <w:t>独立费用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12.07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12.07</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11.05</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overflowPunct w:val="0"/>
              <w:adjustRightInd/>
              <w:snapToGrid/>
              <w:spacing w:before="8" w:line="276" w:lineRule="auto"/>
              <w:ind w:right="5" w:rightChars="0"/>
              <w:jc w:val="left"/>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en-US" w:bidi="ar-SA"/>
              </w:rPr>
              <w:t>建设管理费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0.07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0.07</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0.07</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overflowPunct w:val="0"/>
              <w:adjustRightInd/>
              <w:snapToGrid/>
              <w:spacing w:before="8" w:line="276" w:lineRule="auto"/>
              <w:ind w:right="5" w:rightChars="0" w:firstLine="0" w:firstLineChars="0"/>
              <w:jc w:val="left"/>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en-US" w:bidi="ar-SA"/>
              </w:rPr>
              <w:t>科研勘测设计费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lang w:val="en-US" w:eastAsia="zh-CN"/>
              </w:rPr>
              <w:t>3.00</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overflowPunct w:val="0"/>
              <w:adjustRightInd/>
              <w:snapToGrid/>
              <w:spacing w:before="8" w:line="276" w:lineRule="auto"/>
              <w:ind w:right="5" w:rightChars="0" w:firstLine="0" w:firstLineChars="0"/>
              <w:jc w:val="left"/>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en-US" w:bidi="ar-SA"/>
              </w:rPr>
              <w:t>工程建设监理费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4</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overflowPunct w:val="0"/>
              <w:adjustRightInd/>
              <w:snapToGrid/>
              <w:spacing w:before="8" w:line="276" w:lineRule="auto"/>
              <w:ind w:right="5" w:rightChars="0" w:firstLine="0" w:firstLineChars="0"/>
              <w:jc w:val="left"/>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zh-CN" w:bidi="ar-SA"/>
              </w:rPr>
              <w:t>水土保持报告编制费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lang w:val="en-US" w:eastAsia="zh-CN"/>
              </w:rPr>
              <w:t>3.50</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5</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zh-CN" w:bidi="ar-SA"/>
              </w:rPr>
              <w:t>水土保持监测费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3.50</w:t>
            </w:r>
          </w:p>
        </w:tc>
      </w:tr>
      <w:tr>
        <w:tblPrEx>
          <w:tblCellMar>
            <w:top w:w="0" w:type="dxa"/>
            <w:left w:w="0" w:type="dxa"/>
            <w:bottom w:w="0" w:type="dxa"/>
            <w:right w:w="0" w:type="dxa"/>
          </w:tblCellMar>
        </w:tblPrEx>
        <w:trPr>
          <w:trHeight w:val="3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6</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ascii="Times New Roman" w:hAnsi="Times New Roman" w:eastAsia="仿宋" w:cs="Times New Roman"/>
                <w:kern w:val="2"/>
                <w:sz w:val="20"/>
                <w:szCs w:val="20"/>
                <w:lang w:val="en-US" w:eastAsia="zh-CN" w:bidi="ar-SA"/>
              </w:rPr>
            </w:pPr>
            <w:r>
              <w:rPr>
                <w:rFonts w:hint="eastAsia" w:ascii="Times New Roman" w:hAnsi="Times New Roman" w:eastAsia="仿宋" w:cs="Times New Roman"/>
                <w:kern w:val="2"/>
                <w:sz w:val="20"/>
                <w:szCs w:val="20"/>
                <w:lang w:val="en-US" w:eastAsia="zh-CN" w:bidi="ar-SA"/>
              </w:rPr>
              <w:t>水土保持设施验收费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2.00</w:t>
            </w:r>
          </w:p>
        </w:tc>
      </w:tr>
      <w:tr>
        <w:tblPrEx>
          <w:tblCellMar>
            <w:top w:w="0" w:type="dxa"/>
            <w:left w:w="0" w:type="dxa"/>
            <w:bottom w:w="0" w:type="dxa"/>
            <w:right w:w="0" w:type="dxa"/>
          </w:tblCellMar>
        </w:tblPrEx>
        <w:trPr>
          <w:trHeight w:val="379"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第一至五部分合计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12.07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15.63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eastAsia="zh-CN"/>
              </w:rPr>
            </w:pPr>
            <w:r>
              <w:rPr>
                <w:rFonts w:hint="eastAsia"/>
                <w:sz w:val="20"/>
                <w:szCs w:val="20"/>
                <w:lang w:val="en-US" w:eastAsia="zh-CN"/>
              </w:rPr>
              <w:t>42.63</w:t>
            </w: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第六部分</w:t>
            </w:r>
            <w:r>
              <w:rPr>
                <w:sz w:val="20"/>
                <w:szCs w:val="20"/>
              </w:rPr>
              <w:t xml:space="preserve"> </w:t>
            </w:r>
            <w:r>
              <w:rPr>
                <w:rFonts w:hint="eastAsia"/>
                <w:sz w:val="20"/>
                <w:szCs w:val="20"/>
              </w:rPr>
              <w:t>基本预备费</w:t>
            </w:r>
          </w:p>
        </w:tc>
        <w:tc>
          <w:tcPr>
            <w:tcW w:w="564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highlight w:val="none"/>
                <w:lang w:val="en-US" w:eastAsia="zh-CN"/>
              </w:rPr>
              <w:t>0.18</w:t>
            </w: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第七部分水土保持补偿费</w:t>
            </w:r>
          </w:p>
        </w:tc>
        <w:tc>
          <w:tcPr>
            <w:tcW w:w="564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sz w:val="20"/>
                <w:szCs w:val="20"/>
              </w:rPr>
              <w:t>1.3</w:t>
            </w:r>
            <w:r>
              <w:rPr>
                <w:rFonts w:hint="eastAsia"/>
                <w:sz w:val="20"/>
                <w:szCs w:val="20"/>
              </w:rPr>
              <w:t>元</w:t>
            </w:r>
            <w:r>
              <w:rPr>
                <w:sz w:val="20"/>
                <w:szCs w:val="20"/>
              </w:rPr>
              <w:t>/</w:t>
            </w:r>
            <w:r>
              <w:rPr>
                <w:rFonts w:hint="eastAsia"/>
                <w:sz w:val="20"/>
                <w:szCs w:val="20"/>
                <w:lang w:eastAsia="zh-CN"/>
              </w:rPr>
              <w:t>m²</w:t>
            </w:r>
            <w:r>
              <w:rPr>
                <w:rFonts w:hint="eastAsia"/>
                <w:sz w:val="20"/>
                <w:szCs w:val="20"/>
              </w:rPr>
              <w:t>（征占地）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1.32</w:t>
            </w:r>
          </w:p>
        </w:tc>
      </w:tr>
      <w:tr>
        <w:tblPrEx>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r>
              <w:rPr>
                <w:rFonts w:hint="eastAsia"/>
                <w:sz w:val="20"/>
                <w:szCs w:val="20"/>
              </w:rPr>
              <w:t>水保措施总投资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3.56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sz w:val="20"/>
                <w:szCs w:val="20"/>
                <w:lang w:val="en-US"/>
              </w:rPr>
            </w:pPr>
            <w:r>
              <w:rPr>
                <w:rFonts w:hint="eastAsia"/>
                <w:sz w:val="20"/>
                <w:szCs w:val="20"/>
                <w:lang w:val="en-US" w:eastAsia="zh-CN"/>
              </w:rPr>
              <w:t>12.07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15.63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rPr>
                <w:rFonts w:hint="default" w:eastAsia="仿宋"/>
                <w:sz w:val="20"/>
                <w:szCs w:val="20"/>
                <w:lang w:val="en-US" w:eastAsia="zh-CN"/>
              </w:rPr>
            </w:pPr>
            <w:r>
              <w:rPr>
                <w:rFonts w:hint="eastAsia"/>
                <w:sz w:val="20"/>
                <w:szCs w:val="20"/>
                <w:lang w:val="en-US" w:eastAsia="zh-CN"/>
              </w:rPr>
              <w:t>44.13</w:t>
            </w:r>
          </w:p>
        </w:tc>
      </w:tr>
    </w:tbl>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olor w:val="auto"/>
          <w:szCs w:val="24"/>
        </w:rPr>
      </w:pPr>
    </w:p>
    <w:p>
      <w:pPr>
        <w:pStyle w:val="2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color w:val="auto"/>
        </w:rPr>
      </w:pPr>
      <w:r>
        <w:rPr>
          <w:rFonts w:hint="eastAsia"/>
          <w:color w:val="auto"/>
          <w:szCs w:val="24"/>
        </w:rPr>
        <w:t>表7-4  主体已有措施投资表</w:t>
      </w:r>
    </w:p>
    <w:tbl>
      <w:tblPr>
        <w:tblStyle w:val="19"/>
        <w:tblW w:w="5090" w:type="pct"/>
        <w:jc w:val="center"/>
        <w:shd w:val="clear" w:color="auto" w:fill="auto"/>
        <w:tblLayout w:type="fixed"/>
        <w:tblCellMar>
          <w:top w:w="0" w:type="dxa"/>
          <w:left w:w="108" w:type="dxa"/>
          <w:bottom w:w="0" w:type="dxa"/>
          <w:right w:w="108" w:type="dxa"/>
        </w:tblCellMar>
      </w:tblPr>
      <w:tblGrid>
        <w:gridCol w:w="1363"/>
        <w:gridCol w:w="1255"/>
        <w:gridCol w:w="2006"/>
        <w:gridCol w:w="855"/>
        <w:gridCol w:w="765"/>
        <w:gridCol w:w="1036"/>
        <w:gridCol w:w="1397"/>
      </w:tblGrid>
      <w:tr>
        <w:tblPrEx>
          <w:shd w:val="clear" w:color="auto" w:fill="auto"/>
          <w:tblCellMar>
            <w:top w:w="0" w:type="dxa"/>
            <w:left w:w="108" w:type="dxa"/>
            <w:bottom w:w="0" w:type="dxa"/>
            <w:right w:w="108" w:type="dxa"/>
          </w:tblCellMar>
        </w:tblPrEx>
        <w:trPr>
          <w:trHeight w:val="825" w:hRule="atLeast"/>
          <w:jc w:val="center"/>
        </w:trPr>
        <w:tc>
          <w:tcPr>
            <w:tcW w:w="13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项目分区</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措施类型</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措施名称</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sz w:val="20"/>
                <w:szCs w:val="20"/>
                <w:u w:val="none"/>
              </w:rPr>
            </w:pPr>
            <w:r>
              <w:rPr>
                <w:rFonts w:hint="eastAsia" w:ascii="Times New Roman" w:hAnsi="Times New Roman" w:cs="Times New Roman"/>
                <w:color w:val="000000"/>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数量</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单价(元）</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spacing w:line="360" w:lineRule="auto"/>
              <w:ind w:firstLine="0" w:firstLineChars="0"/>
              <w:rPr>
                <w:rFonts w:hint="eastAsia" w:ascii="仿宋" w:hAnsi="仿宋" w:eastAsia="仿宋" w:cs="仿宋"/>
                <w:i w:val="0"/>
                <w:iCs w:val="0"/>
                <w:color w:val="000000"/>
                <w:kern w:val="0"/>
                <w:sz w:val="20"/>
                <w:szCs w:val="20"/>
                <w:u w:val="none"/>
                <w:lang w:val="en-US" w:eastAsia="zh-CN" w:bidi="ar"/>
              </w:rPr>
            </w:pPr>
            <w:r>
              <w:rPr>
                <w:rFonts w:hint="eastAsia" w:ascii="Times New Roman" w:hAnsi="Times New Roman" w:cs="Times New Roman"/>
                <w:color w:val="000000"/>
              </w:rPr>
              <w:t>价格（万元）</w:t>
            </w:r>
          </w:p>
        </w:tc>
      </w:tr>
      <w:tr>
        <w:tblPrEx>
          <w:tblCellMar>
            <w:top w:w="0" w:type="dxa"/>
            <w:left w:w="108" w:type="dxa"/>
            <w:bottom w:w="0" w:type="dxa"/>
            <w:right w:w="108" w:type="dxa"/>
          </w:tblCellMar>
        </w:tblPrEx>
        <w:trPr>
          <w:trHeight w:val="786" w:hRule="atLeast"/>
          <w:jc w:val="center"/>
        </w:trPr>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建筑构物区</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临时措施</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临时排水沟</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170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135.76</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2.31 </w:t>
            </w:r>
          </w:p>
        </w:tc>
      </w:tr>
      <w:tr>
        <w:tblPrEx>
          <w:tblCellMar>
            <w:top w:w="0" w:type="dxa"/>
            <w:left w:w="108" w:type="dxa"/>
            <w:bottom w:w="0" w:type="dxa"/>
            <w:right w:w="108" w:type="dxa"/>
          </w:tblCellMar>
        </w:tblPrEx>
        <w:trPr>
          <w:trHeight w:val="786"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临时沉砂池</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口</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135.74</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0.01 </w:t>
            </w:r>
          </w:p>
        </w:tc>
      </w:tr>
      <w:tr>
        <w:tblPrEx>
          <w:tblCellMar>
            <w:top w:w="0" w:type="dxa"/>
            <w:left w:w="108" w:type="dxa"/>
            <w:bottom w:w="0" w:type="dxa"/>
            <w:right w:w="108" w:type="dxa"/>
          </w:tblCellMar>
        </w:tblPrEx>
        <w:trPr>
          <w:trHeight w:val="398" w:hRule="atLeast"/>
          <w:jc w:val="center"/>
        </w:trPr>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附属设施区</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工程措施</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聚乙烯PE缠绕结构壁管</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450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15</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cs="仿宋"/>
                <w:i w:val="0"/>
                <w:iCs w:val="0"/>
                <w:color w:val="000000"/>
                <w:kern w:val="0"/>
                <w:sz w:val="20"/>
                <w:szCs w:val="20"/>
                <w:u w:val="none"/>
                <w:lang w:val="en-US" w:eastAsia="zh-CN" w:bidi="ar"/>
              </w:rPr>
              <w:t>0.</w:t>
            </w:r>
            <w:r>
              <w:rPr>
                <w:rFonts w:hint="eastAsia" w:ascii="仿宋" w:hAnsi="仿宋" w:eastAsia="仿宋" w:cs="仿宋"/>
                <w:i w:val="0"/>
                <w:iCs w:val="0"/>
                <w:color w:val="000000"/>
                <w:kern w:val="0"/>
                <w:sz w:val="20"/>
                <w:szCs w:val="20"/>
                <w:u w:val="none"/>
                <w:lang w:val="en-US" w:eastAsia="zh-CN" w:bidi="ar"/>
              </w:rPr>
              <w:t>1</w:t>
            </w:r>
            <w:r>
              <w:rPr>
                <w:rFonts w:hint="eastAsia" w:ascii="仿宋" w:hAnsi="仿宋" w:cs="仿宋"/>
                <w:i w:val="0"/>
                <w:iCs w:val="0"/>
                <w:color w:val="000000"/>
                <w:kern w:val="0"/>
                <w:sz w:val="20"/>
                <w:szCs w:val="20"/>
                <w:u w:val="none"/>
                <w:lang w:val="en-US" w:eastAsia="zh-CN" w:bidi="ar"/>
              </w:rPr>
              <w:t>9</w:t>
            </w:r>
            <w:r>
              <w:rPr>
                <w:rFonts w:hint="eastAsia" w:ascii="仿宋" w:hAnsi="仿宋" w:eastAsia="仿宋" w:cs="仿宋"/>
                <w:i w:val="0"/>
                <w:iCs w:val="0"/>
                <w:color w:val="000000"/>
                <w:kern w:val="0"/>
                <w:sz w:val="20"/>
                <w:szCs w:val="20"/>
                <w:u w:val="none"/>
                <w:lang w:val="en-US" w:eastAsia="zh-CN" w:bidi="ar"/>
              </w:rPr>
              <w:t xml:space="preserve"> </w:t>
            </w:r>
          </w:p>
        </w:tc>
      </w:tr>
      <w:tr>
        <w:tblPrEx>
          <w:tblCellMar>
            <w:top w:w="0" w:type="dxa"/>
            <w:left w:w="108" w:type="dxa"/>
            <w:bottom w:w="0" w:type="dxa"/>
            <w:right w:w="108" w:type="dxa"/>
          </w:tblCellMar>
        </w:tblPrEx>
        <w:trPr>
          <w:trHeight w:val="398"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410</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6</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68</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cs="仿宋"/>
                <w:i w:val="0"/>
                <w:iCs w:val="0"/>
                <w:color w:val="000000"/>
                <w:kern w:val="0"/>
                <w:sz w:val="20"/>
                <w:szCs w:val="20"/>
                <w:u w:val="none"/>
                <w:lang w:val="en-US" w:eastAsia="zh-CN" w:bidi="ar"/>
              </w:rPr>
              <w:t>0.27</w:t>
            </w:r>
            <w:r>
              <w:rPr>
                <w:rFonts w:hint="eastAsia" w:ascii="仿宋" w:hAnsi="仿宋" w:eastAsia="仿宋" w:cs="仿宋"/>
                <w:i w:val="0"/>
                <w:iCs w:val="0"/>
                <w:color w:val="000000"/>
                <w:kern w:val="0"/>
                <w:sz w:val="20"/>
                <w:szCs w:val="20"/>
                <w:u w:val="none"/>
                <w:lang w:val="en-US" w:eastAsia="zh-CN" w:bidi="ar"/>
              </w:rPr>
              <w:t xml:space="preserve"> </w:t>
            </w:r>
          </w:p>
        </w:tc>
      </w:tr>
      <w:tr>
        <w:tblPrEx>
          <w:tblCellMar>
            <w:top w:w="0" w:type="dxa"/>
            <w:left w:w="108" w:type="dxa"/>
            <w:bottom w:w="0" w:type="dxa"/>
            <w:right w:w="108" w:type="dxa"/>
          </w:tblCellMar>
        </w:tblPrEx>
        <w:trPr>
          <w:trHeight w:val="398"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7</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7</w:t>
            </w:r>
            <w:r>
              <w:rPr>
                <w:rFonts w:hint="eastAsia" w:ascii="仿宋" w:hAnsi="仿宋"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9</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0.</w:t>
            </w:r>
            <w:r>
              <w:rPr>
                <w:rFonts w:hint="eastAsia" w:ascii="仿宋" w:hAnsi="仿宋" w:cs="仿宋"/>
                <w:i w:val="0"/>
                <w:iCs w:val="0"/>
                <w:color w:val="000000"/>
                <w:kern w:val="0"/>
                <w:sz w:val="20"/>
                <w:szCs w:val="20"/>
                <w:u w:val="none"/>
                <w:lang w:val="en-US" w:eastAsia="zh-CN" w:bidi="ar"/>
              </w:rPr>
              <w:t>01</w:t>
            </w:r>
            <w:r>
              <w:rPr>
                <w:rFonts w:hint="eastAsia" w:ascii="仿宋" w:hAnsi="仿宋" w:eastAsia="仿宋" w:cs="仿宋"/>
                <w:i w:val="0"/>
                <w:iCs w:val="0"/>
                <w:color w:val="000000"/>
                <w:kern w:val="0"/>
                <w:sz w:val="20"/>
                <w:szCs w:val="20"/>
                <w:u w:val="none"/>
                <w:lang w:val="en-US" w:eastAsia="zh-CN" w:bidi="ar"/>
              </w:rPr>
              <w:t xml:space="preserve"> </w:t>
            </w:r>
          </w:p>
        </w:tc>
      </w:tr>
      <w:tr>
        <w:tblPrEx>
          <w:tblCellMar>
            <w:top w:w="0" w:type="dxa"/>
            <w:left w:w="108" w:type="dxa"/>
            <w:bottom w:w="0" w:type="dxa"/>
            <w:right w:w="108" w:type="dxa"/>
          </w:tblCellMar>
        </w:tblPrEx>
        <w:trPr>
          <w:trHeight w:val="398"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雨水检查井</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座</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28</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861</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2.41 </w:t>
            </w:r>
          </w:p>
        </w:tc>
      </w:tr>
      <w:tr>
        <w:tblPrEx>
          <w:tblCellMar>
            <w:top w:w="0" w:type="dxa"/>
            <w:left w:w="108" w:type="dxa"/>
            <w:bottom w:w="0" w:type="dxa"/>
            <w:right w:w="108" w:type="dxa"/>
          </w:tblCellMar>
        </w:tblPrEx>
        <w:trPr>
          <w:trHeight w:val="398"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单箅平箅式雨水口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座</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56</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603</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3.38 </w:t>
            </w:r>
          </w:p>
        </w:tc>
      </w:tr>
      <w:tr>
        <w:tblPrEx>
          <w:tblCellMar>
            <w:top w:w="0" w:type="dxa"/>
            <w:left w:w="108" w:type="dxa"/>
            <w:bottom w:w="0" w:type="dxa"/>
            <w:right w:w="108" w:type="dxa"/>
          </w:tblCellMar>
        </w:tblPrEx>
        <w:trPr>
          <w:trHeight w:val="786"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临时措施</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洗车槽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座</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30000</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3.00 </w:t>
            </w:r>
          </w:p>
        </w:tc>
      </w:tr>
      <w:tr>
        <w:tblPrEx>
          <w:tblCellMar>
            <w:top w:w="0" w:type="dxa"/>
            <w:left w:w="108" w:type="dxa"/>
            <w:bottom w:w="0" w:type="dxa"/>
            <w:right w:w="108" w:type="dxa"/>
          </w:tblCellMar>
        </w:tblPrEx>
        <w:trPr>
          <w:trHeight w:val="786" w:hRule="atLeast"/>
          <w:jc w:val="center"/>
        </w:trPr>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景观绿化区</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工程措施</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种植土回覆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r>
              <w:rPr>
                <w:rFonts w:ascii="仿宋_GB2312" w:hAnsi="仿宋" w:eastAsia="仿宋_GB2312" w:cs="仿宋_GB2312"/>
                <w:i w:val="0"/>
                <w:iCs w:val="0"/>
                <w:color w:val="000000"/>
                <w:kern w:val="0"/>
                <w:sz w:val="24"/>
                <w:szCs w:val="24"/>
                <w:u w:val="none"/>
                <w:lang w:val="en-US" w:eastAsia="zh-CN" w:bidi="ar"/>
              </w:rPr>
              <w:t>³</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1393</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40.38</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5.62 </w:t>
            </w:r>
          </w:p>
        </w:tc>
      </w:tr>
      <w:tr>
        <w:tblPrEx>
          <w:tblCellMar>
            <w:top w:w="0" w:type="dxa"/>
            <w:left w:w="108" w:type="dxa"/>
            <w:bottom w:w="0" w:type="dxa"/>
            <w:right w:w="108" w:type="dxa"/>
          </w:tblCellMar>
        </w:tblPrEx>
        <w:trPr>
          <w:trHeight w:val="786"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植物措施</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香樟</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棵</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21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1495.26</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3.14 </w:t>
            </w:r>
          </w:p>
        </w:tc>
      </w:tr>
      <w:tr>
        <w:tblPrEx>
          <w:tblCellMar>
            <w:top w:w="0" w:type="dxa"/>
            <w:left w:w="108" w:type="dxa"/>
            <w:bottom w:w="0" w:type="dxa"/>
            <w:right w:w="108" w:type="dxa"/>
          </w:tblCellMar>
        </w:tblPrEx>
        <w:trPr>
          <w:trHeight w:val="786"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台湾</w:t>
            </w:r>
            <w:r>
              <w:rPr>
                <w:rStyle w:val="47"/>
                <w:rFonts w:eastAsia="仿宋"/>
                <w:lang w:val="en-US" w:eastAsia="zh-CN" w:bidi="ar"/>
              </w:rPr>
              <w:t>2</w:t>
            </w:r>
            <w:r>
              <w:rPr>
                <w:rFonts w:ascii="仿宋_GB2312" w:hAnsi="仿宋" w:eastAsia="仿宋_GB2312" w:cs="仿宋_GB2312"/>
                <w:i w:val="0"/>
                <w:iCs w:val="0"/>
                <w:color w:val="000000"/>
                <w:kern w:val="0"/>
                <w:sz w:val="24"/>
                <w:szCs w:val="24"/>
                <w:u w:val="none"/>
                <w:lang w:val="en-US" w:eastAsia="zh-CN" w:bidi="ar"/>
              </w:rPr>
              <w:t>号草坪</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r>
              <w:rPr>
                <w:rFonts w:ascii="仿宋_GB2312" w:hAnsi="仿宋" w:eastAsia="仿宋_GB2312" w:cs="仿宋_GB2312"/>
                <w:i w:val="0"/>
                <w:iCs w:val="0"/>
                <w:color w:val="000000"/>
                <w:kern w:val="0"/>
                <w:sz w:val="24"/>
                <w:szCs w:val="24"/>
                <w:u w:val="none"/>
                <w:lang w:val="en-US" w:eastAsia="zh-CN" w:bidi="ar"/>
              </w:rPr>
              <w:t>²</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1241</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41.26</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5.12 </w:t>
            </w:r>
          </w:p>
        </w:tc>
      </w:tr>
      <w:tr>
        <w:tblPrEx>
          <w:tblCellMar>
            <w:top w:w="0" w:type="dxa"/>
            <w:left w:w="108" w:type="dxa"/>
            <w:bottom w:w="0" w:type="dxa"/>
            <w:right w:w="108" w:type="dxa"/>
          </w:tblCellMar>
        </w:tblPrEx>
        <w:trPr>
          <w:trHeight w:val="786" w:hRule="atLeast"/>
          <w:jc w:val="center"/>
        </w:trPr>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麦冬</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m</w:t>
            </w:r>
            <w:r>
              <w:rPr>
                <w:rFonts w:ascii="仿宋_GB2312" w:hAnsi="仿宋" w:eastAsia="仿宋_GB2312" w:cs="仿宋_GB2312"/>
                <w:i w:val="0"/>
                <w:iCs w:val="0"/>
                <w:color w:val="000000"/>
                <w:kern w:val="0"/>
                <w:sz w:val="24"/>
                <w:szCs w:val="24"/>
                <w:u w:val="none"/>
                <w:lang w:val="en-US" w:eastAsia="zh-CN" w:bidi="ar"/>
              </w:rPr>
              <w:t>²</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564</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39.24</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2.21 </w:t>
            </w:r>
          </w:p>
        </w:tc>
      </w:tr>
      <w:tr>
        <w:tblPrEx>
          <w:tblCellMar>
            <w:top w:w="0" w:type="dxa"/>
            <w:left w:w="108" w:type="dxa"/>
            <w:bottom w:w="0" w:type="dxa"/>
            <w:right w:w="108" w:type="dxa"/>
          </w:tblCellMar>
        </w:tblPrEx>
        <w:trPr>
          <w:trHeight w:val="432" w:hRule="atLeast"/>
          <w:jc w:val="center"/>
        </w:trPr>
        <w:tc>
          <w:tcPr>
            <w:tcW w:w="728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0" w:firstLineChars="0"/>
              <w:jc w:val="center"/>
              <w:rPr>
                <w:rFonts w:hint="eastAsia" w:ascii="仿宋" w:hAnsi="仿宋" w:eastAsia="仿宋" w:cs="仿宋"/>
                <w:i w:val="0"/>
                <w:iCs w:val="0"/>
                <w:color w:val="000000"/>
                <w:kern w:val="0"/>
                <w:sz w:val="20"/>
                <w:szCs w:val="20"/>
                <w:u w:val="none"/>
                <w:lang w:val="en-US" w:eastAsia="zh-CN" w:bidi="ar"/>
              </w:rPr>
            </w:pPr>
            <w:r>
              <w:rPr>
                <w:rFonts w:hint="eastAsia" w:cs="Times New Roman"/>
                <w:color w:val="000000"/>
              </w:rPr>
              <w:t>合计</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ind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cs="仿宋"/>
                <w:i w:val="0"/>
                <w:iCs w:val="0"/>
                <w:color w:val="000000"/>
                <w:kern w:val="0"/>
                <w:sz w:val="20"/>
                <w:szCs w:val="20"/>
                <w:u w:val="none"/>
                <w:lang w:val="en-US" w:eastAsia="zh-CN" w:bidi="ar"/>
              </w:rPr>
              <w:t>27</w:t>
            </w:r>
          </w:p>
        </w:tc>
      </w:tr>
    </w:tbl>
    <w:p>
      <w:pPr>
        <w:pStyle w:val="28"/>
        <w:keepNext/>
        <w:widowControl/>
        <w:spacing w:after="0" w:line="240" w:lineRule="auto"/>
        <w:ind w:firstLine="0" w:firstLineChars="0"/>
        <w:jc w:val="center"/>
        <w:outlineLvl w:val="9"/>
        <w:rPr>
          <w:rFonts w:hint="eastAsia"/>
          <w:color w:val="auto"/>
          <w:lang w:val="en-US" w:eastAsia="zh-CN"/>
        </w:rPr>
      </w:pPr>
    </w:p>
    <w:p>
      <w:pPr>
        <w:pStyle w:val="28"/>
        <w:keepNext/>
        <w:widowControl/>
        <w:spacing w:after="0" w:line="240" w:lineRule="auto"/>
        <w:ind w:firstLine="0" w:firstLineChars="0"/>
        <w:jc w:val="center"/>
        <w:outlineLvl w:val="9"/>
        <w:rPr>
          <w:rFonts w:hint="eastAsia"/>
          <w:color w:val="auto"/>
          <w:lang w:val="en-US" w:eastAsia="zh-CN"/>
        </w:rPr>
      </w:pPr>
      <w:r>
        <w:rPr>
          <w:rFonts w:hint="eastAsia"/>
          <w:color w:val="auto"/>
          <w:lang w:val="en-US" w:eastAsia="zh-CN"/>
        </w:rPr>
        <w:t>表7-5 方案新增措施投资表</w:t>
      </w:r>
    </w:p>
    <w:tbl>
      <w:tblPr>
        <w:tblStyle w:val="19"/>
        <w:tblW w:w="53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94"/>
        <w:gridCol w:w="1234"/>
        <w:gridCol w:w="1916"/>
        <w:gridCol w:w="1071"/>
        <w:gridCol w:w="870"/>
        <w:gridCol w:w="1117"/>
        <w:gridCol w:w="1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1"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项目分区</w:t>
            </w:r>
          </w:p>
        </w:tc>
        <w:tc>
          <w:tcPr>
            <w:tcW w:w="691"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措施类型</w:t>
            </w:r>
          </w:p>
        </w:tc>
        <w:tc>
          <w:tcPr>
            <w:tcW w:w="1073"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措施名称</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单位</w:t>
            </w:r>
          </w:p>
        </w:tc>
        <w:tc>
          <w:tcPr>
            <w:tcW w:w="487"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数量</w:t>
            </w:r>
          </w:p>
        </w:tc>
        <w:tc>
          <w:tcPr>
            <w:tcW w:w="625"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单价(元）</w:t>
            </w:r>
          </w:p>
        </w:tc>
        <w:tc>
          <w:tcPr>
            <w:tcW w:w="741"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rPr>
              <w:t>价格（万元）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781" w:type="pct"/>
            <w:tcBorders>
              <w:top w:val="single" w:color="auto" w:sz="4" w:space="0"/>
              <w:left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lang w:eastAsia="zh-CN"/>
              </w:rPr>
            </w:pPr>
            <w:r>
              <w:rPr>
                <w:rFonts w:hint="eastAsia" w:ascii="Times New Roman" w:hAnsi="Times New Roman" w:cs="Times New Roman"/>
                <w:color w:val="000000"/>
                <w:lang w:eastAsia="zh-CN"/>
              </w:rPr>
              <w:t>建筑构物区</w:t>
            </w:r>
          </w:p>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lang w:eastAsia="zh-CN"/>
              </w:rPr>
              <w:t>建筑构物</w:t>
            </w:r>
            <w:r>
              <w:rPr>
                <w:rFonts w:hint="eastAsia" w:ascii="Times New Roman" w:hAnsi="Times New Roman" w:cs="Times New Roman"/>
                <w:color w:val="000000"/>
              </w:rPr>
              <w:t>区</w:t>
            </w:r>
          </w:p>
          <w:p>
            <w:pPr>
              <w:pStyle w:val="31"/>
              <w:spacing w:line="360" w:lineRule="auto"/>
              <w:rPr>
                <w:rFonts w:hint="eastAsia" w:ascii="Times New Roman" w:hAnsi="Times New Roman" w:cs="Times New Roman"/>
                <w:color w:val="000000"/>
              </w:rPr>
            </w:pPr>
          </w:p>
        </w:tc>
        <w:tc>
          <w:tcPr>
            <w:tcW w:w="691" w:type="pct"/>
            <w:tcBorders>
              <w:top w:val="single" w:color="auto" w:sz="4" w:space="0"/>
              <w:left w:val="single" w:color="auto" w:sz="4" w:space="0"/>
              <w:right w:val="single" w:color="auto" w:sz="4" w:space="0"/>
            </w:tcBorders>
            <w:noWrap w:val="0"/>
            <w:vAlign w:val="center"/>
          </w:tcPr>
          <w:p>
            <w:pPr>
              <w:pStyle w:val="31"/>
              <w:spacing w:line="360" w:lineRule="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临时措施</w:t>
            </w:r>
          </w:p>
        </w:tc>
        <w:tc>
          <w:tcPr>
            <w:tcW w:w="1073"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临时遮盖</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default" w:ascii="Times New Roman" w:hAnsi="Times New Roman" w:cs="Times New Roman"/>
                <w:color w:val="000000"/>
                <w:lang w:val="en-US" w:eastAsia="zh-CN"/>
              </w:rPr>
            </w:pPr>
            <w:r>
              <w:rPr>
                <w:rFonts w:hint="eastAsia" w:ascii="仿宋" w:hAnsi="仿宋" w:eastAsia="仿宋" w:cs="仿宋"/>
                <w:i w:val="0"/>
                <w:color w:val="000000"/>
                <w:kern w:val="0"/>
                <w:sz w:val="20"/>
                <w:szCs w:val="20"/>
                <w:u w:val="none"/>
                <w:lang w:val="en-US" w:eastAsia="zh-CN" w:bidi="ar"/>
              </w:rPr>
              <w:t>m²</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1200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default" w:ascii="仿宋" w:hAnsi="仿宋" w:eastAsia="仿宋" w:cs="仿宋"/>
                <w:i w:val="0"/>
                <w:color w:val="000000"/>
                <w:kern w:val="0"/>
                <w:sz w:val="20"/>
                <w:szCs w:val="20"/>
                <w:u w:val="none"/>
                <w:lang w:val="en-US" w:eastAsia="zh-CN" w:bidi="ar"/>
              </w:rPr>
              <w:t>7.9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xml:space="preserve">0.95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781" w:type="pct"/>
            <w:tcBorders>
              <w:top w:val="single" w:color="auto" w:sz="4" w:space="0"/>
              <w:left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rPr>
            </w:pPr>
            <w:r>
              <w:rPr>
                <w:rFonts w:hint="eastAsia" w:ascii="Times New Roman" w:hAnsi="Times New Roman" w:cs="Times New Roman"/>
                <w:color w:val="000000"/>
                <w:lang w:val="en-US" w:eastAsia="zh-CN"/>
              </w:rPr>
              <w:t>附属设施</w:t>
            </w:r>
            <w:r>
              <w:rPr>
                <w:rFonts w:hint="eastAsia" w:ascii="Times New Roman" w:hAnsi="Times New Roman" w:cs="Times New Roman"/>
                <w:color w:val="000000"/>
              </w:rPr>
              <w:t>区</w:t>
            </w:r>
          </w:p>
        </w:tc>
        <w:tc>
          <w:tcPr>
            <w:tcW w:w="691" w:type="pct"/>
            <w:tcBorders>
              <w:top w:val="single" w:color="auto" w:sz="4" w:space="0"/>
              <w:left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临时措施</w:t>
            </w:r>
          </w:p>
        </w:tc>
        <w:tc>
          <w:tcPr>
            <w:tcW w:w="1073" w:type="pct"/>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临时遮盖</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lang w:eastAsia="zh-CN"/>
              </w:rPr>
            </w:pPr>
            <w:r>
              <w:rPr>
                <w:rFonts w:hint="eastAsia" w:ascii="仿宋" w:hAnsi="仿宋" w:eastAsia="仿宋" w:cs="仿宋"/>
                <w:i w:val="0"/>
                <w:color w:val="000000"/>
                <w:kern w:val="0"/>
                <w:sz w:val="20"/>
                <w:szCs w:val="20"/>
                <w:u w:val="none"/>
                <w:lang w:val="en-US" w:eastAsia="zh-CN" w:bidi="ar"/>
              </w:rPr>
              <w:t>m²</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2500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default" w:ascii="仿宋" w:hAnsi="仿宋" w:eastAsia="仿宋" w:cs="仿宋"/>
                <w:i w:val="0"/>
                <w:color w:val="000000"/>
                <w:kern w:val="0"/>
                <w:sz w:val="20"/>
                <w:szCs w:val="20"/>
                <w:u w:val="none"/>
                <w:lang w:val="en-US" w:eastAsia="zh-CN" w:bidi="ar"/>
              </w:rPr>
              <w:t>7.9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xml:space="preserve">1.98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781" w:type="pct"/>
            <w:tcBorders>
              <w:left w:val="single" w:color="auto" w:sz="4" w:space="0"/>
              <w:right w:val="single" w:color="auto" w:sz="4" w:space="0"/>
            </w:tcBorders>
            <w:noWrap w:val="0"/>
            <w:vAlign w:val="center"/>
          </w:tcPr>
          <w:p>
            <w:pPr>
              <w:pStyle w:val="31"/>
              <w:spacing w:line="360" w:lineRule="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景观绿化</w:t>
            </w:r>
            <w:r>
              <w:rPr>
                <w:rFonts w:hint="eastAsia" w:ascii="Times New Roman" w:hAnsi="Times New Roman" w:cs="Times New Roman"/>
                <w:color w:val="000000"/>
              </w:rPr>
              <w:t>区</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0" w:firstLineChars="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临时措施</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ind w:firstLine="0" w:firstLineChars="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临时遮盖</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lang w:val="en-US" w:eastAsia="zh-CN"/>
              </w:rPr>
            </w:pPr>
            <w:r>
              <w:rPr>
                <w:rFonts w:hint="eastAsia" w:ascii="仿宋" w:hAnsi="仿宋" w:eastAsia="仿宋" w:cs="仿宋"/>
                <w:i w:val="0"/>
                <w:color w:val="000000"/>
                <w:kern w:val="0"/>
                <w:sz w:val="20"/>
                <w:szCs w:val="20"/>
                <w:u w:val="none"/>
                <w:lang w:val="en-US" w:eastAsia="zh-CN" w:bidi="ar"/>
              </w:rPr>
              <w:t>m²</w:t>
            </w: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800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default" w:ascii="仿宋" w:hAnsi="仿宋" w:eastAsia="仿宋" w:cs="仿宋"/>
                <w:i w:val="0"/>
                <w:color w:val="000000"/>
                <w:kern w:val="0"/>
                <w:sz w:val="20"/>
                <w:szCs w:val="20"/>
                <w:u w:val="none"/>
                <w:lang w:val="en-US" w:eastAsia="zh-CN" w:bidi="ar"/>
              </w:rPr>
              <w:t>7.9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xml:space="preserve">0.63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4258" w:type="pct"/>
            <w:gridSpan w:val="6"/>
            <w:tcBorders>
              <w:top w:val="single" w:color="auto" w:sz="4" w:space="0"/>
              <w:left w:val="single" w:color="auto" w:sz="4" w:space="0"/>
              <w:bottom w:val="single" w:color="auto" w:sz="4" w:space="0"/>
              <w:right w:val="single" w:color="auto" w:sz="4" w:space="0"/>
            </w:tcBorders>
            <w:noWrap w:val="0"/>
            <w:vAlign w:val="center"/>
          </w:tcPr>
          <w:p>
            <w:pPr>
              <w:pStyle w:val="31"/>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合计</w:t>
            </w:r>
          </w:p>
        </w:tc>
        <w:tc>
          <w:tcPr>
            <w:tcW w:w="741"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3.56</w:t>
            </w:r>
          </w:p>
        </w:tc>
      </w:tr>
    </w:tbl>
    <w:p>
      <w:pPr>
        <w:pStyle w:val="28"/>
        <w:keepNext/>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color w:val="auto"/>
          <w:szCs w:val="24"/>
        </w:rPr>
      </w:pPr>
      <w:r>
        <w:rPr>
          <w:rFonts w:hint="eastAsia"/>
          <w:color w:val="auto"/>
          <w:szCs w:val="24"/>
        </w:rPr>
        <w:t>表7-</w:t>
      </w:r>
      <w:r>
        <w:rPr>
          <w:rFonts w:hint="eastAsia"/>
          <w:color w:val="auto"/>
          <w:szCs w:val="24"/>
          <w:lang w:val="en-US" w:eastAsia="zh-CN"/>
        </w:rPr>
        <w:t>6</w:t>
      </w:r>
      <w:r>
        <w:rPr>
          <w:rFonts w:hint="eastAsia"/>
          <w:color w:val="auto"/>
          <w:szCs w:val="24"/>
        </w:rPr>
        <w:t xml:space="preserve"> </w:t>
      </w:r>
      <w:r>
        <w:rPr>
          <w:color w:val="auto"/>
          <w:szCs w:val="24"/>
        </w:rPr>
        <w:t xml:space="preserve"> </w:t>
      </w:r>
      <w:r>
        <w:rPr>
          <w:rFonts w:hint="eastAsia"/>
          <w:color w:val="auto"/>
          <w:szCs w:val="24"/>
        </w:rPr>
        <w:t>独立费用计算表</w:t>
      </w:r>
    </w:p>
    <w:tbl>
      <w:tblPr>
        <w:tblStyle w:val="19"/>
        <w:tblW w:w="4916" w:type="pct"/>
        <w:tblInd w:w="0"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autofit"/>
        <w:tblCellMar>
          <w:top w:w="0" w:type="dxa"/>
          <w:left w:w="108" w:type="dxa"/>
          <w:bottom w:w="0" w:type="dxa"/>
          <w:right w:w="108" w:type="dxa"/>
        </w:tblCellMar>
      </w:tblPr>
      <w:tblGrid>
        <w:gridCol w:w="817"/>
        <w:gridCol w:w="2619"/>
        <w:gridCol w:w="820"/>
        <w:gridCol w:w="820"/>
        <w:gridCol w:w="1301"/>
        <w:gridCol w:w="2002"/>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0" w:hRule="atLeast"/>
        </w:trPr>
        <w:tc>
          <w:tcPr>
            <w:tcW w:w="487" w:type="pct"/>
            <w:tcBorders>
              <w:top w:val="single" w:color="000000" w:sz="12"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序号</w:t>
            </w:r>
          </w:p>
        </w:tc>
        <w:tc>
          <w:tcPr>
            <w:tcW w:w="1562" w:type="pct"/>
            <w:tcBorders>
              <w:top w:val="single" w:color="000000" w:sz="12"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工程或费用名称</w:t>
            </w:r>
          </w:p>
        </w:tc>
        <w:tc>
          <w:tcPr>
            <w:tcW w:w="489" w:type="pct"/>
            <w:tcBorders>
              <w:top w:val="single" w:color="000000" w:sz="12"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单位</w:t>
            </w:r>
          </w:p>
        </w:tc>
        <w:tc>
          <w:tcPr>
            <w:tcW w:w="489" w:type="pct"/>
            <w:tcBorders>
              <w:top w:val="single" w:color="000000" w:sz="12"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数量</w:t>
            </w:r>
          </w:p>
        </w:tc>
        <w:tc>
          <w:tcPr>
            <w:tcW w:w="776" w:type="pct"/>
            <w:tcBorders>
              <w:top w:val="single" w:color="000000" w:sz="12"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单价（元）</w:t>
            </w:r>
          </w:p>
        </w:tc>
        <w:tc>
          <w:tcPr>
            <w:tcW w:w="1194" w:type="pct"/>
            <w:tcBorders>
              <w:top w:val="single" w:color="000000" w:sz="12" w:space="0"/>
              <w:left w:val="single" w:color="000000" w:sz="4" w:space="0"/>
              <w:bottom w:val="single" w:color="000000" w:sz="4" w:space="0"/>
              <w:right w:val="single" w:color="000000" w:sz="12" w:space="0"/>
            </w:tcBorders>
            <w:noWrap w:val="0"/>
            <w:vAlign w:val="center"/>
          </w:tcPr>
          <w:p>
            <w:pPr>
              <w:keepNext/>
              <w:widowControl/>
              <w:spacing w:line="240" w:lineRule="auto"/>
              <w:ind w:firstLine="0" w:firstLineChars="0"/>
              <w:jc w:val="center"/>
              <w:textAlignment w:val="center"/>
              <w:rPr>
                <w:rFonts w:hint="eastAsia" w:cs="仿宋_GB2312"/>
                <w:b/>
                <w:sz w:val="21"/>
                <w:szCs w:val="20"/>
              </w:rPr>
            </w:pPr>
            <w:r>
              <w:rPr>
                <w:rFonts w:hint="eastAsia" w:cs="仿宋_GB2312"/>
                <w:b/>
                <w:kern w:val="0"/>
                <w:sz w:val="21"/>
                <w:szCs w:val="20"/>
                <w:lang w:bidi="ar"/>
              </w:rPr>
              <w:t>合计（万元）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65"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562"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第四部分 独立费用</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1"/>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keepNext/>
              <w:widowControl/>
              <w:spacing w:line="240" w:lineRule="auto"/>
              <w:ind w:firstLine="0" w:firstLineChars="0"/>
              <w:jc w:val="center"/>
              <w:textAlignment w:val="center"/>
              <w:rPr>
                <w:rFonts w:hint="default" w:eastAsia="仿宋_GB2312"/>
                <w:sz w:val="21"/>
                <w:szCs w:val="20"/>
                <w:lang w:val="en-US" w:eastAsia="zh-CN"/>
              </w:rPr>
            </w:pPr>
            <w:r>
              <w:rPr>
                <w:rFonts w:hint="eastAsia"/>
                <w:sz w:val="21"/>
                <w:szCs w:val="20"/>
                <w:lang w:val="en-US" w:eastAsia="zh-CN"/>
              </w:rPr>
              <w:t>12.07</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一</w:t>
            </w:r>
          </w:p>
        </w:tc>
        <w:tc>
          <w:tcPr>
            <w:tcW w:w="1562"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建设管理费</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sz w:val="21"/>
                <w:szCs w:val="20"/>
              </w:rPr>
            </w:pPr>
            <w:r>
              <w:rPr>
                <w:kern w:val="0"/>
                <w:sz w:val="21"/>
                <w:szCs w:val="20"/>
                <w:lang w:bidi="ar"/>
              </w:rPr>
              <w:t>2.00%</w:t>
            </w: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pStyle w:val="46"/>
              <w:rPr>
                <w:rFonts w:hint="default" w:ascii="Times New Roman" w:hAnsi="Times New Roman" w:eastAsia="仿宋" w:cs="Times New Roman"/>
                <w:kern w:val="2"/>
                <w:sz w:val="20"/>
                <w:szCs w:val="20"/>
                <w:lang w:val="en-US" w:eastAsia="zh-CN" w:bidi="ar-SA"/>
              </w:rPr>
            </w:pPr>
            <w:r>
              <w:rPr>
                <w:rFonts w:hint="eastAsia"/>
                <w:sz w:val="20"/>
                <w:szCs w:val="20"/>
                <w:lang w:val="en-US" w:eastAsia="zh-CN"/>
              </w:rPr>
              <w:t>0.07</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二</w:t>
            </w:r>
          </w:p>
        </w:tc>
        <w:tc>
          <w:tcPr>
            <w:tcW w:w="1562" w:type="pct"/>
            <w:tcBorders>
              <w:top w:val="single" w:color="000000" w:sz="4" w:space="0"/>
              <w:left w:val="single" w:color="000000" w:sz="4" w:space="0"/>
              <w:bottom w:val="single" w:color="000000" w:sz="4" w:space="0"/>
              <w:right w:val="single" w:color="000000" w:sz="4" w:space="0"/>
            </w:tcBorders>
            <w:noWrap w:val="0"/>
            <w:vAlign w:val="top"/>
          </w:tcPr>
          <w:p>
            <w:pPr>
              <w:overflowPunct w:val="0"/>
              <w:adjustRightInd/>
              <w:snapToGrid/>
              <w:spacing w:before="8" w:line="276" w:lineRule="auto"/>
              <w:ind w:right="5" w:rightChars="0" w:firstLine="0" w:firstLineChars="0"/>
              <w:jc w:val="center"/>
              <w:rPr>
                <w:rFonts w:hint="eastAsia" w:cs="仿宋_GB2312"/>
                <w:sz w:val="21"/>
                <w:szCs w:val="21"/>
              </w:rPr>
            </w:pPr>
            <w:r>
              <w:rPr>
                <w:rFonts w:hint="eastAsia" w:ascii="Times New Roman" w:hAnsi="Times New Roman" w:eastAsia="仿宋" w:cs="Times New Roman"/>
                <w:kern w:val="2"/>
                <w:sz w:val="20"/>
                <w:szCs w:val="20"/>
                <w:lang w:val="en-US" w:eastAsia="en-US" w:bidi="ar-SA"/>
              </w:rPr>
              <w:t>科研勘测设计费</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pStyle w:val="46"/>
              <w:rPr>
                <w:rFonts w:hint="default" w:ascii="Times New Roman" w:hAnsi="Times New Roman" w:eastAsia="仿宋" w:cs="Times New Roman"/>
                <w:kern w:val="2"/>
                <w:sz w:val="20"/>
                <w:szCs w:val="20"/>
                <w:lang w:val="en-US" w:eastAsia="zh-CN" w:bidi="ar-SA"/>
              </w:rPr>
            </w:pPr>
            <w:r>
              <w:rPr>
                <w:rFonts w:hint="eastAsia"/>
                <w:sz w:val="20"/>
                <w:szCs w:val="20"/>
                <w:lang w:val="en-US" w:eastAsia="zh-CN"/>
              </w:rPr>
              <w:t>3.00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05"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三</w:t>
            </w:r>
          </w:p>
        </w:tc>
        <w:tc>
          <w:tcPr>
            <w:tcW w:w="1562" w:type="pct"/>
            <w:tcBorders>
              <w:top w:val="single" w:color="000000" w:sz="4" w:space="0"/>
              <w:left w:val="single" w:color="000000" w:sz="4" w:space="0"/>
              <w:bottom w:val="single" w:color="000000" w:sz="4" w:space="0"/>
              <w:right w:val="single" w:color="000000" w:sz="4" w:space="0"/>
            </w:tcBorders>
            <w:noWrap w:val="0"/>
            <w:vAlign w:val="top"/>
          </w:tcPr>
          <w:p>
            <w:pPr>
              <w:overflowPunct w:val="0"/>
              <w:adjustRightInd/>
              <w:snapToGrid/>
              <w:spacing w:before="8" w:line="276" w:lineRule="auto"/>
              <w:ind w:right="5" w:rightChars="0" w:firstLine="0" w:firstLineChars="0"/>
              <w:jc w:val="center"/>
              <w:rPr>
                <w:rFonts w:hint="eastAsia" w:cs="仿宋_GB2312"/>
                <w:sz w:val="21"/>
                <w:szCs w:val="21"/>
              </w:rPr>
            </w:pPr>
            <w:r>
              <w:rPr>
                <w:rFonts w:hint="eastAsia" w:ascii="Times New Roman" w:hAnsi="Times New Roman" w:eastAsia="仿宋" w:cs="Times New Roman"/>
                <w:kern w:val="2"/>
                <w:sz w:val="20"/>
                <w:szCs w:val="20"/>
                <w:lang w:val="en-US" w:eastAsia="en-US" w:bidi="ar-SA"/>
              </w:rPr>
              <w:t>工程建设监理费</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pStyle w:val="46"/>
              <w:rPr>
                <w:rFonts w:ascii="Times New Roman" w:hAnsi="Times New Roman" w:eastAsia="仿宋" w:cs="Times New Roman"/>
                <w:kern w:val="2"/>
                <w:sz w:val="20"/>
                <w:szCs w:val="20"/>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3"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四</w:t>
            </w:r>
          </w:p>
        </w:tc>
        <w:tc>
          <w:tcPr>
            <w:tcW w:w="1562" w:type="pct"/>
            <w:tcBorders>
              <w:top w:val="single" w:color="000000" w:sz="4" w:space="0"/>
              <w:left w:val="single" w:color="000000" w:sz="4" w:space="0"/>
              <w:bottom w:val="single" w:color="000000" w:sz="4" w:space="0"/>
              <w:right w:val="single" w:color="000000" w:sz="4" w:space="0"/>
            </w:tcBorders>
            <w:noWrap w:val="0"/>
            <w:vAlign w:val="top"/>
          </w:tcPr>
          <w:p>
            <w:pPr>
              <w:overflowPunct w:val="0"/>
              <w:adjustRightInd/>
              <w:snapToGrid/>
              <w:spacing w:before="8" w:line="276" w:lineRule="auto"/>
              <w:ind w:right="5" w:rightChars="0" w:firstLine="0" w:firstLineChars="0"/>
              <w:jc w:val="center"/>
              <w:rPr>
                <w:rFonts w:hint="eastAsia" w:cs="仿宋_GB2312"/>
                <w:sz w:val="21"/>
                <w:szCs w:val="21"/>
              </w:rPr>
            </w:pPr>
            <w:r>
              <w:rPr>
                <w:rFonts w:hint="eastAsia" w:ascii="Times New Roman" w:hAnsi="Times New Roman" w:eastAsia="仿宋" w:cs="Times New Roman"/>
                <w:kern w:val="2"/>
                <w:sz w:val="20"/>
                <w:szCs w:val="20"/>
                <w:lang w:val="en-US" w:eastAsia="zh-CN" w:bidi="ar-SA"/>
              </w:rPr>
              <w:t>水土保持报告编制费</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pStyle w:val="46"/>
              <w:rPr>
                <w:rFonts w:hint="default" w:ascii="Times New Roman" w:hAnsi="Times New Roman" w:eastAsia="仿宋" w:cs="Times New Roman"/>
                <w:kern w:val="2"/>
                <w:sz w:val="20"/>
                <w:szCs w:val="20"/>
                <w:lang w:val="en-US" w:eastAsia="zh-CN" w:bidi="ar-SA"/>
              </w:rPr>
            </w:pPr>
            <w:r>
              <w:rPr>
                <w:rFonts w:hint="eastAsia"/>
                <w:sz w:val="20"/>
                <w:szCs w:val="20"/>
                <w:lang w:val="en-US" w:eastAsia="zh-CN"/>
              </w:rPr>
              <w:t>3.50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487" w:type="pct"/>
            <w:tcBorders>
              <w:top w:val="single" w:color="000000" w:sz="4" w:space="0"/>
              <w:left w:val="single" w:color="000000" w:sz="12"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五</w:t>
            </w:r>
          </w:p>
        </w:tc>
        <w:tc>
          <w:tcPr>
            <w:tcW w:w="1562"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cs="仿宋_GB2312"/>
                <w:sz w:val="21"/>
                <w:szCs w:val="21"/>
              </w:rPr>
            </w:pPr>
            <w:r>
              <w:rPr>
                <w:rFonts w:hint="eastAsia" w:ascii="Times New Roman" w:hAnsi="Times New Roman" w:eastAsia="仿宋" w:cs="Times New Roman"/>
                <w:kern w:val="2"/>
                <w:sz w:val="20"/>
                <w:szCs w:val="20"/>
                <w:lang w:val="en-US" w:eastAsia="zh-CN" w:bidi="ar-SA"/>
              </w:rPr>
              <w:t>水土保持监测费</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sz w:val="21"/>
                <w:szCs w:val="21"/>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4"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4" w:space="0"/>
              <w:right w:val="single" w:color="000000" w:sz="12" w:space="0"/>
            </w:tcBorders>
            <w:noWrap w:val="0"/>
            <w:vAlign w:val="center"/>
          </w:tcPr>
          <w:p>
            <w:pPr>
              <w:pStyle w:val="46"/>
              <w:rPr>
                <w:rFonts w:hint="default" w:ascii="Times New Roman" w:hAnsi="Times New Roman" w:eastAsia="仿宋" w:cs="Times New Roman"/>
                <w:kern w:val="2"/>
                <w:sz w:val="20"/>
                <w:szCs w:val="20"/>
                <w:lang w:val="en-US" w:eastAsia="zh-CN" w:bidi="ar-SA"/>
              </w:rPr>
            </w:pPr>
            <w:r>
              <w:rPr>
                <w:rFonts w:hint="eastAsia"/>
                <w:sz w:val="20"/>
                <w:szCs w:val="20"/>
                <w:lang w:val="en-US" w:eastAsia="zh-CN"/>
              </w:rPr>
              <w:t>3.50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487" w:type="pct"/>
            <w:tcBorders>
              <w:top w:val="single" w:color="000000" w:sz="4" w:space="0"/>
              <w:left w:val="single" w:color="000000" w:sz="12" w:space="0"/>
              <w:bottom w:val="single" w:color="000000" w:sz="12" w:space="0"/>
              <w:right w:val="single" w:color="000000" w:sz="4" w:space="0"/>
            </w:tcBorders>
            <w:noWrap w:val="0"/>
            <w:vAlign w:val="center"/>
          </w:tcPr>
          <w:p>
            <w:pPr>
              <w:keepNext/>
              <w:widowControl/>
              <w:spacing w:line="240" w:lineRule="auto"/>
              <w:ind w:firstLine="0" w:firstLineChars="0"/>
              <w:jc w:val="center"/>
              <w:textAlignment w:val="center"/>
              <w:rPr>
                <w:rFonts w:hint="eastAsia" w:eastAsia="仿宋" w:cs="仿宋_GB2312"/>
                <w:kern w:val="0"/>
                <w:sz w:val="21"/>
                <w:szCs w:val="21"/>
                <w:lang w:eastAsia="zh-CN" w:bidi="ar"/>
              </w:rPr>
            </w:pPr>
            <w:r>
              <w:rPr>
                <w:rFonts w:hint="eastAsia" w:cs="仿宋_GB2312"/>
                <w:kern w:val="0"/>
                <w:sz w:val="21"/>
                <w:szCs w:val="21"/>
                <w:lang w:eastAsia="zh-CN" w:bidi="ar"/>
              </w:rPr>
              <w:t>六</w:t>
            </w:r>
          </w:p>
        </w:tc>
        <w:tc>
          <w:tcPr>
            <w:tcW w:w="1562" w:type="pct"/>
            <w:tcBorders>
              <w:top w:val="single" w:color="000000" w:sz="4" w:space="0"/>
              <w:left w:val="single" w:color="000000" w:sz="4" w:space="0"/>
              <w:bottom w:val="single" w:color="000000" w:sz="12" w:space="0"/>
              <w:right w:val="single" w:color="000000" w:sz="4" w:space="0"/>
            </w:tcBorders>
            <w:noWrap w:val="0"/>
            <w:vAlign w:val="top"/>
          </w:tcPr>
          <w:p>
            <w:pPr>
              <w:ind w:firstLine="0" w:firstLineChars="0"/>
              <w:jc w:val="center"/>
              <w:rPr>
                <w:rFonts w:hint="eastAsia" w:cs="仿宋_GB2312"/>
                <w:kern w:val="0"/>
                <w:sz w:val="21"/>
                <w:szCs w:val="21"/>
                <w:lang w:bidi="ar"/>
              </w:rPr>
            </w:pPr>
            <w:r>
              <w:rPr>
                <w:rFonts w:hint="eastAsia" w:ascii="Times New Roman" w:hAnsi="Times New Roman" w:eastAsia="仿宋" w:cs="Times New Roman"/>
                <w:kern w:val="2"/>
                <w:sz w:val="20"/>
                <w:szCs w:val="20"/>
                <w:lang w:val="en-US" w:eastAsia="zh-CN" w:bidi="ar-SA"/>
              </w:rPr>
              <w:t>水土保持设施验收费</w:t>
            </w:r>
          </w:p>
        </w:tc>
        <w:tc>
          <w:tcPr>
            <w:tcW w:w="489" w:type="pct"/>
            <w:tcBorders>
              <w:top w:val="single" w:color="000000" w:sz="4" w:space="0"/>
              <w:left w:val="single" w:color="000000" w:sz="4" w:space="0"/>
              <w:bottom w:val="single" w:color="000000" w:sz="12" w:space="0"/>
              <w:right w:val="single" w:color="000000" w:sz="4" w:space="0"/>
            </w:tcBorders>
            <w:noWrap w:val="0"/>
            <w:vAlign w:val="center"/>
          </w:tcPr>
          <w:p>
            <w:pPr>
              <w:keepNext/>
              <w:widowControl/>
              <w:spacing w:line="240" w:lineRule="auto"/>
              <w:ind w:firstLine="0" w:firstLineChars="0"/>
              <w:jc w:val="center"/>
              <w:textAlignment w:val="center"/>
              <w:rPr>
                <w:rFonts w:hint="eastAsia" w:cs="仿宋_GB2312"/>
                <w:kern w:val="0"/>
                <w:sz w:val="21"/>
                <w:szCs w:val="21"/>
                <w:lang w:bidi="ar"/>
              </w:rPr>
            </w:pPr>
            <w:r>
              <w:rPr>
                <w:rFonts w:hint="eastAsia" w:cs="仿宋_GB2312"/>
                <w:kern w:val="0"/>
                <w:sz w:val="21"/>
                <w:szCs w:val="21"/>
                <w:lang w:bidi="ar"/>
              </w:rPr>
              <w:t>元</w:t>
            </w:r>
          </w:p>
        </w:tc>
        <w:tc>
          <w:tcPr>
            <w:tcW w:w="489" w:type="pct"/>
            <w:tcBorders>
              <w:top w:val="single" w:color="000000" w:sz="4" w:space="0"/>
              <w:left w:val="single" w:color="000000" w:sz="4" w:space="0"/>
              <w:bottom w:val="single" w:color="000000" w:sz="12"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776" w:type="pct"/>
            <w:tcBorders>
              <w:top w:val="single" w:color="000000" w:sz="4" w:space="0"/>
              <w:left w:val="single" w:color="000000" w:sz="4" w:space="0"/>
              <w:bottom w:val="single" w:color="000000" w:sz="12" w:space="0"/>
              <w:right w:val="single" w:color="000000" w:sz="4" w:space="0"/>
            </w:tcBorders>
            <w:noWrap w:val="0"/>
            <w:vAlign w:val="center"/>
          </w:tcPr>
          <w:p>
            <w:pPr>
              <w:keepNext/>
              <w:widowControl/>
              <w:spacing w:line="240" w:lineRule="auto"/>
              <w:ind w:firstLine="0" w:firstLineChars="0"/>
              <w:jc w:val="center"/>
              <w:rPr>
                <w:rFonts w:hint="eastAsia" w:cs="仿宋_GB2312"/>
                <w:sz w:val="21"/>
                <w:szCs w:val="20"/>
              </w:rPr>
            </w:pPr>
          </w:p>
        </w:tc>
        <w:tc>
          <w:tcPr>
            <w:tcW w:w="1194" w:type="pct"/>
            <w:tcBorders>
              <w:top w:val="single" w:color="000000" w:sz="4" w:space="0"/>
              <w:left w:val="single" w:color="000000" w:sz="4" w:space="0"/>
              <w:bottom w:val="single" w:color="000000" w:sz="12" w:space="0"/>
              <w:right w:val="single" w:color="000000" w:sz="12" w:space="0"/>
            </w:tcBorders>
            <w:noWrap w:val="0"/>
            <w:vAlign w:val="center"/>
          </w:tcPr>
          <w:p>
            <w:pPr>
              <w:pStyle w:val="46"/>
              <w:rPr>
                <w:rFonts w:hint="default" w:ascii="Times New Roman" w:hAnsi="Times New Roman" w:eastAsia="仿宋" w:cs="Times New Roman"/>
                <w:kern w:val="2"/>
                <w:sz w:val="20"/>
                <w:szCs w:val="20"/>
                <w:lang w:val="en-US" w:eastAsia="zh-CN" w:bidi="ar-SA"/>
              </w:rPr>
            </w:pPr>
            <w:r>
              <w:rPr>
                <w:rFonts w:hint="eastAsia"/>
                <w:sz w:val="20"/>
                <w:szCs w:val="20"/>
                <w:lang w:val="en-US" w:eastAsia="zh-CN"/>
              </w:rPr>
              <w:t>2.00</w:t>
            </w:r>
          </w:p>
        </w:tc>
      </w:tr>
    </w:tbl>
    <w:p>
      <w:pPr>
        <w:pStyle w:val="40"/>
        <w:spacing w:before="156" w:beforeLines="50" w:line="360" w:lineRule="auto"/>
        <w:ind w:left="0" w:leftChars="0" w:firstLine="0" w:firstLineChars="0"/>
        <w:jc w:val="center"/>
        <w:rPr>
          <w:b/>
          <w:bCs/>
          <w:sz w:val="22"/>
          <w:szCs w:val="22"/>
        </w:rPr>
      </w:pPr>
      <w:r>
        <w:rPr>
          <w:b/>
          <w:bCs/>
          <w:sz w:val="22"/>
          <w:szCs w:val="22"/>
        </w:rPr>
        <w:t>表7-</w:t>
      </w:r>
      <w:r>
        <w:rPr>
          <w:rFonts w:hint="eastAsia"/>
          <w:b/>
          <w:bCs/>
          <w:sz w:val="22"/>
          <w:szCs w:val="22"/>
          <w:lang w:val="en-US" w:eastAsia="zh-CN"/>
        </w:rPr>
        <w:t>7</w:t>
      </w:r>
      <w:r>
        <w:rPr>
          <w:b/>
          <w:bCs/>
          <w:sz w:val="22"/>
          <w:szCs w:val="22"/>
        </w:rPr>
        <w:t xml:space="preserve">     水土保持补偿费计算表     单位：元</w:t>
      </w:r>
    </w:p>
    <w:tbl>
      <w:tblPr>
        <w:tblStyle w:val="19"/>
        <w:tblW w:w="4997" w:type="pct"/>
        <w:jc w:val="center"/>
        <w:tblLayout w:type="autofit"/>
        <w:tblCellMar>
          <w:top w:w="0" w:type="dxa"/>
          <w:left w:w="0" w:type="dxa"/>
          <w:bottom w:w="0" w:type="dxa"/>
          <w:right w:w="0" w:type="dxa"/>
        </w:tblCellMar>
      </w:tblPr>
      <w:tblGrid>
        <w:gridCol w:w="1185"/>
        <w:gridCol w:w="2271"/>
        <w:gridCol w:w="1185"/>
        <w:gridCol w:w="1197"/>
        <w:gridCol w:w="1187"/>
        <w:gridCol w:w="1306"/>
      </w:tblGrid>
      <w:tr>
        <w:tblPrEx>
          <w:tblCellMar>
            <w:top w:w="0" w:type="dxa"/>
            <w:left w:w="0" w:type="dxa"/>
            <w:bottom w:w="0" w:type="dxa"/>
            <w:right w:w="0" w:type="dxa"/>
          </w:tblCellMar>
        </w:tblPrEx>
        <w:trPr>
          <w:trHeight w:val="90" w:hRule="atLeast"/>
          <w:jc w:val="center"/>
        </w:trPr>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序号</w:t>
            </w:r>
          </w:p>
        </w:tc>
        <w:tc>
          <w:tcPr>
            <w:tcW w:w="1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工程或费用名称</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单位</w:t>
            </w:r>
          </w:p>
        </w:tc>
        <w:tc>
          <w:tcPr>
            <w:tcW w:w="7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数量</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单价（元）</w:t>
            </w:r>
          </w:p>
        </w:tc>
        <w:tc>
          <w:tcPr>
            <w:tcW w:w="7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合计（</w:t>
            </w:r>
            <w:r>
              <w:rPr>
                <w:rFonts w:hint="eastAsia"/>
                <w:kern w:val="0"/>
                <w:sz w:val="21"/>
                <w:szCs w:val="21"/>
                <w:lang w:bidi="ar"/>
              </w:rPr>
              <w:t xml:space="preserve">万 </w:t>
            </w:r>
            <w:r>
              <w:rPr>
                <w:kern w:val="0"/>
                <w:sz w:val="21"/>
                <w:szCs w:val="21"/>
                <w:lang w:bidi="ar"/>
              </w:rPr>
              <w:t>元）</w:t>
            </w:r>
          </w:p>
        </w:tc>
      </w:tr>
      <w:tr>
        <w:tblPrEx>
          <w:tblCellMar>
            <w:top w:w="0" w:type="dxa"/>
            <w:left w:w="0" w:type="dxa"/>
            <w:bottom w:w="0" w:type="dxa"/>
            <w:right w:w="0" w:type="dxa"/>
          </w:tblCellMar>
        </w:tblPrEx>
        <w:trPr>
          <w:trHeight w:val="283" w:hRule="atLeast"/>
          <w:jc w:val="center"/>
        </w:trPr>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一</w:t>
            </w:r>
          </w:p>
        </w:tc>
        <w:tc>
          <w:tcPr>
            <w:tcW w:w="1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水土保持补偿费</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rPr>
                <w:sz w:val="21"/>
                <w:szCs w:val="21"/>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spacing w:line="360" w:lineRule="auto"/>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spacing w:line="360" w:lineRule="auto"/>
            </w:pPr>
          </w:p>
        </w:tc>
        <w:tc>
          <w:tcPr>
            <w:tcW w:w="7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hint="default"/>
                <w:lang w:val="en-US"/>
              </w:rPr>
            </w:pPr>
            <w:r>
              <w:rPr>
                <w:rFonts w:hint="eastAsia"/>
                <w:sz w:val="20"/>
                <w:szCs w:val="20"/>
                <w:lang w:val="en-US" w:eastAsia="zh-CN"/>
              </w:rPr>
              <w:t>1.32</w:t>
            </w:r>
          </w:p>
        </w:tc>
      </w:tr>
      <w:tr>
        <w:tblPrEx>
          <w:tblCellMar>
            <w:top w:w="0" w:type="dxa"/>
            <w:left w:w="0" w:type="dxa"/>
            <w:bottom w:w="0" w:type="dxa"/>
            <w:right w:w="0" w:type="dxa"/>
          </w:tblCellMar>
        </w:tblPrEx>
        <w:trPr>
          <w:trHeight w:val="283" w:hRule="atLeast"/>
          <w:jc w:val="center"/>
        </w:trPr>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1</w:t>
            </w:r>
          </w:p>
        </w:tc>
        <w:tc>
          <w:tcPr>
            <w:tcW w:w="1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sz w:val="21"/>
                <w:szCs w:val="21"/>
              </w:rPr>
            </w:pPr>
            <w:r>
              <w:rPr>
                <w:kern w:val="0"/>
                <w:sz w:val="21"/>
                <w:szCs w:val="21"/>
                <w:lang w:bidi="ar"/>
              </w:rPr>
              <w:t>扰动地表面积</w:t>
            </w:r>
          </w:p>
        </w:tc>
        <w:tc>
          <w:tcPr>
            <w:tcW w:w="7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hint="eastAsia" w:eastAsia="仿宋"/>
                <w:sz w:val="21"/>
                <w:szCs w:val="21"/>
                <w:lang w:eastAsia="zh-CN"/>
              </w:rPr>
            </w:pPr>
            <w:r>
              <w:rPr>
                <w:rFonts w:hint="eastAsia"/>
                <w:kern w:val="0"/>
                <w:sz w:val="21"/>
                <w:szCs w:val="21"/>
                <w:lang w:eastAsia="zh-CN" w:bidi="ar"/>
              </w:rPr>
              <w:t>m²</w:t>
            </w:r>
          </w:p>
        </w:tc>
        <w:tc>
          <w:tcPr>
            <w:tcW w:w="7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spacing w:line="360" w:lineRule="auto"/>
              <w:rPr>
                <w:rFonts w:hint="default" w:eastAsia="仿宋"/>
                <w:lang w:val="en-US" w:eastAsia="zh-CN"/>
              </w:rPr>
            </w:pPr>
            <w:r>
              <w:rPr>
                <w:rFonts w:hint="eastAsia"/>
                <w:lang w:val="en-US" w:eastAsia="zh-CN"/>
              </w:rPr>
              <w:t>10154.63</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6"/>
              <w:spacing w:line="360" w:lineRule="auto"/>
            </w:pPr>
            <w:r>
              <w:t>1.</w:t>
            </w:r>
            <w:r>
              <w:rPr>
                <w:rFonts w:hint="eastAsia"/>
              </w:rPr>
              <w:t>3</w:t>
            </w:r>
          </w:p>
        </w:tc>
        <w:tc>
          <w:tcPr>
            <w:tcW w:w="7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hint="default"/>
                <w:lang w:val="en-US"/>
              </w:rPr>
            </w:pPr>
            <w:r>
              <w:rPr>
                <w:rFonts w:hint="eastAsia"/>
                <w:sz w:val="20"/>
                <w:szCs w:val="20"/>
                <w:lang w:val="en-US" w:eastAsia="zh-CN"/>
              </w:rPr>
              <w:t>1.32</w:t>
            </w:r>
          </w:p>
        </w:tc>
      </w:tr>
    </w:tbl>
    <w:p>
      <w:pPr>
        <w:pStyle w:val="4"/>
        <w:spacing w:before="156" w:beforeLines="50" w:line="360" w:lineRule="auto"/>
      </w:pPr>
      <w:bookmarkStart w:id="381" w:name="_Toc18274"/>
      <w:bookmarkStart w:id="382" w:name="_Toc7722"/>
      <w:bookmarkStart w:id="383" w:name="_Toc18028"/>
      <w:r>
        <w:t>7.2效益分析</w:t>
      </w:r>
      <w:bookmarkEnd w:id="381"/>
      <w:bookmarkEnd w:id="382"/>
      <w:bookmarkEnd w:id="383"/>
    </w:p>
    <w:p>
      <w:pPr>
        <w:pStyle w:val="9"/>
        <w:spacing w:before="134" w:line="360" w:lineRule="auto"/>
        <w:ind w:left="0" w:leftChars="0" w:right="-94" w:rightChars="0" w:firstLine="480" w:firstLineChars="200"/>
        <w:jc w:val="both"/>
      </w:pPr>
      <w:r>
        <w:t>在方案的水保措施实施后，施工准备期及施工期水土流失及试运行期的水土流失都有减少，方案实施可有效防治因工程建设造成的水土流失，防止土壤被雨水、径流冲刷，保护水土资源，使占地区域内的水土流失得到有效控制，生态环境得到恢复。</w:t>
      </w:r>
    </w:p>
    <w:p>
      <w:pPr>
        <w:pStyle w:val="6"/>
        <w:bidi w:val="0"/>
      </w:pPr>
      <w:r>
        <w:rPr>
          <w:rFonts w:hint="eastAsia"/>
          <w:lang w:val="en-US" w:eastAsia="zh-CN"/>
        </w:rPr>
        <w:t>7.2.1</w:t>
      </w:r>
      <w:r>
        <w:t>水土保持基础效益</w:t>
      </w:r>
    </w:p>
    <w:p>
      <w:pPr>
        <w:bidi w:val="0"/>
        <w:spacing w:line="360" w:lineRule="auto"/>
        <w:ind w:firstLine="452" w:firstLineChars="200"/>
        <w:rPr>
          <w:rFonts w:hint="eastAsia"/>
          <w:lang w:val="en-US" w:eastAsia="zh-CN"/>
        </w:rPr>
      </w:pPr>
      <w:r>
        <w:rPr>
          <w:spacing w:val="-7"/>
        </w:rPr>
        <w:t>根据《生产建设项目水土流失防治标准》，水土保持狭义概念是以减轻和控制水土</w:t>
      </w:r>
      <w:r>
        <w:rPr>
          <w:spacing w:val="-8"/>
        </w:rPr>
        <w:t>流失为主，通过方案实施，使工程建设区内的水土流失和弃渣得到有效治理、损坏的水</w:t>
      </w:r>
      <w:r>
        <w:rPr>
          <w:spacing w:val="-5"/>
        </w:rPr>
        <w:t>土保持设施得到恢复、原有的土壤侵蚀也得到一定程度的控制，</w:t>
      </w:r>
      <w:r>
        <w:t>按照本方案水土保持措施实施进度要求及时采取工程措施、植物措施和临时措施后，各项指标均能实现工程建设期水土流失防治目标。</w:t>
      </w:r>
      <w:r>
        <w:rPr>
          <w:rFonts w:ascii="Times New Roman" w:eastAsia="Times New Roman"/>
        </w:rPr>
        <w:t>6</w:t>
      </w:r>
      <w:r>
        <w:t xml:space="preserve">项指标主要涉及参数涵义及其达标情况见表 </w:t>
      </w:r>
      <w:r>
        <w:rPr>
          <w:rFonts w:ascii="Times New Roman" w:eastAsia="Times New Roman"/>
        </w:rPr>
        <w:t>7</w:t>
      </w:r>
      <w:r>
        <w:rPr>
          <w:rFonts w:hint="eastAsia" w:eastAsia="宋体"/>
          <w:lang w:val="en-US" w:eastAsia="zh-CN"/>
        </w:rPr>
        <w:t>-8</w:t>
      </w:r>
      <w:r>
        <w:t>。</w:t>
      </w:r>
    </w:p>
    <w:p>
      <w:pPr>
        <w:pStyle w:val="9"/>
        <w:spacing w:after="10" w:line="360" w:lineRule="auto"/>
        <w:ind w:left="831" w:right="998"/>
        <w:jc w:val="center"/>
        <w:rPr>
          <w:b/>
          <w:bCs/>
        </w:rPr>
      </w:pPr>
      <w:r>
        <w:rPr>
          <w:b/>
          <w:bCs/>
        </w:rPr>
        <w:t>表 7</w:t>
      </w:r>
      <w:r>
        <w:rPr>
          <w:rFonts w:hint="eastAsia"/>
          <w:b/>
          <w:bCs/>
          <w:lang w:val="en-US" w:eastAsia="zh-CN"/>
        </w:rPr>
        <w:t>-8</w:t>
      </w:r>
      <w:r>
        <w:rPr>
          <w:b/>
          <w:bCs/>
        </w:rPr>
        <w:t xml:space="preserve"> 项目区水土保持目标实现情况统计表</w:t>
      </w:r>
    </w:p>
    <w:tbl>
      <w:tblPr>
        <w:tblStyle w:val="19"/>
        <w:tblW w:w="8745"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1"/>
        <w:gridCol w:w="843"/>
        <w:gridCol w:w="2910"/>
        <w:gridCol w:w="1150"/>
        <w:gridCol w:w="738"/>
        <w:gridCol w:w="80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581" w:type="dxa"/>
          </w:tcPr>
          <w:p>
            <w:pPr>
              <w:pStyle w:val="48"/>
              <w:spacing w:before="129" w:line="240" w:lineRule="auto"/>
              <w:ind w:left="438" w:right="421"/>
              <w:jc w:val="center"/>
              <w:rPr>
                <w:sz w:val="18"/>
              </w:rPr>
            </w:pPr>
            <w:r>
              <w:rPr>
                <w:sz w:val="18"/>
              </w:rPr>
              <w:t>评估指标</w:t>
            </w:r>
          </w:p>
        </w:tc>
        <w:tc>
          <w:tcPr>
            <w:tcW w:w="843" w:type="dxa"/>
          </w:tcPr>
          <w:p>
            <w:pPr>
              <w:pStyle w:val="48"/>
              <w:spacing w:before="129" w:line="240" w:lineRule="auto"/>
              <w:ind w:left="141" w:right="112"/>
              <w:jc w:val="center"/>
              <w:rPr>
                <w:sz w:val="18"/>
              </w:rPr>
            </w:pPr>
            <w:r>
              <w:rPr>
                <w:sz w:val="18"/>
              </w:rPr>
              <w:t>目标值</w:t>
            </w:r>
          </w:p>
        </w:tc>
        <w:tc>
          <w:tcPr>
            <w:tcW w:w="2910" w:type="dxa"/>
          </w:tcPr>
          <w:p>
            <w:pPr>
              <w:pStyle w:val="48"/>
              <w:spacing w:before="129" w:line="240" w:lineRule="auto"/>
              <w:ind w:left="174" w:right="146"/>
              <w:jc w:val="center"/>
              <w:rPr>
                <w:sz w:val="18"/>
              </w:rPr>
            </w:pPr>
            <w:r>
              <w:rPr>
                <w:sz w:val="18"/>
              </w:rPr>
              <w:t>计算依据</w:t>
            </w:r>
          </w:p>
        </w:tc>
        <w:tc>
          <w:tcPr>
            <w:tcW w:w="1150" w:type="dxa"/>
          </w:tcPr>
          <w:p>
            <w:pPr>
              <w:pStyle w:val="48"/>
              <w:spacing w:before="129" w:line="240" w:lineRule="auto"/>
              <w:ind w:left="135" w:right="105"/>
              <w:jc w:val="center"/>
              <w:rPr>
                <w:sz w:val="18"/>
              </w:rPr>
            </w:pPr>
            <w:r>
              <w:rPr>
                <w:sz w:val="18"/>
              </w:rPr>
              <w:t>单位</w:t>
            </w:r>
          </w:p>
        </w:tc>
        <w:tc>
          <w:tcPr>
            <w:tcW w:w="738" w:type="dxa"/>
          </w:tcPr>
          <w:p>
            <w:pPr>
              <w:pStyle w:val="48"/>
              <w:spacing w:before="129" w:line="240" w:lineRule="auto"/>
              <w:ind w:left="150"/>
              <w:rPr>
                <w:sz w:val="18"/>
              </w:rPr>
            </w:pPr>
            <w:r>
              <w:rPr>
                <w:sz w:val="18"/>
              </w:rPr>
              <w:t>数量</w:t>
            </w:r>
          </w:p>
        </w:tc>
        <w:tc>
          <w:tcPr>
            <w:tcW w:w="803" w:type="dxa"/>
          </w:tcPr>
          <w:p>
            <w:pPr>
              <w:pStyle w:val="48"/>
              <w:spacing w:before="129" w:line="240" w:lineRule="auto"/>
              <w:ind w:left="157" w:right="132"/>
              <w:jc w:val="center"/>
              <w:rPr>
                <w:sz w:val="18"/>
              </w:rPr>
            </w:pPr>
            <w:r>
              <w:rPr>
                <w:sz w:val="18"/>
              </w:rPr>
              <w:t>达到值</w:t>
            </w:r>
          </w:p>
        </w:tc>
        <w:tc>
          <w:tcPr>
            <w:tcW w:w="720" w:type="dxa"/>
          </w:tcPr>
          <w:p>
            <w:pPr>
              <w:pStyle w:val="48"/>
              <w:spacing w:before="129" w:line="240" w:lineRule="auto"/>
              <w:ind w:left="142" w:right="106"/>
              <w:jc w:val="center"/>
              <w:rPr>
                <w:sz w:val="18"/>
              </w:rPr>
            </w:pPr>
            <w:r>
              <w:rPr>
                <w:sz w:val="1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1581" w:type="dxa"/>
            <w:vMerge w:val="restart"/>
          </w:tcPr>
          <w:p>
            <w:pPr>
              <w:pStyle w:val="48"/>
              <w:spacing w:before="128" w:line="240" w:lineRule="auto"/>
              <w:ind w:right="421"/>
              <w:jc w:val="center"/>
              <w:rPr>
                <w:sz w:val="18"/>
              </w:rPr>
            </w:pPr>
            <w:r>
              <w:rPr>
                <w:sz w:val="18"/>
              </w:rPr>
              <w:t>表土保护率</w:t>
            </w:r>
          </w:p>
        </w:tc>
        <w:tc>
          <w:tcPr>
            <w:tcW w:w="843" w:type="dxa"/>
            <w:vMerge w:val="restart"/>
          </w:tcPr>
          <w:p>
            <w:pPr>
              <w:pStyle w:val="48"/>
              <w:spacing w:before="128" w:line="240" w:lineRule="auto"/>
              <w:ind w:left="139" w:right="112"/>
              <w:jc w:val="center"/>
              <w:rPr>
                <w:rFonts w:hint="eastAsia" w:eastAsia="仿宋"/>
                <w:sz w:val="18"/>
                <w:lang w:eastAsia="zh-CN"/>
              </w:rPr>
            </w:pPr>
            <w:r>
              <w:rPr>
                <w:rFonts w:hint="eastAsia"/>
                <w:sz w:val="18"/>
                <w:lang w:val="en-US" w:eastAsia="zh-CN"/>
              </w:rPr>
              <w:t>/</w:t>
            </w:r>
          </w:p>
        </w:tc>
        <w:tc>
          <w:tcPr>
            <w:tcW w:w="2910" w:type="dxa"/>
          </w:tcPr>
          <w:p>
            <w:pPr>
              <w:pStyle w:val="48"/>
              <w:spacing w:before="128" w:line="240" w:lineRule="auto"/>
              <w:ind w:left="174" w:right="146"/>
              <w:jc w:val="center"/>
              <w:rPr>
                <w:sz w:val="18"/>
              </w:rPr>
            </w:pPr>
            <w:r>
              <w:rPr>
                <w:sz w:val="18"/>
              </w:rPr>
              <w:t>保护表土数量</w:t>
            </w:r>
          </w:p>
        </w:tc>
        <w:tc>
          <w:tcPr>
            <w:tcW w:w="1150" w:type="dxa"/>
          </w:tcPr>
          <w:p>
            <w:pPr>
              <w:pStyle w:val="48"/>
              <w:spacing w:before="128" w:line="240" w:lineRule="auto"/>
              <w:ind w:left="135" w:right="105"/>
              <w:jc w:val="center"/>
              <w:rPr>
                <w:rFonts w:ascii="Arial" w:hAnsi="Arial" w:eastAsia="Arial"/>
                <w:sz w:val="18"/>
              </w:rPr>
            </w:pPr>
            <w:r>
              <w:rPr>
                <w:sz w:val="18"/>
              </w:rPr>
              <w:t>万m</w:t>
            </w:r>
            <w:r>
              <w:rPr>
                <w:rFonts w:ascii="Arial" w:hAnsi="Arial" w:eastAsia="Arial"/>
                <w:sz w:val="18"/>
              </w:rPr>
              <w:t>³</w:t>
            </w:r>
          </w:p>
        </w:tc>
        <w:tc>
          <w:tcPr>
            <w:tcW w:w="738" w:type="dxa"/>
          </w:tcPr>
          <w:p>
            <w:pPr>
              <w:spacing w:before="128" w:line="240" w:lineRule="auto"/>
              <w:ind w:left="150"/>
              <w:rPr>
                <w:rFonts w:hint="default" w:eastAsia="仿宋"/>
                <w:sz w:val="18"/>
                <w:lang w:val="en-US" w:eastAsia="zh-CN"/>
              </w:rPr>
            </w:pPr>
            <w:r>
              <w:rPr>
                <w:rFonts w:hint="eastAsia"/>
                <w:sz w:val="18"/>
                <w:lang w:val="en-US" w:eastAsia="zh-CN"/>
              </w:rPr>
              <w:t>/</w:t>
            </w:r>
          </w:p>
        </w:tc>
        <w:tc>
          <w:tcPr>
            <w:tcW w:w="803" w:type="dxa"/>
            <w:vMerge w:val="restart"/>
          </w:tcPr>
          <w:p>
            <w:pPr>
              <w:pStyle w:val="48"/>
              <w:spacing w:before="128" w:line="240" w:lineRule="auto"/>
              <w:ind w:left="157" w:right="128"/>
              <w:jc w:val="center"/>
              <w:rPr>
                <w:sz w:val="18"/>
              </w:rPr>
            </w:pPr>
            <w:r>
              <w:rPr>
                <w:rFonts w:hint="eastAsia"/>
                <w:sz w:val="18"/>
                <w:lang w:val="en-US" w:eastAsia="zh-CN"/>
              </w:rPr>
              <w:t>/</w:t>
            </w:r>
          </w:p>
        </w:tc>
        <w:tc>
          <w:tcPr>
            <w:tcW w:w="720" w:type="dxa"/>
            <w:vMerge w:val="restart"/>
          </w:tcPr>
          <w:p>
            <w:pPr>
              <w:pStyle w:val="48"/>
              <w:spacing w:before="128" w:line="240" w:lineRule="auto"/>
              <w:ind w:left="142" w:right="106"/>
              <w:jc w:val="center"/>
              <w:rPr>
                <w:sz w:val="18"/>
              </w:rPr>
            </w:pPr>
            <w:r>
              <w:rPr>
                <w:rFonts w:hint="eastAsia"/>
                <w:sz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581" w:type="dxa"/>
            <w:vMerge w:val="continue"/>
          </w:tcPr>
          <w:p>
            <w:pPr>
              <w:pStyle w:val="48"/>
              <w:spacing w:before="128" w:line="240" w:lineRule="auto"/>
              <w:ind w:left="441" w:right="421"/>
              <w:jc w:val="center"/>
              <w:rPr>
                <w:sz w:val="18"/>
              </w:rPr>
            </w:pPr>
          </w:p>
        </w:tc>
        <w:tc>
          <w:tcPr>
            <w:tcW w:w="843" w:type="dxa"/>
            <w:vMerge w:val="continue"/>
          </w:tcPr>
          <w:p>
            <w:pPr>
              <w:pStyle w:val="48"/>
              <w:spacing w:before="128" w:line="240" w:lineRule="auto"/>
              <w:ind w:left="139" w:right="112"/>
              <w:jc w:val="center"/>
              <w:rPr>
                <w:sz w:val="18"/>
              </w:rPr>
            </w:pPr>
          </w:p>
        </w:tc>
        <w:tc>
          <w:tcPr>
            <w:tcW w:w="2910" w:type="dxa"/>
          </w:tcPr>
          <w:p>
            <w:pPr>
              <w:pStyle w:val="48"/>
              <w:spacing w:before="128" w:line="240" w:lineRule="auto"/>
              <w:ind w:left="174" w:right="146"/>
              <w:jc w:val="center"/>
              <w:rPr>
                <w:sz w:val="18"/>
              </w:rPr>
            </w:pPr>
            <w:r>
              <w:rPr>
                <w:sz w:val="18"/>
              </w:rPr>
              <w:t>可剥离表土总量</w:t>
            </w:r>
          </w:p>
        </w:tc>
        <w:tc>
          <w:tcPr>
            <w:tcW w:w="1150" w:type="dxa"/>
          </w:tcPr>
          <w:p>
            <w:pPr>
              <w:pStyle w:val="48"/>
              <w:spacing w:before="128" w:line="240" w:lineRule="auto"/>
              <w:ind w:left="135" w:right="105"/>
              <w:jc w:val="center"/>
              <w:rPr>
                <w:sz w:val="18"/>
              </w:rPr>
            </w:pPr>
            <w:r>
              <w:rPr>
                <w:sz w:val="18"/>
              </w:rPr>
              <w:t>万m</w:t>
            </w:r>
            <w:r>
              <w:rPr>
                <w:rFonts w:ascii="Arial" w:hAnsi="Arial" w:eastAsia="Arial"/>
                <w:sz w:val="18"/>
              </w:rPr>
              <w:t>³</w:t>
            </w:r>
          </w:p>
        </w:tc>
        <w:tc>
          <w:tcPr>
            <w:tcW w:w="738" w:type="dxa"/>
          </w:tcPr>
          <w:p>
            <w:pPr>
              <w:spacing w:before="128" w:line="240" w:lineRule="auto"/>
              <w:ind w:left="150"/>
              <w:rPr>
                <w:rFonts w:hint="default"/>
                <w:sz w:val="18"/>
                <w:lang w:val="en-US"/>
              </w:rPr>
            </w:pPr>
            <w:r>
              <w:rPr>
                <w:rFonts w:hint="eastAsia"/>
                <w:sz w:val="18"/>
                <w:lang w:val="en-US" w:eastAsia="zh-CN"/>
              </w:rPr>
              <w:t>/</w:t>
            </w:r>
          </w:p>
        </w:tc>
        <w:tc>
          <w:tcPr>
            <w:tcW w:w="803" w:type="dxa"/>
            <w:vMerge w:val="continue"/>
          </w:tcPr>
          <w:p>
            <w:pPr>
              <w:pStyle w:val="48"/>
              <w:spacing w:before="128" w:line="240" w:lineRule="auto"/>
              <w:ind w:left="157" w:right="128"/>
              <w:jc w:val="center"/>
              <w:rPr>
                <w:sz w:val="18"/>
              </w:rPr>
            </w:pPr>
          </w:p>
        </w:tc>
        <w:tc>
          <w:tcPr>
            <w:tcW w:w="720" w:type="dxa"/>
            <w:vMerge w:val="continue"/>
          </w:tcPr>
          <w:p>
            <w:pPr>
              <w:pStyle w:val="48"/>
              <w:spacing w:before="128" w:line="240" w:lineRule="auto"/>
              <w:ind w:left="142" w:right="106"/>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restart"/>
            <w:vAlign w:val="top"/>
          </w:tcPr>
          <w:p>
            <w:pPr>
              <w:pStyle w:val="48"/>
              <w:spacing w:line="240" w:lineRule="auto"/>
              <w:rPr>
                <w:sz w:val="18"/>
              </w:rPr>
            </w:pPr>
          </w:p>
          <w:p>
            <w:pPr>
              <w:pStyle w:val="48"/>
              <w:spacing w:before="149" w:line="240" w:lineRule="auto"/>
              <w:ind w:left="189" w:leftChars="0"/>
              <w:rPr>
                <w:sz w:val="18"/>
              </w:rPr>
            </w:pPr>
            <w:r>
              <w:rPr>
                <w:sz w:val="18"/>
              </w:rPr>
              <w:t>水土流失治理度</w:t>
            </w:r>
          </w:p>
        </w:tc>
        <w:tc>
          <w:tcPr>
            <w:tcW w:w="843" w:type="dxa"/>
            <w:vMerge w:val="restart"/>
            <w:vAlign w:val="top"/>
          </w:tcPr>
          <w:p>
            <w:pPr>
              <w:pStyle w:val="48"/>
              <w:spacing w:line="240" w:lineRule="auto"/>
              <w:rPr>
                <w:sz w:val="18"/>
              </w:rPr>
            </w:pPr>
          </w:p>
          <w:p>
            <w:pPr>
              <w:pStyle w:val="48"/>
              <w:spacing w:before="149" w:line="240" w:lineRule="auto"/>
              <w:ind w:left="295" w:leftChars="0"/>
              <w:rPr>
                <w:sz w:val="18"/>
              </w:rPr>
            </w:pPr>
            <w:r>
              <w:rPr>
                <w:sz w:val="18"/>
              </w:rPr>
              <w:t>97%</w:t>
            </w:r>
          </w:p>
        </w:tc>
        <w:tc>
          <w:tcPr>
            <w:tcW w:w="2910" w:type="dxa"/>
            <w:vAlign w:val="top"/>
          </w:tcPr>
          <w:p>
            <w:pPr>
              <w:pStyle w:val="48"/>
              <w:spacing w:before="130" w:line="240" w:lineRule="auto"/>
              <w:ind w:left="174" w:leftChars="0" w:right="146" w:rightChars="0"/>
              <w:jc w:val="center"/>
              <w:rPr>
                <w:sz w:val="18"/>
              </w:rPr>
            </w:pPr>
            <w:r>
              <w:rPr>
                <w:sz w:val="18"/>
              </w:rPr>
              <w:t>水土流失治理达标面积</w:t>
            </w:r>
          </w:p>
        </w:tc>
        <w:tc>
          <w:tcPr>
            <w:tcW w:w="1150" w:type="dxa"/>
            <w:vAlign w:val="top"/>
          </w:tcPr>
          <w:p>
            <w:pPr>
              <w:pStyle w:val="48"/>
              <w:spacing w:before="130" w:line="240" w:lineRule="auto"/>
              <w:ind w:left="135" w:leftChars="0" w:right="105" w:rightChars="0"/>
              <w:jc w:val="center"/>
              <w:rPr>
                <w:sz w:val="18"/>
              </w:rPr>
            </w:pPr>
            <w:r>
              <w:rPr>
                <w:sz w:val="18"/>
              </w:rPr>
              <w:t>hm</w:t>
            </w:r>
            <w:r>
              <w:rPr>
                <w:rFonts w:ascii="Arial" w:hAnsi="Arial"/>
                <w:sz w:val="18"/>
              </w:rPr>
              <w:t>²</w:t>
            </w:r>
          </w:p>
        </w:tc>
        <w:tc>
          <w:tcPr>
            <w:tcW w:w="738" w:type="dxa"/>
            <w:vAlign w:val="top"/>
          </w:tcPr>
          <w:p>
            <w:pPr>
              <w:pStyle w:val="48"/>
              <w:spacing w:before="130" w:line="240" w:lineRule="auto"/>
              <w:ind w:left="150" w:leftChars="0"/>
              <w:rPr>
                <w:rFonts w:hint="default" w:eastAsia="仿宋"/>
                <w:sz w:val="18"/>
                <w:lang w:val="en-US" w:eastAsia="zh-CN"/>
              </w:rPr>
            </w:pPr>
            <w:r>
              <w:rPr>
                <w:rFonts w:hint="eastAsia"/>
                <w:sz w:val="18"/>
                <w:lang w:val="en-US" w:eastAsia="zh-CN"/>
              </w:rPr>
              <w:t>1.02</w:t>
            </w:r>
          </w:p>
        </w:tc>
        <w:tc>
          <w:tcPr>
            <w:tcW w:w="803" w:type="dxa"/>
            <w:vMerge w:val="restart"/>
            <w:vAlign w:val="top"/>
          </w:tcPr>
          <w:p>
            <w:pPr>
              <w:pStyle w:val="48"/>
              <w:spacing w:before="149" w:line="240" w:lineRule="auto"/>
              <w:ind w:left="268" w:leftChars="0"/>
              <w:jc w:val="both"/>
              <w:rPr>
                <w:sz w:val="18"/>
              </w:rPr>
            </w:pPr>
            <w:r>
              <w:rPr>
                <w:rFonts w:hint="eastAsia"/>
                <w:sz w:val="18"/>
                <w:lang w:val="en-US" w:eastAsia="zh-CN"/>
              </w:rPr>
              <w:t>99.9</w:t>
            </w:r>
            <w:r>
              <w:rPr>
                <w:sz w:val="18"/>
              </w:rPr>
              <w:t>%</w:t>
            </w:r>
          </w:p>
        </w:tc>
        <w:tc>
          <w:tcPr>
            <w:tcW w:w="720" w:type="dxa"/>
            <w:vMerge w:val="restart"/>
            <w:vAlign w:val="top"/>
          </w:tcPr>
          <w:p>
            <w:pPr>
              <w:pStyle w:val="48"/>
              <w:spacing w:before="149" w:line="240" w:lineRule="auto"/>
              <w:jc w:val="center"/>
              <w:rPr>
                <w:sz w:val="18"/>
              </w:rPr>
            </w:pPr>
            <w:r>
              <w:rPr>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continue"/>
          </w:tcPr>
          <w:p>
            <w:pPr>
              <w:pStyle w:val="48"/>
              <w:spacing w:before="128" w:line="240" w:lineRule="auto"/>
              <w:ind w:left="441" w:right="421"/>
              <w:jc w:val="center"/>
              <w:rPr>
                <w:sz w:val="18"/>
              </w:rPr>
            </w:pPr>
          </w:p>
        </w:tc>
        <w:tc>
          <w:tcPr>
            <w:tcW w:w="843" w:type="dxa"/>
            <w:vMerge w:val="continue"/>
          </w:tcPr>
          <w:p>
            <w:pPr>
              <w:pStyle w:val="48"/>
              <w:spacing w:before="128" w:line="240" w:lineRule="auto"/>
              <w:ind w:left="139" w:right="112"/>
              <w:jc w:val="center"/>
              <w:rPr>
                <w:sz w:val="18"/>
              </w:rPr>
            </w:pPr>
          </w:p>
        </w:tc>
        <w:tc>
          <w:tcPr>
            <w:tcW w:w="2910" w:type="dxa"/>
          </w:tcPr>
          <w:p>
            <w:pPr>
              <w:pStyle w:val="48"/>
              <w:spacing w:before="128" w:line="240" w:lineRule="auto"/>
              <w:ind w:left="174" w:right="146"/>
              <w:jc w:val="center"/>
              <w:rPr>
                <w:sz w:val="18"/>
              </w:rPr>
            </w:pPr>
            <w:r>
              <w:rPr>
                <w:sz w:val="18"/>
              </w:rPr>
              <w:t>水土流失总面积</w:t>
            </w:r>
          </w:p>
        </w:tc>
        <w:tc>
          <w:tcPr>
            <w:tcW w:w="1150" w:type="dxa"/>
            <w:vAlign w:val="top"/>
          </w:tcPr>
          <w:p>
            <w:pPr>
              <w:pStyle w:val="48"/>
              <w:spacing w:before="130" w:line="240" w:lineRule="auto"/>
              <w:ind w:left="135" w:leftChars="0" w:right="105" w:rightChars="0"/>
              <w:jc w:val="center"/>
              <w:rPr>
                <w:sz w:val="18"/>
              </w:rPr>
            </w:pPr>
            <w:r>
              <w:rPr>
                <w:sz w:val="18"/>
              </w:rPr>
              <w:t>hm</w:t>
            </w:r>
            <w:r>
              <w:rPr>
                <w:rFonts w:ascii="Arial" w:hAnsi="Arial"/>
                <w:sz w:val="18"/>
              </w:rPr>
              <w:t>²</w:t>
            </w:r>
          </w:p>
        </w:tc>
        <w:tc>
          <w:tcPr>
            <w:tcW w:w="738" w:type="dxa"/>
            <w:vAlign w:val="top"/>
          </w:tcPr>
          <w:p>
            <w:pPr>
              <w:pStyle w:val="48"/>
              <w:spacing w:before="130" w:line="240" w:lineRule="auto"/>
              <w:ind w:left="150" w:leftChars="0"/>
              <w:rPr>
                <w:rFonts w:hint="default" w:eastAsia="仿宋"/>
                <w:sz w:val="18"/>
                <w:lang w:val="en-US" w:eastAsia="zh-CN"/>
              </w:rPr>
            </w:pPr>
            <w:r>
              <w:rPr>
                <w:rFonts w:hint="eastAsia"/>
                <w:sz w:val="18"/>
                <w:lang w:val="en-US" w:eastAsia="zh-CN"/>
              </w:rPr>
              <w:t>1.02</w:t>
            </w:r>
          </w:p>
        </w:tc>
        <w:tc>
          <w:tcPr>
            <w:tcW w:w="803" w:type="dxa"/>
            <w:vMerge w:val="continue"/>
          </w:tcPr>
          <w:p>
            <w:pPr>
              <w:pStyle w:val="48"/>
              <w:spacing w:before="128" w:line="240" w:lineRule="auto"/>
              <w:ind w:left="157" w:right="128"/>
              <w:jc w:val="center"/>
              <w:rPr>
                <w:sz w:val="18"/>
              </w:rPr>
            </w:pPr>
          </w:p>
        </w:tc>
        <w:tc>
          <w:tcPr>
            <w:tcW w:w="720" w:type="dxa"/>
            <w:vMerge w:val="continue"/>
          </w:tcPr>
          <w:p>
            <w:pPr>
              <w:pStyle w:val="48"/>
              <w:spacing w:before="128" w:line="240" w:lineRule="auto"/>
              <w:ind w:left="142" w:right="106"/>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trPr>
        <w:tc>
          <w:tcPr>
            <w:tcW w:w="1581" w:type="dxa"/>
            <w:vMerge w:val="restart"/>
            <w:vAlign w:val="top"/>
          </w:tcPr>
          <w:p>
            <w:pPr>
              <w:pStyle w:val="48"/>
              <w:spacing w:line="240" w:lineRule="auto"/>
              <w:rPr>
                <w:sz w:val="18"/>
              </w:rPr>
            </w:pPr>
          </w:p>
          <w:p>
            <w:pPr>
              <w:pStyle w:val="48"/>
              <w:spacing w:before="149" w:line="240" w:lineRule="auto"/>
              <w:ind w:left="281" w:leftChars="0"/>
              <w:rPr>
                <w:rFonts w:ascii="仿宋" w:hAnsi="仿宋" w:eastAsia="仿宋" w:cs="仿宋"/>
                <w:kern w:val="2"/>
                <w:sz w:val="18"/>
                <w:lang w:val="zh-CN" w:eastAsia="zh-CN" w:bidi="zh-CN"/>
              </w:rPr>
            </w:pPr>
            <w:r>
              <w:rPr>
                <w:sz w:val="18"/>
              </w:rPr>
              <w:t>土壤流失控制比</w:t>
            </w:r>
          </w:p>
          <w:p>
            <w:pPr>
              <w:pStyle w:val="48"/>
              <w:spacing w:before="128" w:line="240" w:lineRule="auto"/>
              <w:ind w:left="441" w:leftChars="0" w:right="421" w:rightChars="0"/>
              <w:jc w:val="center"/>
              <w:rPr>
                <w:rFonts w:ascii="仿宋" w:hAnsi="仿宋" w:eastAsia="仿宋" w:cs="仿宋"/>
                <w:kern w:val="2"/>
                <w:sz w:val="18"/>
                <w:lang w:val="zh-CN" w:eastAsia="zh-CN" w:bidi="zh-CN"/>
              </w:rPr>
            </w:pPr>
          </w:p>
        </w:tc>
        <w:tc>
          <w:tcPr>
            <w:tcW w:w="843" w:type="dxa"/>
            <w:vMerge w:val="restart"/>
            <w:vAlign w:val="top"/>
          </w:tcPr>
          <w:p>
            <w:pPr>
              <w:pStyle w:val="48"/>
              <w:spacing w:line="240" w:lineRule="auto"/>
              <w:rPr>
                <w:sz w:val="18"/>
              </w:rPr>
            </w:pPr>
          </w:p>
          <w:p>
            <w:pPr>
              <w:pStyle w:val="48"/>
              <w:spacing w:before="128" w:line="240" w:lineRule="auto"/>
              <w:ind w:left="139" w:leftChars="0" w:right="112" w:rightChars="0"/>
              <w:jc w:val="center"/>
              <w:rPr>
                <w:rFonts w:hint="eastAsia" w:ascii="仿宋" w:hAnsi="仿宋" w:eastAsia="仿宋" w:cs="仿宋"/>
                <w:kern w:val="2"/>
                <w:sz w:val="18"/>
                <w:lang w:val="zh-CN" w:eastAsia="zh-CN" w:bidi="zh-CN"/>
              </w:rPr>
            </w:pPr>
            <w:r>
              <w:rPr>
                <w:rFonts w:hint="eastAsia"/>
                <w:sz w:val="18"/>
                <w:lang w:val="en-US" w:eastAsia="zh-CN"/>
              </w:rPr>
              <w:t>1</w:t>
            </w:r>
          </w:p>
        </w:tc>
        <w:tc>
          <w:tcPr>
            <w:tcW w:w="2910" w:type="dxa"/>
            <w:vAlign w:val="top"/>
          </w:tcPr>
          <w:p>
            <w:pPr>
              <w:pStyle w:val="48"/>
              <w:spacing w:before="130" w:line="240" w:lineRule="auto"/>
              <w:ind w:left="176" w:leftChars="0" w:right="146" w:rightChars="0"/>
              <w:jc w:val="center"/>
              <w:rPr>
                <w:rFonts w:ascii="仿宋" w:hAnsi="仿宋" w:eastAsia="仿宋" w:cs="仿宋"/>
                <w:kern w:val="2"/>
                <w:sz w:val="18"/>
                <w:lang w:val="zh-CN" w:eastAsia="zh-CN" w:bidi="zh-CN"/>
              </w:rPr>
            </w:pPr>
            <w:r>
              <w:rPr>
                <w:sz w:val="18"/>
              </w:rPr>
              <w:t>侵蚀模数容许值</w:t>
            </w:r>
          </w:p>
        </w:tc>
        <w:tc>
          <w:tcPr>
            <w:tcW w:w="1150" w:type="dxa"/>
            <w:vAlign w:val="top"/>
          </w:tcPr>
          <w:p>
            <w:pPr>
              <w:pStyle w:val="48"/>
              <w:spacing w:before="130" w:line="240" w:lineRule="auto"/>
              <w:ind w:left="135" w:leftChars="0" w:right="108" w:rightChars="0"/>
              <w:jc w:val="center"/>
              <w:rPr>
                <w:rFonts w:ascii="仿宋" w:hAnsi="仿宋" w:eastAsia="仿宋" w:cs="仿宋"/>
                <w:kern w:val="2"/>
                <w:sz w:val="18"/>
                <w:lang w:val="zh-CN" w:eastAsia="zh-CN" w:bidi="zh-CN"/>
              </w:rPr>
            </w:pPr>
            <w:r>
              <w:rPr>
                <w:sz w:val="18"/>
              </w:rPr>
              <w:t>t/(km</w:t>
            </w:r>
            <w:r>
              <w:rPr>
                <w:rFonts w:ascii="Arial" w:hAnsi="Arial"/>
                <w:sz w:val="18"/>
              </w:rPr>
              <w:t>²</w:t>
            </w:r>
            <w:r>
              <w:rPr>
                <w:sz w:val="18"/>
              </w:rPr>
              <w:t>·a)</w:t>
            </w:r>
          </w:p>
        </w:tc>
        <w:tc>
          <w:tcPr>
            <w:tcW w:w="738" w:type="dxa"/>
            <w:vAlign w:val="top"/>
          </w:tcPr>
          <w:p>
            <w:pPr>
              <w:pStyle w:val="48"/>
              <w:spacing w:before="130" w:line="240" w:lineRule="auto"/>
              <w:ind w:left="196" w:leftChars="0"/>
              <w:rPr>
                <w:rFonts w:ascii="仿宋" w:hAnsi="仿宋" w:eastAsia="仿宋" w:cs="仿宋"/>
                <w:kern w:val="2"/>
                <w:sz w:val="18"/>
                <w:lang w:val="zh-CN" w:eastAsia="zh-CN" w:bidi="zh-CN"/>
              </w:rPr>
            </w:pPr>
            <w:r>
              <w:rPr>
                <w:sz w:val="18"/>
              </w:rPr>
              <w:t>500</w:t>
            </w:r>
          </w:p>
        </w:tc>
        <w:tc>
          <w:tcPr>
            <w:tcW w:w="803" w:type="dxa"/>
            <w:vMerge w:val="restart"/>
            <w:vAlign w:val="top"/>
          </w:tcPr>
          <w:p>
            <w:pPr>
              <w:pStyle w:val="48"/>
              <w:spacing w:line="240" w:lineRule="auto"/>
              <w:rPr>
                <w:sz w:val="18"/>
              </w:rPr>
            </w:pPr>
          </w:p>
          <w:p>
            <w:pPr>
              <w:pStyle w:val="48"/>
              <w:spacing w:before="149" w:line="240" w:lineRule="auto"/>
              <w:ind w:left="27" w:leftChars="0"/>
              <w:jc w:val="center"/>
              <w:rPr>
                <w:rFonts w:hint="default" w:ascii="仿宋" w:hAnsi="仿宋" w:eastAsia="仿宋" w:cs="仿宋"/>
                <w:kern w:val="2"/>
                <w:sz w:val="18"/>
                <w:lang w:val="en-US" w:eastAsia="zh-CN" w:bidi="zh-CN"/>
              </w:rPr>
            </w:pPr>
            <w:r>
              <w:rPr>
                <w:rFonts w:hint="eastAsia"/>
                <w:sz w:val="18"/>
                <w:lang w:val="en-US" w:eastAsia="zh-CN"/>
              </w:rPr>
              <w:t>1.67</w:t>
            </w:r>
          </w:p>
        </w:tc>
        <w:tc>
          <w:tcPr>
            <w:tcW w:w="720" w:type="dxa"/>
            <w:vMerge w:val="restart"/>
            <w:vAlign w:val="top"/>
          </w:tcPr>
          <w:p>
            <w:pPr>
              <w:pStyle w:val="48"/>
              <w:spacing w:line="240" w:lineRule="auto"/>
              <w:rPr>
                <w:sz w:val="18"/>
              </w:rPr>
            </w:pPr>
          </w:p>
          <w:p>
            <w:pPr>
              <w:pStyle w:val="48"/>
              <w:spacing w:before="149" w:line="240" w:lineRule="auto"/>
              <w:jc w:val="center"/>
              <w:rPr>
                <w:rFonts w:ascii="仿宋" w:hAnsi="仿宋" w:eastAsia="仿宋" w:cs="仿宋"/>
                <w:kern w:val="2"/>
                <w:sz w:val="18"/>
                <w:lang w:val="zh-CN" w:eastAsia="zh-CN" w:bidi="zh-CN"/>
              </w:rPr>
            </w:pPr>
            <w:r>
              <w:rPr>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1581" w:type="dxa"/>
            <w:vMerge w:val="continue"/>
            <w:vAlign w:val="top"/>
          </w:tcPr>
          <w:p>
            <w:pPr>
              <w:pStyle w:val="48"/>
              <w:spacing w:before="128" w:line="240" w:lineRule="auto"/>
              <w:ind w:left="441" w:leftChars="0" w:right="421" w:rightChars="0"/>
              <w:jc w:val="center"/>
              <w:rPr>
                <w:rFonts w:ascii="仿宋" w:hAnsi="仿宋" w:eastAsia="仿宋" w:cs="仿宋"/>
                <w:kern w:val="2"/>
                <w:sz w:val="18"/>
                <w:lang w:val="zh-CN" w:eastAsia="zh-CN" w:bidi="zh-CN"/>
              </w:rPr>
            </w:pPr>
          </w:p>
        </w:tc>
        <w:tc>
          <w:tcPr>
            <w:tcW w:w="843" w:type="dxa"/>
            <w:vMerge w:val="continue"/>
            <w:vAlign w:val="top"/>
          </w:tcPr>
          <w:p>
            <w:pPr>
              <w:pStyle w:val="48"/>
              <w:spacing w:before="128" w:line="240" w:lineRule="auto"/>
              <w:ind w:left="139" w:leftChars="0" w:right="112" w:rightChars="0"/>
              <w:jc w:val="center"/>
              <w:rPr>
                <w:rFonts w:ascii="仿宋" w:hAnsi="仿宋" w:eastAsia="仿宋" w:cs="仿宋"/>
                <w:kern w:val="2"/>
                <w:sz w:val="18"/>
                <w:lang w:val="zh-CN" w:eastAsia="zh-CN" w:bidi="zh-CN"/>
              </w:rPr>
            </w:pPr>
          </w:p>
        </w:tc>
        <w:tc>
          <w:tcPr>
            <w:tcW w:w="2910" w:type="dxa"/>
            <w:vAlign w:val="top"/>
          </w:tcPr>
          <w:p>
            <w:pPr>
              <w:pStyle w:val="48"/>
              <w:spacing w:before="130" w:line="240" w:lineRule="auto"/>
              <w:ind w:left="176" w:leftChars="0" w:right="146" w:rightChars="0"/>
              <w:jc w:val="center"/>
              <w:rPr>
                <w:rFonts w:ascii="仿宋" w:hAnsi="仿宋" w:eastAsia="仿宋" w:cs="仿宋"/>
                <w:kern w:val="2"/>
                <w:sz w:val="18"/>
                <w:lang w:val="zh-CN" w:eastAsia="zh-CN" w:bidi="zh-CN"/>
              </w:rPr>
            </w:pPr>
            <w:r>
              <w:rPr>
                <w:sz w:val="18"/>
              </w:rPr>
              <w:t>侵蚀模数目标值</w:t>
            </w:r>
          </w:p>
        </w:tc>
        <w:tc>
          <w:tcPr>
            <w:tcW w:w="1150" w:type="dxa"/>
            <w:vAlign w:val="top"/>
          </w:tcPr>
          <w:p>
            <w:pPr>
              <w:pStyle w:val="48"/>
              <w:spacing w:before="130" w:line="240" w:lineRule="auto"/>
              <w:ind w:left="135" w:leftChars="0" w:right="108" w:rightChars="0"/>
              <w:jc w:val="center"/>
              <w:rPr>
                <w:rFonts w:ascii="仿宋" w:hAnsi="仿宋" w:eastAsia="仿宋" w:cs="仿宋"/>
                <w:kern w:val="2"/>
                <w:sz w:val="18"/>
                <w:lang w:val="zh-CN" w:eastAsia="zh-CN" w:bidi="zh-CN"/>
              </w:rPr>
            </w:pPr>
            <w:r>
              <w:rPr>
                <w:sz w:val="18"/>
              </w:rPr>
              <w:t>t/(km</w:t>
            </w:r>
            <w:r>
              <w:rPr>
                <w:rFonts w:ascii="Arial" w:hAnsi="Arial"/>
                <w:sz w:val="18"/>
              </w:rPr>
              <w:t>²</w:t>
            </w:r>
            <w:r>
              <w:rPr>
                <w:sz w:val="18"/>
              </w:rPr>
              <w:t>·a)</w:t>
            </w:r>
          </w:p>
        </w:tc>
        <w:tc>
          <w:tcPr>
            <w:tcW w:w="738" w:type="dxa"/>
            <w:vAlign w:val="top"/>
          </w:tcPr>
          <w:p>
            <w:pPr>
              <w:pStyle w:val="48"/>
              <w:spacing w:before="130" w:line="240" w:lineRule="auto"/>
              <w:ind w:left="196" w:leftChars="0"/>
              <w:rPr>
                <w:rFonts w:hint="default" w:ascii="仿宋" w:hAnsi="仿宋" w:eastAsia="仿宋" w:cs="仿宋"/>
                <w:kern w:val="2"/>
                <w:sz w:val="18"/>
                <w:lang w:val="en-US" w:eastAsia="zh-CN" w:bidi="zh-CN"/>
              </w:rPr>
            </w:pPr>
            <w:r>
              <w:rPr>
                <w:rFonts w:hint="eastAsia"/>
                <w:sz w:val="18"/>
                <w:lang w:val="en-US" w:eastAsia="zh-CN"/>
              </w:rPr>
              <w:t>300</w:t>
            </w:r>
          </w:p>
        </w:tc>
        <w:tc>
          <w:tcPr>
            <w:tcW w:w="803" w:type="dxa"/>
            <w:vMerge w:val="continue"/>
            <w:vAlign w:val="top"/>
          </w:tcPr>
          <w:p>
            <w:pPr>
              <w:pStyle w:val="48"/>
              <w:spacing w:before="128" w:line="240" w:lineRule="auto"/>
              <w:ind w:left="157" w:leftChars="0" w:right="128" w:rightChars="0"/>
              <w:jc w:val="center"/>
              <w:rPr>
                <w:rFonts w:ascii="仿宋" w:hAnsi="仿宋" w:eastAsia="仿宋" w:cs="仿宋"/>
                <w:kern w:val="2"/>
                <w:sz w:val="18"/>
                <w:lang w:val="zh-CN" w:eastAsia="zh-CN" w:bidi="zh-CN"/>
              </w:rPr>
            </w:pPr>
          </w:p>
        </w:tc>
        <w:tc>
          <w:tcPr>
            <w:tcW w:w="720" w:type="dxa"/>
            <w:vMerge w:val="continue"/>
            <w:vAlign w:val="top"/>
          </w:tcPr>
          <w:p>
            <w:pPr>
              <w:pStyle w:val="48"/>
              <w:spacing w:before="128" w:line="240" w:lineRule="auto"/>
              <w:ind w:left="142" w:leftChars="0" w:right="106" w:rightChars="0"/>
              <w:jc w:val="center"/>
              <w:rPr>
                <w:rFonts w:ascii="仿宋" w:hAnsi="仿宋" w:eastAsia="仿宋" w:cs="仿宋"/>
                <w:kern w:val="2"/>
                <w:sz w:val="18"/>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restart"/>
            <w:vAlign w:val="top"/>
          </w:tcPr>
          <w:p>
            <w:pPr>
              <w:pStyle w:val="48"/>
              <w:spacing w:line="240" w:lineRule="auto"/>
              <w:rPr>
                <w:sz w:val="18"/>
              </w:rPr>
            </w:pPr>
          </w:p>
          <w:p>
            <w:pPr>
              <w:pStyle w:val="48"/>
              <w:spacing w:before="147" w:line="240" w:lineRule="auto"/>
              <w:ind w:left="461" w:leftChars="0"/>
              <w:rPr>
                <w:rFonts w:ascii="仿宋" w:hAnsi="仿宋" w:eastAsia="仿宋" w:cs="仿宋"/>
                <w:kern w:val="2"/>
                <w:sz w:val="18"/>
                <w:lang w:val="zh-CN" w:eastAsia="zh-CN" w:bidi="zh-CN"/>
              </w:rPr>
            </w:pPr>
            <w:r>
              <w:rPr>
                <w:sz w:val="18"/>
              </w:rPr>
              <w:t>渣土防护率</w:t>
            </w:r>
          </w:p>
          <w:p>
            <w:pPr>
              <w:pStyle w:val="48"/>
              <w:spacing w:before="128" w:line="240" w:lineRule="auto"/>
              <w:ind w:left="441" w:leftChars="0" w:right="421" w:rightChars="0"/>
              <w:jc w:val="center"/>
              <w:rPr>
                <w:rFonts w:ascii="仿宋" w:hAnsi="仿宋" w:eastAsia="仿宋" w:cs="仿宋"/>
                <w:kern w:val="2"/>
                <w:sz w:val="18"/>
                <w:lang w:val="zh-CN" w:eastAsia="zh-CN" w:bidi="zh-CN"/>
              </w:rPr>
            </w:pPr>
          </w:p>
        </w:tc>
        <w:tc>
          <w:tcPr>
            <w:tcW w:w="843" w:type="dxa"/>
            <w:vMerge w:val="restart"/>
            <w:vAlign w:val="top"/>
          </w:tcPr>
          <w:p>
            <w:pPr>
              <w:pStyle w:val="48"/>
              <w:spacing w:line="240" w:lineRule="auto"/>
              <w:rPr>
                <w:sz w:val="18"/>
              </w:rPr>
            </w:pPr>
          </w:p>
          <w:p>
            <w:pPr>
              <w:pStyle w:val="48"/>
              <w:spacing w:before="147" w:line="240" w:lineRule="auto"/>
              <w:ind w:left="295" w:leftChars="0"/>
              <w:rPr>
                <w:rFonts w:ascii="仿宋" w:hAnsi="仿宋" w:eastAsia="仿宋" w:cs="仿宋"/>
                <w:kern w:val="2"/>
                <w:sz w:val="18"/>
                <w:lang w:val="zh-CN" w:eastAsia="zh-CN" w:bidi="zh-CN"/>
              </w:rPr>
            </w:pPr>
            <w:r>
              <w:rPr>
                <w:sz w:val="18"/>
              </w:rPr>
              <w:t>94%</w:t>
            </w:r>
          </w:p>
          <w:p>
            <w:pPr>
              <w:pStyle w:val="48"/>
              <w:spacing w:before="128" w:line="240" w:lineRule="auto"/>
              <w:ind w:left="139" w:leftChars="0" w:right="112" w:rightChars="0"/>
              <w:jc w:val="center"/>
              <w:rPr>
                <w:rFonts w:ascii="仿宋" w:hAnsi="仿宋" w:eastAsia="仿宋" w:cs="仿宋"/>
                <w:kern w:val="2"/>
                <w:sz w:val="18"/>
                <w:lang w:val="zh-CN" w:eastAsia="zh-CN" w:bidi="zh-CN"/>
              </w:rPr>
            </w:pPr>
          </w:p>
        </w:tc>
        <w:tc>
          <w:tcPr>
            <w:tcW w:w="2910" w:type="dxa"/>
            <w:vAlign w:val="top"/>
          </w:tcPr>
          <w:p>
            <w:pPr>
              <w:pStyle w:val="48"/>
              <w:spacing w:before="130" w:line="240" w:lineRule="auto"/>
              <w:ind w:left="176" w:leftChars="0" w:right="146" w:rightChars="0"/>
              <w:jc w:val="center"/>
              <w:rPr>
                <w:sz w:val="18"/>
                <w:lang w:val="zh-CN" w:eastAsia="zh-CN"/>
              </w:rPr>
            </w:pPr>
            <w:r>
              <w:rPr>
                <w:rFonts w:hint="eastAsia"/>
                <w:sz w:val="18"/>
              </w:rPr>
              <w:t>采取措施实际挡护的永久弃土（石、渣）、临时堆土量</w:t>
            </w:r>
          </w:p>
        </w:tc>
        <w:tc>
          <w:tcPr>
            <w:tcW w:w="1150" w:type="dxa"/>
            <w:vAlign w:val="top"/>
          </w:tcPr>
          <w:p>
            <w:pPr>
              <w:pStyle w:val="48"/>
              <w:spacing w:before="131" w:line="240" w:lineRule="auto"/>
              <w:ind w:left="135" w:leftChars="0" w:right="105" w:rightChars="0"/>
              <w:jc w:val="center"/>
              <w:rPr>
                <w:rFonts w:ascii="Arial" w:hAnsi="Arial" w:eastAsia="Arial" w:cs="仿宋"/>
                <w:kern w:val="2"/>
                <w:sz w:val="18"/>
                <w:lang w:val="zh-CN" w:eastAsia="zh-CN" w:bidi="zh-CN"/>
              </w:rPr>
            </w:pPr>
            <w:r>
              <w:rPr>
                <w:sz w:val="18"/>
              </w:rPr>
              <w:t>万m</w:t>
            </w:r>
            <w:r>
              <w:rPr>
                <w:rFonts w:ascii="Arial" w:hAnsi="Arial" w:eastAsia="Arial"/>
                <w:sz w:val="18"/>
              </w:rPr>
              <w:t>³</w:t>
            </w:r>
          </w:p>
        </w:tc>
        <w:tc>
          <w:tcPr>
            <w:tcW w:w="738" w:type="dxa"/>
            <w:vAlign w:val="top"/>
          </w:tcPr>
          <w:p>
            <w:pPr>
              <w:pStyle w:val="48"/>
              <w:spacing w:before="131" w:line="240" w:lineRule="auto"/>
              <w:ind w:left="150" w:leftChars="0"/>
              <w:rPr>
                <w:rFonts w:hint="default" w:ascii="仿宋" w:hAnsi="仿宋" w:eastAsia="仿宋" w:cs="仿宋"/>
                <w:kern w:val="2"/>
                <w:sz w:val="18"/>
                <w:lang w:val="en-US" w:eastAsia="zh-CN" w:bidi="zh-CN"/>
              </w:rPr>
            </w:pPr>
            <w:r>
              <w:rPr>
                <w:rFonts w:hint="eastAsia" w:cs="仿宋"/>
                <w:kern w:val="2"/>
                <w:sz w:val="18"/>
                <w:lang w:val="en-US" w:eastAsia="zh-CN" w:bidi="zh-CN"/>
              </w:rPr>
              <w:t>0.56</w:t>
            </w:r>
          </w:p>
        </w:tc>
        <w:tc>
          <w:tcPr>
            <w:tcW w:w="803" w:type="dxa"/>
            <w:vMerge w:val="restart"/>
            <w:vAlign w:val="top"/>
          </w:tcPr>
          <w:p>
            <w:pPr>
              <w:pStyle w:val="48"/>
              <w:spacing w:line="240" w:lineRule="auto"/>
              <w:rPr>
                <w:sz w:val="18"/>
              </w:rPr>
            </w:pPr>
          </w:p>
          <w:p>
            <w:pPr>
              <w:pStyle w:val="48"/>
              <w:spacing w:before="147" w:line="240" w:lineRule="auto"/>
              <w:ind w:left="268" w:leftChars="0"/>
              <w:rPr>
                <w:rFonts w:ascii="仿宋" w:hAnsi="仿宋" w:eastAsia="仿宋" w:cs="仿宋"/>
                <w:kern w:val="2"/>
                <w:sz w:val="18"/>
                <w:lang w:val="zh-CN" w:eastAsia="zh-CN" w:bidi="zh-CN"/>
              </w:rPr>
            </w:pPr>
            <w:r>
              <w:rPr>
                <w:rFonts w:hint="eastAsia"/>
                <w:sz w:val="18"/>
                <w:lang w:val="en-US" w:eastAsia="zh-CN"/>
              </w:rPr>
              <w:t>99.9</w:t>
            </w:r>
            <w:r>
              <w:rPr>
                <w:sz w:val="18"/>
              </w:rPr>
              <w:t>%</w:t>
            </w:r>
          </w:p>
        </w:tc>
        <w:tc>
          <w:tcPr>
            <w:tcW w:w="720" w:type="dxa"/>
            <w:vMerge w:val="restart"/>
            <w:vAlign w:val="top"/>
          </w:tcPr>
          <w:p>
            <w:pPr>
              <w:pStyle w:val="48"/>
              <w:spacing w:line="240" w:lineRule="auto"/>
              <w:rPr>
                <w:sz w:val="18"/>
              </w:rPr>
            </w:pPr>
          </w:p>
          <w:p>
            <w:pPr>
              <w:pStyle w:val="48"/>
              <w:spacing w:before="147" w:line="240" w:lineRule="auto"/>
              <w:jc w:val="center"/>
              <w:rPr>
                <w:rFonts w:ascii="仿宋" w:hAnsi="仿宋" w:eastAsia="仿宋" w:cs="仿宋"/>
                <w:kern w:val="2"/>
                <w:sz w:val="18"/>
                <w:lang w:val="zh-CN" w:eastAsia="zh-CN" w:bidi="zh-CN"/>
              </w:rPr>
            </w:pPr>
            <w:r>
              <w:rPr>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continue"/>
            <w:vAlign w:val="top"/>
          </w:tcPr>
          <w:p>
            <w:pPr>
              <w:pStyle w:val="48"/>
              <w:spacing w:before="128" w:line="240" w:lineRule="auto"/>
              <w:ind w:left="441" w:leftChars="0" w:right="421" w:rightChars="0"/>
              <w:jc w:val="center"/>
              <w:rPr>
                <w:rFonts w:ascii="仿宋" w:hAnsi="仿宋" w:eastAsia="仿宋" w:cs="仿宋"/>
                <w:kern w:val="2"/>
                <w:sz w:val="18"/>
                <w:lang w:val="zh-CN" w:eastAsia="zh-CN" w:bidi="zh-CN"/>
              </w:rPr>
            </w:pPr>
          </w:p>
        </w:tc>
        <w:tc>
          <w:tcPr>
            <w:tcW w:w="843" w:type="dxa"/>
            <w:vMerge w:val="continue"/>
            <w:vAlign w:val="top"/>
          </w:tcPr>
          <w:p>
            <w:pPr>
              <w:pStyle w:val="48"/>
              <w:spacing w:before="128" w:line="240" w:lineRule="auto"/>
              <w:ind w:left="139" w:leftChars="0" w:right="112" w:rightChars="0"/>
              <w:jc w:val="center"/>
              <w:rPr>
                <w:rFonts w:ascii="仿宋" w:hAnsi="仿宋" w:eastAsia="仿宋" w:cs="仿宋"/>
                <w:kern w:val="2"/>
                <w:sz w:val="18"/>
                <w:lang w:val="zh-CN" w:eastAsia="zh-CN" w:bidi="zh-CN"/>
              </w:rPr>
            </w:pPr>
          </w:p>
        </w:tc>
        <w:tc>
          <w:tcPr>
            <w:tcW w:w="2910" w:type="dxa"/>
            <w:vAlign w:val="top"/>
          </w:tcPr>
          <w:p>
            <w:pPr>
              <w:pStyle w:val="48"/>
              <w:spacing w:before="130" w:line="240" w:lineRule="auto"/>
              <w:ind w:left="176" w:leftChars="0" w:right="146" w:rightChars="0"/>
              <w:jc w:val="center"/>
              <w:rPr>
                <w:sz w:val="18"/>
                <w:lang w:val="zh-CN" w:eastAsia="zh-CN"/>
              </w:rPr>
            </w:pPr>
            <w:r>
              <w:rPr>
                <w:rFonts w:hint="eastAsia"/>
                <w:sz w:val="18"/>
              </w:rPr>
              <w:t>永久弃土（石、渣）</w:t>
            </w:r>
            <w:r>
              <w:rPr>
                <w:rFonts w:hint="eastAsia"/>
                <w:sz w:val="18"/>
                <w:lang w:eastAsia="zh-CN"/>
              </w:rPr>
              <w:t>、</w:t>
            </w:r>
            <w:r>
              <w:rPr>
                <w:sz w:val="18"/>
              </w:rPr>
              <w:t>临时堆土总量</w:t>
            </w:r>
          </w:p>
        </w:tc>
        <w:tc>
          <w:tcPr>
            <w:tcW w:w="1150" w:type="dxa"/>
            <w:vAlign w:val="top"/>
          </w:tcPr>
          <w:p>
            <w:pPr>
              <w:pStyle w:val="48"/>
              <w:spacing w:before="131" w:line="240" w:lineRule="auto"/>
              <w:ind w:left="135" w:leftChars="0" w:right="105" w:rightChars="0"/>
              <w:jc w:val="center"/>
              <w:rPr>
                <w:rFonts w:ascii="Arial" w:hAnsi="Arial" w:eastAsia="Arial" w:cs="仿宋"/>
                <w:kern w:val="2"/>
                <w:sz w:val="18"/>
                <w:lang w:val="zh-CN" w:eastAsia="zh-CN" w:bidi="zh-CN"/>
              </w:rPr>
            </w:pPr>
            <w:r>
              <w:rPr>
                <w:sz w:val="18"/>
              </w:rPr>
              <w:t>万m</w:t>
            </w:r>
            <w:r>
              <w:rPr>
                <w:rFonts w:ascii="Arial" w:hAnsi="Arial" w:eastAsia="Arial"/>
                <w:sz w:val="18"/>
              </w:rPr>
              <w:t>³</w:t>
            </w:r>
          </w:p>
        </w:tc>
        <w:tc>
          <w:tcPr>
            <w:tcW w:w="738" w:type="dxa"/>
            <w:vAlign w:val="top"/>
          </w:tcPr>
          <w:p>
            <w:pPr>
              <w:pStyle w:val="48"/>
              <w:spacing w:before="131" w:line="240" w:lineRule="auto"/>
              <w:ind w:left="150" w:leftChars="0"/>
              <w:rPr>
                <w:rFonts w:hint="default" w:ascii="仿宋" w:hAnsi="仿宋" w:eastAsia="仿宋" w:cs="仿宋"/>
                <w:kern w:val="2"/>
                <w:sz w:val="18"/>
                <w:lang w:val="en-US" w:eastAsia="zh-CN" w:bidi="zh-CN"/>
              </w:rPr>
            </w:pPr>
            <w:r>
              <w:rPr>
                <w:rFonts w:hint="eastAsia" w:cs="仿宋"/>
                <w:kern w:val="2"/>
                <w:sz w:val="18"/>
                <w:lang w:val="en-US" w:eastAsia="zh-CN" w:bidi="zh-CN"/>
              </w:rPr>
              <w:t>0.56</w:t>
            </w:r>
          </w:p>
        </w:tc>
        <w:tc>
          <w:tcPr>
            <w:tcW w:w="803" w:type="dxa"/>
            <w:vMerge w:val="continue"/>
            <w:vAlign w:val="top"/>
          </w:tcPr>
          <w:p>
            <w:pPr>
              <w:pStyle w:val="48"/>
              <w:spacing w:before="128" w:line="240" w:lineRule="auto"/>
              <w:ind w:left="157" w:leftChars="0" w:right="128" w:rightChars="0"/>
              <w:jc w:val="center"/>
              <w:rPr>
                <w:rFonts w:ascii="仿宋" w:hAnsi="仿宋" w:eastAsia="仿宋" w:cs="仿宋"/>
                <w:kern w:val="2"/>
                <w:sz w:val="18"/>
                <w:lang w:val="zh-CN" w:eastAsia="zh-CN" w:bidi="zh-CN"/>
              </w:rPr>
            </w:pPr>
          </w:p>
        </w:tc>
        <w:tc>
          <w:tcPr>
            <w:tcW w:w="720" w:type="dxa"/>
            <w:vMerge w:val="continue"/>
            <w:vAlign w:val="top"/>
          </w:tcPr>
          <w:p>
            <w:pPr>
              <w:pStyle w:val="48"/>
              <w:spacing w:before="128" w:line="240" w:lineRule="auto"/>
              <w:ind w:left="142" w:leftChars="0" w:right="106" w:rightChars="0"/>
              <w:jc w:val="center"/>
              <w:rPr>
                <w:rFonts w:ascii="仿宋" w:hAnsi="仿宋" w:eastAsia="仿宋" w:cs="仿宋"/>
                <w:kern w:val="2"/>
                <w:sz w:val="18"/>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restart"/>
            <w:vAlign w:val="top"/>
          </w:tcPr>
          <w:p>
            <w:pPr>
              <w:pStyle w:val="48"/>
              <w:spacing w:line="240" w:lineRule="auto"/>
              <w:rPr>
                <w:sz w:val="18"/>
              </w:rPr>
            </w:pPr>
          </w:p>
          <w:p>
            <w:pPr>
              <w:pStyle w:val="48"/>
              <w:spacing w:before="148" w:line="240" w:lineRule="auto"/>
              <w:ind w:left="281" w:leftChars="0"/>
              <w:rPr>
                <w:rFonts w:ascii="仿宋" w:hAnsi="仿宋" w:eastAsia="仿宋" w:cs="仿宋"/>
                <w:kern w:val="2"/>
                <w:sz w:val="18"/>
                <w:lang w:val="zh-CN" w:eastAsia="zh-CN" w:bidi="zh-CN"/>
              </w:rPr>
            </w:pPr>
            <w:r>
              <w:rPr>
                <w:sz w:val="18"/>
              </w:rPr>
              <w:t>林草植被恢复率</w:t>
            </w:r>
          </w:p>
        </w:tc>
        <w:tc>
          <w:tcPr>
            <w:tcW w:w="843" w:type="dxa"/>
            <w:vMerge w:val="restart"/>
            <w:vAlign w:val="top"/>
          </w:tcPr>
          <w:p>
            <w:pPr>
              <w:pStyle w:val="48"/>
              <w:spacing w:line="240" w:lineRule="auto"/>
              <w:rPr>
                <w:sz w:val="18"/>
              </w:rPr>
            </w:pPr>
          </w:p>
          <w:p>
            <w:pPr>
              <w:pStyle w:val="48"/>
              <w:spacing w:before="148" w:line="240" w:lineRule="auto"/>
              <w:ind w:left="295" w:leftChars="0"/>
              <w:rPr>
                <w:rFonts w:ascii="仿宋" w:hAnsi="仿宋" w:eastAsia="仿宋" w:cs="仿宋"/>
                <w:kern w:val="2"/>
                <w:sz w:val="18"/>
                <w:lang w:val="zh-CN" w:eastAsia="zh-CN" w:bidi="zh-CN"/>
              </w:rPr>
            </w:pPr>
            <w:r>
              <w:rPr>
                <w:sz w:val="18"/>
              </w:rPr>
              <w:t>97%</w:t>
            </w:r>
          </w:p>
        </w:tc>
        <w:tc>
          <w:tcPr>
            <w:tcW w:w="2910" w:type="dxa"/>
            <w:vAlign w:val="top"/>
          </w:tcPr>
          <w:p>
            <w:pPr>
              <w:pStyle w:val="48"/>
              <w:spacing w:before="129" w:line="240" w:lineRule="auto"/>
              <w:ind w:left="176" w:leftChars="0" w:right="146" w:rightChars="0"/>
              <w:jc w:val="center"/>
              <w:rPr>
                <w:rFonts w:ascii="仿宋" w:hAnsi="仿宋" w:eastAsia="仿宋" w:cs="仿宋"/>
                <w:kern w:val="2"/>
                <w:sz w:val="18"/>
                <w:lang w:val="zh-CN" w:eastAsia="zh-CN" w:bidi="zh-CN"/>
              </w:rPr>
            </w:pPr>
            <w:r>
              <w:rPr>
                <w:sz w:val="18"/>
              </w:rPr>
              <w:t>林草植被总面积</w:t>
            </w:r>
          </w:p>
        </w:tc>
        <w:tc>
          <w:tcPr>
            <w:tcW w:w="1150" w:type="dxa"/>
            <w:vAlign w:val="top"/>
          </w:tcPr>
          <w:p>
            <w:pPr>
              <w:pStyle w:val="48"/>
              <w:spacing w:before="129" w:line="240" w:lineRule="auto"/>
              <w:ind w:left="135" w:leftChars="0" w:right="105" w:rightChars="0"/>
              <w:jc w:val="center"/>
              <w:rPr>
                <w:rFonts w:ascii="仿宋" w:hAnsi="仿宋" w:eastAsia="仿宋" w:cs="仿宋"/>
                <w:kern w:val="2"/>
                <w:sz w:val="18"/>
                <w:lang w:val="zh-CN" w:eastAsia="zh-CN" w:bidi="zh-CN"/>
              </w:rPr>
            </w:pPr>
            <w:r>
              <w:rPr>
                <w:sz w:val="18"/>
              </w:rPr>
              <w:t>hm</w:t>
            </w:r>
            <w:r>
              <w:rPr>
                <w:rFonts w:ascii="Arial" w:hAnsi="Arial"/>
                <w:sz w:val="18"/>
              </w:rPr>
              <w:t>²</w:t>
            </w:r>
          </w:p>
        </w:tc>
        <w:tc>
          <w:tcPr>
            <w:tcW w:w="738" w:type="dxa"/>
            <w:vAlign w:val="top"/>
          </w:tcPr>
          <w:p>
            <w:pPr>
              <w:pStyle w:val="48"/>
              <w:spacing w:before="129" w:line="240" w:lineRule="auto"/>
              <w:ind w:left="150" w:leftChars="0"/>
              <w:jc w:val="both"/>
              <w:rPr>
                <w:rFonts w:hint="default" w:ascii="仿宋" w:hAnsi="仿宋" w:eastAsia="仿宋" w:cs="仿宋"/>
                <w:kern w:val="2"/>
                <w:sz w:val="18"/>
                <w:highlight w:val="none"/>
                <w:lang w:val="en-US" w:eastAsia="zh-CN" w:bidi="zh-CN"/>
              </w:rPr>
            </w:pPr>
            <w:r>
              <w:rPr>
                <w:rFonts w:hint="eastAsia" w:cs="仿宋"/>
                <w:kern w:val="2"/>
                <w:sz w:val="18"/>
                <w:highlight w:val="none"/>
                <w:lang w:val="en-US" w:eastAsia="zh-CN" w:bidi="zh-CN"/>
              </w:rPr>
              <w:t>0.28</w:t>
            </w:r>
          </w:p>
        </w:tc>
        <w:tc>
          <w:tcPr>
            <w:tcW w:w="803" w:type="dxa"/>
            <w:vMerge w:val="restart"/>
            <w:vAlign w:val="top"/>
          </w:tcPr>
          <w:p>
            <w:pPr>
              <w:pStyle w:val="48"/>
              <w:spacing w:line="240" w:lineRule="auto"/>
              <w:rPr>
                <w:sz w:val="18"/>
              </w:rPr>
            </w:pPr>
          </w:p>
          <w:p>
            <w:pPr>
              <w:pStyle w:val="48"/>
              <w:spacing w:before="148" w:line="240" w:lineRule="auto"/>
              <w:ind w:left="268" w:leftChars="0"/>
              <w:rPr>
                <w:rFonts w:ascii="仿宋" w:hAnsi="仿宋" w:eastAsia="仿宋" w:cs="仿宋"/>
                <w:kern w:val="2"/>
                <w:sz w:val="18"/>
                <w:lang w:val="zh-CN" w:eastAsia="zh-CN" w:bidi="zh-CN"/>
              </w:rPr>
            </w:pPr>
            <w:r>
              <w:rPr>
                <w:rFonts w:hint="eastAsia"/>
                <w:sz w:val="18"/>
                <w:lang w:val="en-US" w:eastAsia="zh-CN"/>
              </w:rPr>
              <w:t>99.9</w:t>
            </w:r>
            <w:r>
              <w:rPr>
                <w:sz w:val="18"/>
              </w:rPr>
              <w:t>%</w:t>
            </w:r>
          </w:p>
        </w:tc>
        <w:tc>
          <w:tcPr>
            <w:tcW w:w="720" w:type="dxa"/>
            <w:vMerge w:val="restart"/>
            <w:vAlign w:val="top"/>
          </w:tcPr>
          <w:p>
            <w:pPr>
              <w:pStyle w:val="48"/>
              <w:spacing w:line="240" w:lineRule="auto"/>
              <w:rPr>
                <w:sz w:val="18"/>
              </w:rPr>
            </w:pPr>
          </w:p>
          <w:p>
            <w:pPr>
              <w:pStyle w:val="48"/>
              <w:spacing w:before="148" w:line="240" w:lineRule="auto"/>
              <w:jc w:val="center"/>
              <w:rPr>
                <w:rFonts w:ascii="仿宋" w:hAnsi="仿宋" w:eastAsia="仿宋" w:cs="仿宋"/>
                <w:kern w:val="2"/>
                <w:sz w:val="18"/>
                <w:lang w:val="zh-CN" w:eastAsia="zh-CN" w:bidi="zh-CN"/>
              </w:rPr>
            </w:pPr>
            <w:r>
              <w:rPr>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continue"/>
            <w:vAlign w:val="top"/>
          </w:tcPr>
          <w:p>
            <w:pPr>
              <w:spacing w:line="240" w:lineRule="auto"/>
              <w:rPr>
                <w:rFonts w:ascii="仿宋" w:hAnsi="仿宋" w:eastAsia="仿宋" w:cs="仿宋"/>
                <w:kern w:val="2"/>
                <w:sz w:val="18"/>
                <w:lang w:val="zh-CN" w:eastAsia="zh-CN" w:bidi="zh-CN"/>
              </w:rPr>
            </w:pPr>
          </w:p>
        </w:tc>
        <w:tc>
          <w:tcPr>
            <w:tcW w:w="843" w:type="dxa"/>
            <w:vMerge w:val="continue"/>
            <w:vAlign w:val="top"/>
          </w:tcPr>
          <w:p>
            <w:pPr>
              <w:spacing w:line="240" w:lineRule="auto"/>
              <w:rPr>
                <w:rFonts w:ascii="仿宋" w:hAnsi="仿宋" w:eastAsia="仿宋" w:cs="仿宋"/>
                <w:kern w:val="2"/>
                <w:sz w:val="18"/>
                <w:lang w:val="zh-CN" w:eastAsia="zh-CN" w:bidi="zh-CN"/>
              </w:rPr>
            </w:pPr>
          </w:p>
        </w:tc>
        <w:tc>
          <w:tcPr>
            <w:tcW w:w="2910" w:type="dxa"/>
            <w:vAlign w:val="top"/>
          </w:tcPr>
          <w:p>
            <w:pPr>
              <w:pStyle w:val="48"/>
              <w:spacing w:before="129" w:line="240" w:lineRule="auto"/>
              <w:ind w:left="174" w:leftChars="0" w:right="146" w:rightChars="0"/>
              <w:jc w:val="center"/>
              <w:rPr>
                <w:rFonts w:ascii="仿宋" w:hAnsi="仿宋" w:eastAsia="仿宋" w:cs="仿宋"/>
                <w:kern w:val="2"/>
                <w:sz w:val="18"/>
                <w:lang w:val="zh-CN" w:eastAsia="zh-CN" w:bidi="zh-CN"/>
              </w:rPr>
            </w:pPr>
            <w:r>
              <w:rPr>
                <w:sz w:val="18"/>
              </w:rPr>
              <w:t>可恢复林草植被总面积</w:t>
            </w:r>
          </w:p>
        </w:tc>
        <w:tc>
          <w:tcPr>
            <w:tcW w:w="1150" w:type="dxa"/>
            <w:vAlign w:val="top"/>
          </w:tcPr>
          <w:p>
            <w:pPr>
              <w:pStyle w:val="48"/>
              <w:spacing w:before="129" w:line="240" w:lineRule="auto"/>
              <w:ind w:left="135" w:leftChars="0" w:right="105" w:rightChars="0"/>
              <w:jc w:val="center"/>
              <w:rPr>
                <w:rFonts w:ascii="仿宋" w:hAnsi="仿宋" w:eastAsia="仿宋" w:cs="仿宋"/>
                <w:kern w:val="2"/>
                <w:sz w:val="18"/>
                <w:lang w:val="zh-CN" w:eastAsia="zh-CN" w:bidi="zh-CN"/>
              </w:rPr>
            </w:pPr>
            <w:r>
              <w:rPr>
                <w:sz w:val="18"/>
              </w:rPr>
              <w:t>hm</w:t>
            </w:r>
            <w:r>
              <w:rPr>
                <w:rFonts w:ascii="Arial" w:hAnsi="Arial"/>
                <w:sz w:val="18"/>
              </w:rPr>
              <w:t>²</w:t>
            </w:r>
          </w:p>
        </w:tc>
        <w:tc>
          <w:tcPr>
            <w:tcW w:w="738" w:type="dxa"/>
            <w:vAlign w:val="top"/>
          </w:tcPr>
          <w:p>
            <w:pPr>
              <w:pStyle w:val="48"/>
              <w:spacing w:before="129" w:line="240" w:lineRule="auto"/>
              <w:ind w:left="150" w:leftChars="0"/>
              <w:rPr>
                <w:rFonts w:hint="default" w:ascii="仿宋" w:hAnsi="仿宋" w:eastAsia="仿宋" w:cs="仿宋"/>
                <w:kern w:val="2"/>
                <w:sz w:val="18"/>
                <w:highlight w:val="none"/>
                <w:lang w:val="en-US" w:eastAsia="zh-CN" w:bidi="zh-CN"/>
              </w:rPr>
            </w:pPr>
            <w:r>
              <w:rPr>
                <w:rFonts w:hint="eastAsia" w:cs="仿宋"/>
                <w:kern w:val="2"/>
                <w:sz w:val="18"/>
                <w:highlight w:val="none"/>
                <w:lang w:val="en-US" w:eastAsia="zh-CN" w:bidi="zh-CN"/>
              </w:rPr>
              <w:t>0.28</w:t>
            </w:r>
          </w:p>
        </w:tc>
        <w:tc>
          <w:tcPr>
            <w:tcW w:w="803" w:type="dxa"/>
            <w:vMerge w:val="continue"/>
            <w:vAlign w:val="top"/>
          </w:tcPr>
          <w:p>
            <w:pPr>
              <w:pStyle w:val="48"/>
              <w:spacing w:before="128" w:line="240" w:lineRule="auto"/>
              <w:ind w:left="157" w:leftChars="0" w:right="128" w:rightChars="0"/>
              <w:jc w:val="center"/>
              <w:rPr>
                <w:rFonts w:ascii="仿宋" w:hAnsi="仿宋" w:eastAsia="仿宋" w:cs="仿宋"/>
                <w:kern w:val="2"/>
                <w:sz w:val="18"/>
                <w:lang w:val="zh-CN" w:eastAsia="zh-CN" w:bidi="zh-CN"/>
              </w:rPr>
            </w:pPr>
          </w:p>
        </w:tc>
        <w:tc>
          <w:tcPr>
            <w:tcW w:w="720" w:type="dxa"/>
            <w:vMerge w:val="continue"/>
            <w:vAlign w:val="top"/>
          </w:tcPr>
          <w:p>
            <w:pPr>
              <w:pStyle w:val="48"/>
              <w:spacing w:before="128" w:line="240" w:lineRule="auto"/>
              <w:ind w:left="142" w:leftChars="0" w:right="106" w:rightChars="0"/>
              <w:jc w:val="center"/>
              <w:rPr>
                <w:rFonts w:ascii="仿宋" w:hAnsi="仿宋" w:eastAsia="仿宋" w:cs="仿宋"/>
                <w:kern w:val="2"/>
                <w:sz w:val="18"/>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1" w:type="dxa"/>
            <w:vMerge w:val="restart"/>
            <w:vAlign w:val="top"/>
          </w:tcPr>
          <w:p>
            <w:pPr>
              <w:pStyle w:val="48"/>
              <w:spacing w:line="240" w:lineRule="auto"/>
              <w:rPr>
                <w:sz w:val="18"/>
              </w:rPr>
            </w:pPr>
          </w:p>
          <w:p>
            <w:pPr>
              <w:pStyle w:val="48"/>
              <w:spacing w:before="148" w:line="240" w:lineRule="auto"/>
              <w:ind w:left="461" w:leftChars="0"/>
              <w:rPr>
                <w:rFonts w:ascii="仿宋" w:hAnsi="仿宋" w:eastAsia="仿宋" w:cs="仿宋"/>
                <w:kern w:val="2"/>
                <w:sz w:val="18"/>
                <w:lang w:val="zh-CN" w:eastAsia="zh-CN" w:bidi="zh-CN"/>
              </w:rPr>
            </w:pPr>
            <w:r>
              <w:rPr>
                <w:sz w:val="18"/>
              </w:rPr>
              <w:t>林草覆盖率</w:t>
            </w:r>
          </w:p>
          <w:p>
            <w:pPr>
              <w:pStyle w:val="48"/>
              <w:spacing w:before="128" w:line="240" w:lineRule="auto"/>
              <w:ind w:left="441" w:leftChars="0" w:right="421" w:rightChars="0"/>
              <w:jc w:val="center"/>
              <w:rPr>
                <w:rFonts w:ascii="仿宋" w:hAnsi="仿宋" w:eastAsia="仿宋" w:cs="仿宋"/>
                <w:kern w:val="2"/>
                <w:sz w:val="18"/>
                <w:lang w:val="zh-CN" w:eastAsia="zh-CN" w:bidi="zh-CN"/>
              </w:rPr>
            </w:pPr>
          </w:p>
        </w:tc>
        <w:tc>
          <w:tcPr>
            <w:tcW w:w="843" w:type="dxa"/>
            <w:vMerge w:val="restart"/>
            <w:vAlign w:val="top"/>
          </w:tcPr>
          <w:p>
            <w:pPr>
              <w:pStyle w:val="48"/>
              <w:spacing w:line="240" w:lineRule="auto"/>
              <w:rPr>
                <w:sz w:val="18"/>
              </w:rPr>
            </w:pPr>
          </w:p>
          <w:p>
            <w:pPr>
              <w:pStyle w:val="48"/>
              <w:spacing w:before="148" w:line="240" w:lineRule="auto"/>
              <w:ind w:left="295" w:leftChars="0"/>
              <w:rPr>
                <w:rFonts w:ascii="仿宋" w:hAnsi="仿宋" w:eastAsia="仿宋" w:cs="仿宋"/>
                <w:kern w:val="2"/>
                <w:sz w:val="18"/>
                <w:lang w:val="zh-CN" w:eastAsia="zh-CN" w:bidi="zh-CN"/>
              </w:rPr>
            </w:pPr>
            <w:r>
              <w:rPr>
                <w:rFonts w:hint="eastAsia"/>
                <w:sz w:val="18"/>
                <w:lang w:val="en-US" w:eastAsia="zh-CN"/>
              </w:rPr>
              <w:t>25</w:t>
            </w:r>
            <w:r>
              <w:rPr>
                <w:sz w:val="18"/>
              </w:rPr>
              <w:t>%</w:t>
            </w:r>
          </w:p>
          <w:p>
            <w:pPr>
              <w:pStyle w:val="48"/>
              <w:spacing w:before="128" w:line="240" w:lineRule="auto"/>
              <w:ind w:left="139" w:leftChars="0" w:right="112" w:rightChars="0"/>
              <w:jc w:val="center"/>
              <w:rPr>
                <w:rFonts w:ascii="仿宋" w:hAnsi="仿宋" w:eastAsia="仿宋" w:cs="仿宋"/>
                <w:kern w:val="2"/>
                <w:sz w:val="18"/>
                <w:lang w:val="zh-CN" w:eastAsia="zh-CN" w:bidi="zh-CN"/>
              </w:rPr>
            </w:pPr>
          </w:p>
        </w:tc>
        <w:tc>
          <w:tcPr>
            <w:tcW w:w="2910" w:type="dxa"/>
            <w:vAlign w:val="top"/>
          </w:tcPr>
          <w:p>
            <w:pPr>
              <w:pStyle w:val="48"/>
              <w:spacing w:before="129" w:line="240" w:lineRule="auto"/>
              <w:ind w:left="176" w:leftChars="0" w:right="146" w:rightChars="0"/>
              <w:jc w:val="center"/>
              <w:rPr>
                <w:rFonts w:ascii="仿宋" w:hAnsi="仿宋" w:eastAsia="仿宋" w:cs="仿宋"/>
                <w:kern w:val="2"/>
                <w:sz w:val="18"/>
                <w:lang w:val="zh-CN" w:eastAsia="zh-CN" w:bidi="zh-CN"/>
              </w:rPr>
            </w:pPr>
            <w:r>
              <w:rPr>
                <w:sz w:val="18"/>
              </w:rPr>
              <w:t>林草植被总面积</w:t>
            </w:r>
          </w:p>
        </w:tc>
        <w:tc>
          <w:tcPr>
            <w:tcW w:w="1150" w:type="dxa"/>
            <w:vAlign w:val="top"/>
          </w:tcPr>
          <w:p>
            <w:pPr>
              <w:pStyle w:val="48"/>
              <w:spacing w:before="129" w:line="240" w:lineRule="auto"/>
              <w:ind w:left="135" w:leftChars="0" w:right="105" w:rightChars="0"/>
              <w:jc w:val="center"/>
              <w:rPr>
                <w:rFonts w:ascii="Arial" w:hAnsi="Arial" w:eastAsia="仿宋" w:cs="仿宋"/>
                <w:kern w:val="2"/>
                <w:sz w:val="18"/>
                <w:lang w:val="zh-CN" w:eastAsia="zh-CN" w:bidi="zh-CN"/>
              </w:rPr>
            </w:pPr>
            <w:r>
              <w:rPr>
                <w:sz w:val="18"/>
              </w:rPr>
              <w:t>hm</w:t>
            </w:r>
            <w:r>
              <w:rPr>
                <w:rFonts w:ascii="Arial" w:hAnsi="Arial"/>
                <w:sz w:val="18"/>
              </w:rPr>
              <w:t>²</w:t>
            </w:r>
          </w:p>
        </w:tc>
        <w:tc>
          <w:tcPr>
            <w:tcW w:w="738" w:type="dxa"/>
            <w:vAlign w:val="top"/>
          </w:tcPr>
          <w:p>
            <w:pPr>
              <w:pStyle w:val="48"/>
              <w:spacing w:before="129" w:line="240" w:lineRule="auto"/>
              <w:ind w:left="150" w:leftChars="0"/>
              <w:rPr>
                <w:rFonts w:hint="default" w:ascii="仿宋" w:hAnsi="仿宋" w:eastAsia="仿宋" w:cs="仿宋"/>
                <w:kern w:val="2"/>
                <w:sz w:val="18"/>
                <w:lang w:val="en-US" w:eastAsia="zh-CN" w:bidi="zh-CN"/>
              </w:rPr>
            </w:pPr>
            <w:r>
              <w:rPr>
                <w:rFonts w:hint="eastAsia" w:cs="仿宋"/>
                <w:kern w:val="2"/>
                <w:sz w:val="18"/>
                <w:lang w:val="en-US" w:eastAsia="zh-CN" w:bidi="zh-CN"/>
              </w:rPr>
              <w:t>0.28</w:t>
            </w:r>
          </w:p>
        </w:tc>
        <w:tc>
          <w:tcPr>
            <w:tcW w:w="803" w:type="dxa"/>
            <w:vMerge w:val="restart"/>
            <w:vAlign w:val="top"/>
          </w:tcPr>
          <w:p>
            <w:pPr>
              <w:pStyle w:val="48"/>
              <w:spacing w:line="240" w:lineRule="auto"/>
              <w:rPr>
                <w:sz w:val="18"/>
              </w:rPr>
            </w:pPr>
          </w:p>
          <w:p>
            <w:pPr>
              <w:pStyle w:val="48"/>
              <w:spacing w:before="148" w:line="240" w:lineRule="auto"/>
              <w:jc w:val="center"/>
              <w:rPr>
                <w:rFonts w:ascii="仿宋" w:hAnsi="仿宋" w:eastAsia="仿宋" w:cs="仿宋"/>
                <w:kern w:val="2"/>
                <w:sz w:val="18"/>
                <w:lang w:val="zh-CN" w:eastAsia="zh-CN" w:bidi="zh-CN"/>
              </w:rPr>
            </w:pPr>
            <w:r>
              <w:rPr>
                <w:rFonts w:hint="eastAsia"/>
                <w:sz w:val="18"/>
                <w:lang w:val="en-US" w:eastAsia="zh-CN"/>
              </w:rPr>
              <w:t>27</w:t>
            </w:r>
            <w:r>
              <w:rPr>
                <w:sz w:val="18"/>
              </w:rPr>
              <w:t>%</w:t>
            </w:r>
          </w:p>
        </w:tc>
        <w:tc>
          <w:tcPr>
            <w:tcW w:w="720" w:type="dxa"/>
            <w:vMerge w:val="restart"/>
            <w:vAlign w:val="top"/>
          </w:tcPr>
          <w:p>
            <w:pPr>
              <w:pStyle w:val="48"/>
              <w:spacing w:line="240" w:lineRule="auto"/>
              <w:rPr>
                <w:sz w:val="18"/>
              </w:rPr>
            </w:pPr>
          </w:p>
          <w:p>
            <w:pPr>
              <w:pStyle w:val="48"/>
              <w:spacing w:before="148" w:line="240" w:lineRule="auto"/>
              <w:jc w:val="center"/>
              <w:rPr>
                <w:rFonts w:ascii="仿宋" w:hAnsi="仿宋" w:eastAsia="仿宋" w:cs="仿宋"/>
                <w:kern w:val="2"/>
                <w:sz w:val="18"/>
                <w:lang w:val="zh-CN" w:eastAsia="zh-CN" w:bidi="zh-CN"/>
              </w:rPr>
            </w:pPr>
            <w:r>
              <w:rPr>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1581" w:type="dxa"/>
            <w:vMerge w:val="continue"/>
            <w:vAlign w:val="top"/>
          </w:tcPr>
          <w:p>
            <w:pPr>
              <w:pStyle w:val="48"/>
              <w:spacing w:before="128"/>
              <w:ind w:left="441" w:leftChars="0" w:right="421" w:rightChars="0"/>
              <w:jc w:val="center"/>
              <w:rPr>
                <w:rFonts w:ascii="仿宋" w:hAnsi="仿宋" w:eastAsia="仿宋" w:cs="仿宋"/>
                <w:kern w:val="2"/>
                <w:sz w:val="18"/>
                <w:lang w:val="zh-CN" w:eastAsia="zh-CN" w:bidi="zh-CN"/>
              </w:rPr>
            </w:pPr>
          </w:p>
        </w:tc>
        <w:tc>
          <w:tcPr>
            <w:tcW w:w="843" w:type="dxa"/>
            <w:vMerge w:val="continue"/>
            <w:vAlign w:val="top"/>
          </w:tcPr>
          <w:p>
            <w:pPr>
              <w:pStyle w:val="48"/>
              <w:spacing w:before="128"/>
              <w:ind w:left="139" w:leftChars="0" w:right="112" w:rightChars="0"/>
              <w:jc w:val="center"/>
              <w:rPr>
                <w:rFonts w:ascii="仿宋" w:hAnsi="仿宋" w:eastAsia="仿宋" w:cs="仿宋"/>
                <w:kern w:val="2"/>
                <w:sz w:val="18"/>
                <w:lang w:val="zh-CN" w:eastAsia="zh-CN" w:bidi="zh-CN"/>
              </w:rPr>
            </w:pPr>
          </w:p>
        </w:tc>
        <w:tc>
          <w:tcPr>
            <w:tcW w:w="2910" w:type="dxa"/>
            <w:vAlign w:val="top"/>
          </w:tcPr>
          <w:p>
            <w:pPr>
              <w:pStyle w:val="48"/>
              <w:spacing w:before="119"/>
              <w:ind w:left="174" w:leftChars="0" w:right="146" w:rightChars="0"/>
              <w:jc w:val="center"/>
              <w:rPr>
                <w:rFonts w:ascii="仿宋" w:hAnsi="仿宋" w:eastAsia="仿宋" w:cs="仿宋"/>
                <w:kern w:val="2"/>
                <w:sz w:val="18"/>
                <w:lang w:val="zh-CN" w:eastAsia="zh-CN" w:bidi="zh-CN"/>
              </w:rPr>
            </w:pPr>
            <w:r>
              <w:rPr>
                <w:sz w:val="18"/>
              </w:rPr>
              <w:t>项目建设区总面积</w:t>
            </w:r>
          </w:p>
        </w:tc>
        <w:tc>
          <w:tcPr>
            <w:tcW w:w="1150" w:type="dxa"/>
            <w:vAlign w:val="top"/>
          </w:tcPr>
          <w:p>
            <w:pPr>
              <w:pStyle w:val="48"/>
              <w:spacing w:before="119"/>
              <w:ind w:left="135" w:leftChars="0" w:right="105" w:rightChars="0"/>
              <w:jc w:val="center"/>
              <w:rPr>
                <w:rFonts w:ascii="Arial" w:hAnsi="Arial" w:eastAsia="仿宋" w:cs="仿宋"/>
                <w:kern w:val="2"/>
                <w:sz w:val="18"/>
                <w:lang w:val="zh-CN" w:eastAsia="zh-CN" w:bidi="zh-CN"/>
              </w:rPr>
            </w:pPr>
            <w:r>
              <w:rPr>
                <w:sz w:val="18"/>
              </w:rPr>
              <w:t>hm</w:t>
            </w:r>
            <w:r>
              <w:rPr>
                <w:rFonts w:ascii="Arial" w:hAnsi="Arial"/>
                <w:sz w:val="18"/>
              </w:rPr>
              <w:t>²</w:t>
            </w:r>
          </w:p>
        </w:tc>
        <w:tc>
          <w:tcPr>
            <w:tcW w:w="738" w:type="dxa"/>
            <w:vAlign w:val="top"/>
          </w:tcPr>
          <w:p>
            <w:pPr>
              <w:pStyle w:val="48"/>
              <w:spacing w:before="119"/>
              <w:jc w:val="center"/>
              <w:rPr>
                <w:rFonts w:hint="default" w:ascii="仿宋" w:hAnsi="仿宋" w:eastAsia="仿宋" w:cs="仿宋"/>
                <w:kern w:val="2"/>
                <w:sz w:val="18"/>
                <w:lang w:val="en-US" w:eastAsia="zh-CN" w:bidi="zh-CN"/>
              </w:rPr>
            </w:pPr>
            <w:r>
              <w:rPr>
                <w:rFonts w:hint="eastAsia" w:cs="仿宋"/>
                <w:kern w:val="2"/>
                <w:sz w:val="18"/>
                <w:lang w:val="en-US" w:eastAsia="zh-CN" w:bidi="zh-CN"/>
              </w:rPr>
              <w:t>1.02</w:t>
            </w:r>
          </w:p>
        </w:tc>
        <w:tc>
          <w:tcPr>
            <w:tcW w:w="803" w:type="dxa"/>
            <w:vMerge w:val="continue"/>
            <w:vAlign w:val="top"/>
          </w:tcPr>
          <w:p>
            <w:pPr>
              <w:pStyle w:val="48"/>
              <w:spacing w:before="128"/>
              <w:ind w:left="157" w:leftChars="0" w:right="128" w:rightChars="0"/>
              <w:jc w:val="center"/>
              <w:rPr>
                <w:rFonts w:ascii="仿宋" w:hAnsi="仿宋" w:eastAsia="仿宋" w:cs="仿宋"/>
                <w:kern w:val="2"/>
                <w:sz w:val="18"/>
                <w:lang w:val="zh-CN" w:eastAsia="zh-CN" w:bidi="zh-CN"/>
              </w:rPr>
            </w:pPr>
          </w:p>
        </w:tc>
        <w:tc>
          <w:tcPr>
            <w:tcW w:w="720" w:type="dxa"/>
            <w:vMerge w:val="continue"/>
            <w:vAlign w:val="top"/>
          </w:tcPr>
          <w:p>
            <w:pPr>
              <w:pStyle w:val="48"/>
              <w:spacing w:before="128"/>
              <w:ind w:left="142" w:leftChars="0" w:right="106" w:rightChars="0"/>
              <w:jc w:val="center"/>
              <w:rPr>
                <w:rFonts w:ascii="仿宋" w:hAnsi="仿宋" w:eastAsia="仿宋" w:cs="仿宋"/>
                <w:kern w:val="2"/>
                <w:sz w:val="18"/>
                <w:lang w:val="zh-CN" w:eastAsia="zh-CN" w:bidi="zh-CN"/>
              </w:rPr>
            </w:pPr>
          </w:p>
        </w:tc>
      </w:tr>
    </w:tbl>
    <w:p>
      <w:pPr>
        <w:pStyle w:val="9"/>
        <w:spacing w:before="66" w:line="405" w:lineRule="auto"/>
        <w:ind w:left="0" w:leftChars="0" w:right="-94" w:rightChars="0" w:firstLine="448" w:firstLineChars="200"/>
        <w:jc w:val="both"/>
        <w:rPr>
          <w:rFonts w:ascii="Times New Roman" w:hAnsi="Times New Roman" w:cs="Times New Roman"/>
          <w:spacing w:val="-8"/>
          <w:szCs w:val="22"/>
        </w:rPr>
      </w:pPr>
      <w:r>
        <w:rPr>
          <w:spacing w:val="-8"/>
        </w:rPr>
        <w:t>通过本《方案》水土保持措施实施后，项目建设区内水土流失得到基本治理，项目</w:t>
      </w:r>
      <w:r>
        <w:rPr>
          <w:spacing w:val="-5"/>
        </w:rPr>
        <w:t xml:space="preserve">建设区内水土流失治理度为 </w:t>
      </w:r>
      <w:r>
        <w:rPr>
          <w:rFonts w:hint="eastAsia" w:ascii="Times New Roman" w:hAnsi="Times New Roman" w:cs="Times New Roman"/>
          <w:spacing w:val="-8"/>
          <w:szCs w:val="22"/>
          <w:lang w:val="en-US" w:eastAsia="zh-CN"/>
        </w:rPr>
        <w:t>99.9</w:t>
      </w:r>
      <w:r>
        <w:rPr>
          <w:rFonts w:hint="eastAsia" w:ascii="Times New Roman" w:hAnsi="Times New Roman" w:cs="Times New Roman"/>
          <w:spacing w:val="-8"/>
          <w:szCs w:val="22"/>
        </w:rPr>
        <w:t>％</w:t>
      </w:r>
      <w:r>
        <w:rPr>
          <w:rFonts w:ascii="Times New Roman" w:hAnsi="Times New Roman" w:cs="Times New Roman"/>
          <w:spacing w:val="-8"/>
          <w:szCs w:val="22"/>
        </w:rPr>
        <w:t>（目标值 97</w:t>
      </w:r>
      <w:r>
        <w:rPr>
          <w:rFonts w:hint="eastAsia" w:ascii="Times New Roman" w:hAnsi="Times New Roman" w:cs="Times New Roman"/>
          <w:spacing w:val="-8"/>
          <w:szCs w:val="22"/>
        </w:rPr>
        <w:t>％</w:t>
      </w:r>
      <w:r>
        <w:rPr>
          <w:rFonts w:ascii="Times New Roman" w:hAnsi="Times New Roman" w:cs="Times New Roman"/>
          <w:spacing w:val="-8"/>
          <w:szCs w:val="22"/>
        </w:rPr>
        <w:t>），土壤流失控制比达到 1.</w:t>
      </w:r>
      <w:r>
        <w:rPr>
          <w:rFonts w:hint="eastAsia" w:ascii="Times New Roman" w:hAnsi="Times New Roman" w:cs="Times New Roman"/>
          <w:spacing w:val="-8"/>
          <w:szCs w:val="22"/>
          <w:lang w:val="en-US" w:eastAsia="zh-CN"/>
        </w:rPr>
        <w:t>67</w:t>
      </w:r>
      <w:r>
        <w:rPr>
          <w:rFonts w:ascii="Times New Roman" w:hAnsi="Times New Roman" w:cs="Times New Roman"/>
          <w:spacing w:val="-8"/>
          <w:szCs w:val="22"/>
        </w:rPr>
        <w:t>（目标值1.00），渣土防护率为</w:t>
      </w:r>
      <w:r>
        <w:rPr>
          <w:rFonts w:hint="eastAsia" w:ascii="Times New Roman" w:hAnsi="Times New Roman" w:cs="Times New Roman"/>
          <w:spacing w:val="-8"/>
          <w:szCs w:val="22"/>
          <w:lang w:val="en-US" w:eastAsia="zh-CN"/>
        </w:rPr>
        <w:t>99.9</w:t>
      </w:r>
      <w:r>
        <w:rPr>
          <w:rFonts w:hint="eastAsia" w:ascii="Times New Roman" w:hAnsi="Times New Roman" w:cs="Times New Roman"/>
          <w:spacing w:val="-8"/>
          <w:szCs w:val="22"/>
        </w:rPr>
        <w:t>％</w:t>
      </w:r>
      <w:r>
        <w:rPr>
          <w:rFonts w:ascii="Times New Roman" w:hAnsi="Times New Roman" w:cs="Times New Roman"/>
          <w:spacing w:val="-8"/>
          <w:szCs w:val="22"/>
        </w:rPr>
        <w:t>（目标值 94</w:t>
      </w:r>
      <w:r>
        <w:rPr>
          <w:rFonts w:hint="eastAsia" w:ascii="Times New Roman" w:hAnsi="Times New Roman" w:cs="Times New Roman"/>
          <w:spacing w:val="-8"/>
          <w:szCs w:val="22"/>
        </w:rPr>
        <w:t>％</w:t>
      </w:r>
      <w:r>
        <w:rPr>
          <w:rFonts w:ascii="Times New Roman" w:hAnsi="Times New Roman" w:cs="Times New Roman"/>
          <w:spacing w:val="-8"/>
          <w:szCs w:val="22"/>
        </w:rPr>
        <w:t xml:space="preserve">），林草植被恢复率为 </w:t>
      </w:r>
      <w:r>
        <w:rPr>
          <w:rFonts w:hint="eastAsia" w:ascii="Times New Roman" w:hAnsi="Times New Roman" w:cs="Times New Roman"/>
          <w:spacing w:val="-8"/>
          <w:szCs w:val="22"/>
          <w:lang w:val="en-US" w:eastAsia="zh-CN"/>
        </w:rPr>
        <w:t>99.9</w:t>
      </w:r>
      <w:r>
        <w:rPr>
          <w:rFonts w:hint="eastAsia" w:ascii="Times New Roman" w:hAnsi="Times New Roman" w:cs="Times New Roman"/>
          <w:spacing w:val="-8"/>
          <w:szCs w:val="22"/>
        </w:rPr>
        <w:t>％</w:t>
      </w:r>
      <w:r>
        <w:rPr>
          <w:rFonts w:ascii="Times New Roman" w:hAnsi="Times New Roman" w:cs="Times New Roman"/>
          <w:spacing w:val="-8"/>
          <w:szCs w:val="22"/>
        </w:rPr>
        <w:t>（目标值 97</w:t>
      </w:r>
      <w:r>
        <w:rPr>
          <w:rFonts w:hint="eastAsia" w:ascii="Times New Roman" w:hAnsi="Times New Roman" w:cs="Times New Roman"/>
          <w:spacing w:val="-8"/>
          <w:szCs w:val="22"/>
        </w:rPr>
        <w:t>％</w:t>
      </w:r>
      <w:r>
        <w:rPr>
          <w:rFonts w:ascii="Times New Roman" w:hAnsi="Times New Roman" w:cs="Times New Roman"/>
          <w:spacing w:val="-8"/>
          <w:szCs w:val="22"/>
        </w:rPr>
        <w:t xml:space="preserve">），林草覆盖率为 </w:t>
      </w:r>
      <w:r>
        <w:rPr>
          <w:rFonts w:hint="eastAsia" w:cs="Times New Roman"/>
          <w:spacing w:val="-8"/>
          <w:szCs w:val="22"/>
          <w:lang w:val="en-US" w:eastAsia="zh-CN"/>
        </w:rPr>
        <w:t>27</w:t>
      </w:r>
      <w:r>
        <w:rPr>
          <w:rFonts w:ascii="Times New Roman" w:hAnsi="Times New Roman" w:cs="Times New Roman"/>
          <w:spacing w:val="-8"/>
          <w:szCs w:val="22"/>
        </w:rPr>
        <w:t>%（目标值</w:t>
      </w:r>
      <w:r>
        <w:rPr>
          <w:rFonts w:hint="eastAsia" w:cs="Times New Roman"/>
          <w:spacing w:val="-8"/>
          <w:szCs w:val="22"/>
          <w:lang w:val="en-US" w:eastAsia="zh-CN"/>
        </w:rPr>
        <w:t>25</w:t>
      </w:r>
      <w:r>
        <w:rPr>
          <w:rFonts w:hint="eastAsia" w:ascii="Times New Roman" w:hAnsi="Times New Roman" w:cs="Times New Roman"/>
          <w:spacing w:val="-8"/>
          <w:szCs w:val="22"/>
        </w:rPr>
        <w:t>％</w:t>
      </w:r>
      <w:r>
        <w:rPr>
          <w:rFonts w:ascii="Times New Roman" w:hAnsi="Times New Roman" w:cs="Times New Roman"/>
          <w:spacing w:val="-8"/>
          <w:szCs w:val="22"/>
        </w:rPr>
        <w:t>）。</w:t>
      </w:r>
    </w:p>
    <w:p>
      <w:pPr>
        <w:pStyle w:val="6"/>
        <w:bidi w:val="0"/>
      </w:pPr>
      <w:r>
        <w:rPr>
          <w:rFonts w:hint="eastAsia"/>
          <w:lang w:val="en-US" w:eastAsia="zh-CN"/>
        </w:rPr>
        <w:t>7.2.2</w:t>
      </w:r>
      <w:r>
        <w:t>生态效益</w:t>
      </w:r>
    </w:p>
    <w:p>
      <w:pPr>
        <w:pStyle w:val="9"/>
        <w:spacing w:before="238" w:line="360" w:lineRule="auto"/>
        <w:ind w:left="0" w:leftChars="0" w:right="-94" w:rightChars="0" w:firstLine="480" w:firstLineChars="200"/>
        <w:jc w:val="both"/>
      </w:pPr>
      <w:r>
        <w:t>本《方案》实施后，项目区内水土流失得到有效治理，土地利用结构得到一定调整。特别是防治了建设过程中的工程水土流失，既涵养水源，又遏制水土流失，改良了土壤物理化学性质，提高了土壤肥力。</w:t>
      </w:r>
    </w:p>
    <w:p>
      <w:pPr>
        <w:pStyle w:val="6"/>
        <w:bidi w:val="0"/>
      </w:pPr>
      <w:r>
        <w:rPr>
          <w:rFonts w:hint="eastAsia"/>
          <w:lang w:val="en-US" w:eastAsia="zh-CN"/>
        </w:rPr>
        <w:t>7.2.3</w:t>
      </w:r>
      <w:r>
        <w:t>社会效益</w:t>
      </w:r>
    </w:p>
    <w:p>
      <w:pPr>
        <w:bidi w:val="0"/>
        <w:spacing w:line="360" w:lineRule="auto"/>
        <w:ind w:firstLine="480" w:firstLineChars="200"/>
        <w:rPr>
          <w:rFonts w:hint="eastAsia"/>
          <w:lang w:val="en-US" w:eastAsia="zh-CN"/>
        </w:rPr>
      </w:pPr>
      <w:r>
        <w:t>通过认真贯彻水土保持法律法规，因地制宜采取水土保持预防、治理、监督检查和监测措施，使项目建设期可能发生的水土流失及危害降到最低限度，从而确保项目建设顺利进行，不仅有利于项目区社会经济发展，又美化工程区环境，促进当地经济持续发展。项目实施后，可促进项目区国民经济、社会事业稳步发展，实现项目建设</w:t>
      </w:r>
      <w:r>
        <w:rPr>
          <w:spacing w:val="-9"/>
        </w:rPr>
        <w:t>带动地方经济发展的目标，将明显增加地方税收和劳动就业，并产生巨大的社会效益。</w:t>
      </w:r>
    </w:p>
    <w:p>
      <w:pPr>
        <w:pStyle w:val="6"/>
        <w:numPr>
          <w:ilvl w:val="0"/>
          <w:numId w:val="0"/>
        </w:numPr>
        <w:bidi w:val="0"/>
      </w:pPr>
      <w:r>
        <w:rPr>
          <w:rFonts w:hint="eastAsia"/>
          <w:lang w:val="en-US" w:eastAsia="zh-CN"/>
        </w:rPr>
        <w:t>7.2.4</w:t>
      </w:r>
      <w:r>
        <w:t>经济效益</w:t>
      </w:r>
    </w:p>
    <w:p>
      <w:pPr>
        <w:pStyle w:val="9"/>
        <w:tabs>
          <w:tab w:val="left" w:pos="7440"/>
        </w:tabs>
        <w:spacing w:before="238" w:line="381" w:lineRule="auto"/>
        <w:ind w:left="0" w:leftChars="0" w:right="-94" w:rightChars="0" w:firstLine="460" w:firstLineChars="200"/>
        <w:jc w:val="both"/>
      </w:pPr>
      <w:r>
        <w:rPr>
          <w:spacing w:val="-5"/>
        </w:rPr>
        <w:t>拟建工程其主要目的是服务社会，因此，通过做好水土保持工作，不能体现直接的</w:t>
      </w:r>
      <w:r>
        <w:rPr>
          <w:spacing w:val="-7"/>
        </w:rPr>
        <w:t>经济效益，而更多的是体现社会效益。通过做好工程的水土保持工作，可保障工程顺利建设和运行，减少进入河道溪沟的泥沙量，保存土壤资源，同时也减少河道淤积，有利</w:t>
      </w:r>
      <w:r>
        <w:rPr>
          <w:spacing w:val="-6"/>
        </w:rPr>
        <w:t>于河道行洪。通过采取土地整治，建立排水系统和采取绿化措施，将维持和改善项目区</w:t>
      </w:r>
      <w:r>
        <w:t>生态环境，对于提高居民生活环境将起到良好的效果。</w:t>
      </w:r>
    </w:p>
    <w:p>
      <w:pPr>
        <w:rPr>
          <w:rFonts w:hint="default" w:ascii="Times New Roman" w:hAnsi="Times New Roman" w:eastAsia="仿宋" w:cs="Times New Roman"/>
          <w:kern w:val="2"/>
          <w:sz w:val="24"/>
          <w:lang w:val="en-US" w:eastAsia="zh-CN" w:bidi="ar-SA"/>
        </w:rPr>
      </w:pPr>
      <w:r>
        <w:rPr>
          <w:rFonts w:hint="default" w:ascii="Times New Roman" w:hAnsi="Times New Roman" w:eastAsia="仿宋" w:cs="Times New Roman"/>
          <w:kern w:val="2"/>
          <w:sz w:val="24"/>
          <w:lang w:val="en-US" w:eastAsia="zh-CN" w:bidi="ar-SA"/>
        </w:rPr>
        <w:br w:type="page"/>
      </w:r>
    </w:p>
    <w:p>
      <w:pPr>
        <w:pStyle w:val="3"/>
        <w:jc w:val="center"/>
        <w:outlineLvl w:val="1"/>
        <w:rPr>
          <w:rFonts w:ascii="仿宋" w:hAnsi="仿宋" w:eastAsia="仿宋"/>
        </w:rPr>
      </w:pPr>
      <w:bookmarkStart w:id="384" w:name="_Toc5676"/>
      <w:bookmarkStart w:id="385" w:name="_Toc6704"/>
      <w:bookmarkStart w:id="386" w:name="_Toc23915"/>
      <w:bookmarkStart w:id="387" w:name="_Toc22504"/>
      <w:bookmarkStart w:id="388" w:name="_Toc12974"/>
      <w:bookmarkStart w:id="389" w:name="_Toc48656955"/>
      <w:bookmarkStart w:id="390" w:name="_Toc76045832"/>
      <w:bookmarkStart w:id="391" w:name="_Toc25844490"/>
      <w:bookmarkStart w:id="392" w:name="_Toc24719246"/>
      <w:bookmarkStart w:id="393" w:name="_Toc298751461"/>
      <w:bookmarkStart w:id="394" w:name="_Toc207684471"/>
      <w:bookmarkStart w:id="395" w:name="_Toc4746"/>
      <w:bookmarkStart w:id="396" w:name="_Toc321312188"/>
      <w:bookmarkStart w:id="397" w:name="_Toc29749"/>
      <w:bookmarkStart w:id="398" w:name="_Toc9352124"/>
      <w:bookmarkStart w:id="399" w:name="_Toc235802399"/>
      <w:bookmarkStart w:id="400" w:name="_Toc236111260"/>
      <w:bookmarkStart w:id="401" w:name="_Toc331253686"/>
      <w:bookmarkStart w:id="402" w:name="_Toc402169781"/>
      <w:r>
        <w:rPr>
          <w:rFonts w:hint="eastAsia" w:ascii="仿宋" w:hAnsi="仿宋" w:eastAsia="仿宋"/>
        </w:rPr>
        <w:t>8 水土保持管理</w:t>
      </w:r>
      <w:bookmarkEnd w:id="384"/>
      <w:bookmarkEnd w:id="385"/>
      <w:bookmarkEnd w:id="386"/>
      <w:bookmarkEnd w:id="387"/>
      <w:bookmarkEnd w:id="388"/>
      <w:bookmarkEnd w:id="389"/>
      <w:bookmarkEnd w:id="390"/>
    </w:p>
    <w:bookmarkEnd w:id="391"/>
    <w:bookmarkEnd w:id="392"/>
    <w:bookmarkEnd w:id="393"/>
    <w:bookmarkEnd w:id="394"/>
    <w:bookmarkEnd w:id="395"/>
    <w:bookmarkEnd w:id="396"/>
    <w:bookmarkEnd w:id="397"/>
    <w:bookmarkEnd w:id="398"/>
    <w:bookmarkEnd w:id="399"/>
    <w:bookmarkEnd w:id="400"/>
    <w:bookmarkEnd w:id="401"/>
    <w:bookmarkEnd w:id="402"/>
    <w:p>
      <w:pPr>
        <w:ind w:firstLine="480"/>
        <w:rPr>
          <w:rFonts w:ascii="仿宋" w:hAnsi="仿宋" w:eastAsia="仿宋"/>
        </w:rPr>
      </w:pPr>
      <w:bookmarkStart w:id="403" w:name="_Toc30734"/>
      <w:bookmarkStart w:id="404" w:name="_Toc32246"/>
      <w:bookmarkStart w:id="405" w:name="_Toc20579"/>
      <w:bookmarkStart w:id="406" w:name="_Toc24719251"/>
      <w:bookmarkStart w:id="407" w:name="_Toc25844495"/>
      <w:r>
        <w:rPr>
          <w:rFonts w:hint="eastAsia" w:ascii="仿宋" w:hAnsi="仿宋" w:eastAsia="仿宋"/>
        </w:rPr>
        <w:t>为了全面落实水土保持方案，确保方案按计划实施，使工程建设过程中产生的水土流失及时得到治理，恢复植被，维护工程建设运行安全，工程建设单位应在领导、技术及资金上予以保证，并在工程区水土保持监督机构的积极配合下，加强监督力度，确保各项水土保持措施发挥实效。</w:t>
      </w:r>
    </w:p>
    <w:p>
      <w:pPr>
        <w:pStyle w:val="4"/>
        <w:rPr>
          <w:rFonts w:ascii="仿宋" w:hAnsi="仿宋" w:eastAsia="仿宋"/>
        </w:rPr>
      </w:pPr>
      <w:bookmarkStart w:id="408" w:name="_Toc9737"/>
      <w:bookmarkStart w:id="409" w:name="_Toc33362537"/>
      <w:bookmarkStart w:id="410" w:name="_Toc34641663"/>
      <w:bookmarkStart w:id="411" w:name="_Toc20458"/>
      <w:bookmarkStart w:id="412" w:name="_Toc370"/>
      <w:bookmarkStart w:id="413" w:name="_Toc14767212"/>
      <w:bookmarkStart w:id="414" w:name="_Toc23052"/>
      <w:bookmarkStart w:id="415" w:name="_Toc76045833"/>
      <w:bookmarkStart w:id="416" w:name="_Toc48656956"/>
      <w:bookmarkStart w:id="417" w:name="_Toc17986"/>
      <w:bookmarkStart w:id="418" w:name="_Toc16765"/>
      <w:r>
        <w:rPr>
          <w:rFonts w:hint="eastAsia" w:ascii="仿宋" w:hAnsi="仿宋" w:eastAsia="仿宋"/>
        </w:rPr>
        <w:t>8.1 组织管理</w:t>
      </w:r>
      <w:bookmarkEnd w:id="408"/>
      <w:bookmarkEnd w:id="409"/>
      <w:bookmarkEnd w:id="410"/>
      <w:bookmarkEnd w:id="411"/>
      <w:bookmarkEnd w:id="412"/>
      <w:bookmarkEnd w:id="413"/>
      <w:bookmarkEnd w:id="414"/>
      <w:bookmarkEnd w:id="415"/>
      <w:bookmarkEnd w:id="416"/>
      <w:bookmarkEnd w:id="417"/>
      <w:bookmarkEnd w:id="418"/>
    </w:p>
    <w:p>
      <w:pPr>
        <w:ind w:firstLine="480"/>
        <w:rPr>
          <w:rFonts w:ascii="仿宋" w:hAnsi="仿宋" w:eastAsia="仿宋"/>
        </w:rPr>
      </w:pPr>
      <w:r>
        <w:rPr>
          <w:rFonts w:hint="eastAsia" w:ascii="仿宋" w:hAnsi="仿宋" w:eastAsia="仿宋"/>
        </w:rPr>
        <w:t>水土保持是我国的一项基本国策。为预防和治理水土流失，保护和合理利用水土资源，减少自然灾害，改善生态环境，发展生产，使项目影响区域可持续发展，需要各级领导高度重视项目水土流失的防治工作，建立、健全领导协调组织、专职机构，实行目标责任制，真正把水土保持的各项措施落到实处。</w:t>
      </w:r>
    </w:p>
    <w:p>
      <w:pPr>
        <w:pStyle w:val="6"/>
        <w:rPr>
          <w:rFonts w:ascii="仿宋" w:hAnsi="仿宋" w:eastAsia="仿宋"/>
        </w:rPr>
      </w:pPr>
      <w:bookmarkStart w:id="419" w:name="_Toc30015"/>
      <w:r>
        <w:rPr>
          <w:rFonts w:hint="eastAsia" w:ascii="仿宋" w:hAnsi="仿宋" w:eastAsia="仿宋"/>
        </w:rPr>
        <w:t>8.1.1组织领导和工作职责</w:t>
      </w:r>
    </w:p>
    <w:p>
      <w:pPr>
        <w:ind w:firstLine="480"/>
        <w:rPr>
          <w:rFonts w:ascii="仿宋" w:hAnsi="仿宋" w:eastAsia="仿宋"/>
        </w:rPr>
      </w:pPr>
      <w:r>
        <w:rPr>
          <w:rFonts w:hint="eastAsia" w:ascii="仿宋" w:hAnsi="仿宋" w:eastAsia="仿宋"/>
        </w:rPr>
        <w:t>（1）</w:t>
      </w:r>
      <w:r>
        <w:rPr>
          <w:rFonts w:ascii="仿宋" w:hAnsi="仿宋" w:eastAsia="仿宋"/>
        </w:rPr>
        <w:t>组织机构</w:t>
      </w:r>
    </w:p>
    <w:p>
      <w:pPr>
        <w:ind w:firstLine="480"/>
        <w:rPr>
          <w:rFonts w:ascii="仿宋" w:hAnsi="仿宋" w:eastAsia="仿宋"/>
        </w:rPr>
      </w:pPr>
      <w:r>
        <w:rPr>
          <w:rFonts w:ascii="仿宋" w:hAnsi="仿宋" w:eastAsia="仿宋"/>
        </w:rPr>
        <w:t>根据《中华人民共和国水土保持法》，水土保持方案报水行政主管部门批准后，由建设单位负责组织实施。为保证水土保持方案的顺利实施，在工程筹建期，建设单位即应指定专人负责水土保持方案的委托编制、报批工作，并在工程建设和运行期负责工程后续水土保持的全面实施工作。</w:t>
      </w:r>
    </w:p>
    <w:p>
      <w:pPr>
        <w:ind w:left="480" w:leftChars="200" w:firstLine="0" w:firstLineChars="0"/>
        <w:rPr>
          <w:rFonts w:ascii="仿宋" w:hAnsi="仿宋" w:eastAsia="仿宋"/>
        </w:rPr>
      </w:pPr>
      <w:r>
        <w:rPr>
          <w:rFonts w:hint="eastAsia" w:ascii="仿宋" w:hAnsi="仿宋" w:eastAsia="仿宋"/>
        </w:rPr>
        <w:t>（2）</w:t>
      </w:r>
      <w:r>
        <w:rPr>
          <w:rFonts w:ascii="仿宋" w:hAnsi="仿宋" w:eastAsia="仿宋"/>
        </w:rPr>
        <w:t>工作职责</w:t>
      </w:r>
    </w:p>
    <w:p>
      <w:pPr>
        <w:ind w:firstLine="480"/>
        <w:rPr>
          <w:rFonts w:ascii="仿宋" w:hAnsi="仿宋" w:eastAsia="仿宋"/>
        </w:rPr>
      </w:pPr>
      <w:r>
        <w:rPr>
          <w:rFonts w:hint="eastAsia" w:ascii="仿宋" w:hAnsi="仿宋" w:eastAsia="仿宋"/>
        </w:rPr>
        <w:t>①</w:t>
      </w:r>
      <w:r>
        <w:rPr>
          <w:rFonts w:ascii="仿宋" w:hAnsi="仿宋" w:eastAsia="仿宋"/>
        </w:rPr>
        <w:t>认真贯彻、执行水土保持工作方针，确保水土保持工程安全，充分发挥水土保持工程效益。</w:t>
      </w:r>
    </w:p>
    <w:p>
      <w:pPr>
        <w:ind w:firstLine="480"/>
        <w:rPr>
          <w:rFonts w:ascii="仿宋" w:hAnsi="仿宋" w:eastAsia="仿宋"/>
        </w:rPr>
      </w:pPr>
      <w:r>
        <w:rPr>
          <w:rFonts w:hint="eastAsia" w:ascii="仿宋" w:hAnsi="仿宋" w:eastAsia="仿宋"/>
        </w:rPr>
        <w:t>②</w:t>
      </w:r>
      <w:r>
        <w:rPr>
          <w:rFonts w:ascii="仿宋" w:hAnsi="仿宋" w:eastAsia="仿宋"/>
        </w:rPr>
        <w:t>建立水土保持目标责任制，把水土保持列为工程进度、质量考核的内容之一，按季度向水行政主管部门报告水土流失治理情况，并制定水土保持措施详细实施计划。</w:t>
      </w:r>
    </w:p>
    <w:p>
      <w:pPr>
        <w:ind w:firstLine="480"/>
        <w:rPr>
          <w:rFonts w:ascii="仿宋" w:hAnsi="仿宋" w:eastAsia="仿宋"/>
        </w:rPr>
      </w:pPr>
      <w:r>
        <w:rPr>
          <w:rFonts w:hint="eastAsia" w:ascii="仿宋" w:hAnsi="仿宋" w:eastAsia="仿宋"/>
        </w:rPr>
        <w:t>③</w:t>
      </w:r>
      <w:r>
        <w:rPr>
          <w:rFonts w:ascii="仿宋" w:hAnsi="仿宋" w:eastAsia="仿宋"/>
        </w:rPr>
        <w:t>工程施工期间，负责与设计、施工、监理单位保持联系，协调好水土保持工程与主体工程的关系，确保水土保持工程的正常开展和顺利进行，并按时竣工，最大限度减少人为造成的水土流失和对生态环境的破坏。</w:t>
      </w:r>
    </w:p>
    <w:p>
      <w:pPr>
        <w:ind w:firstLine="480"/>
        <w:rPr>
          <w:rFonts w:ascii="仿宋" w:hAnsi="仿宋" w:eastAsia="仿宋"/>
        </w:rPr>
      </w:pPr>
      <w:r>
        <w:rPr>
          <w:rFonts w:hint="eastAsia" w:ascii="仿宋" w:hAnsi="仿宋" w:eastAsia="仿宋"/>
        </w:rPr>
        <w:t>④</w:t>
      </w:r>
      <w:r>
        <w:rPr>
          <w:rFonts w:ascii="仿宋" w:hAnsi="仿宋" w:eastAsia="仿宋"/>
        </w:rPr>
        <w:t>深入工程现场进行检查和观测，掌握工程施工和运行期间的水土流失状况及其防治措施落实状况，为有关部门决策提供基础资料。</w:t>
      </w:r>
    </w:p>
    <w:p>
      <w:pPr>
        <w:ind w:firstLine="480"/>
        <w:rPr>
          <w:rFonts w:ascii="仿宋" w:hAnsi="仿宋" w:eastAsia="仿宋"/>
        </w:rPr>
      </w:pPr>
      <w:r>
        <w:rPr>
          <w:rFonts w:hint="eastAsia" w:ascii="仿宋" w:hAnsi="仿宋" w:eastAsia="仿宋"/>
        </w:rPr>
        <w:t>⑤</w:t>
      </w:r>
      <w:r>
        <w:rPr>
          <w:rFonts w:ascii="仿宋" w:hAnsi="仿宋" w:eastAsia="仿宋"/>
        </w:rPr>
        <w:t>建立、健全各项档案，积累、分析整编资料，为水土保持工程验收提供相关资料。</w:t>
      </w:r>
    </w:p>
    <w:p>
      <w:pPr>
        <w:pStyle w:val="6"/>
        <w:rPr>
          <w:rFonts w:ascii="仿宋" w:hAnsi="仿宋" w:eastAsia="仿宋"/>
        </w:rPr>
      </w:pPr>
      <w:r>
        <w:rPr>
          <w:rFonts w:hint="eastAsia" w:ascii="仿宋" w:hAnsi="仿宋" w:eastAsia="仿宋"/>
        </w:rPr>
        <w:t>8.1.2 管理措施</w:t>
      </w:r>
      <w:bookmarkEnd w:id="419"/>
    </w:p>
    <w:p>
      <w:pPr>
        <w:ind w:left="480" w:leftChars="200" w:firstLine="0" w:firstLineChars="0"/>
        <w:rPr>
          <w:rFonts w:ascii="仿宋" w:hAnsi="仿宋" w:eastAsia="仿宋"/>
        </w:rPr>
      </w:pPr>
      <w:bookmarkStart w:id="420" w:name="_Toc31206"/>
      <w:bookmarkStart w:id="421" w:name="_Toc33362539"/>
      <w:bookmarkStart w:id="422" w:name="_Toc34641664"/>
      <w:bookmarkStart w:id="423" w:name="_Toc8255"/>
      <w:bookmarkStart w:id="424" w:name="_Toc987"/>
      <w:bookmarkStart w:id="425" w:name="_Toc48656957"/>
      <w:bookmarkStart w:id="426" w:name="_Toc14767214"/>
      <w:bookmarkStart w:id="427" w:name="_Toc3829"/>
      <w:r>
        <w:rPr>
          <w:rFonts w:hint="eastAsia" w:ascii="仿宋" w:hAnsi="仿宋" w:eastAsia="仿宋"/>
        </w:rPr>
        <w:t>（1）</w:t>
      </w:r>
      <w:r>
        <w:rPr>
          <w:rFonts w:ascii="仿宋" w:hAnsi="仿宋" w:eastAsia="仿宋"/>
        </w:rPr>
        <w:t>水土保持管理目标</w:t>
      </w:r>
    </w:p>
    <w:p>
      <w:pPr>
        <w:ind w:firstLine="480"/>
        <w:rPr>
          <w:rFonts w:ascii="仿宋" w:hAnsi="仿宋" w:eastAsia="仿宋"/>
        </w:rPr>
      </w:pPr>
      <w:r>
        <w:rPr>
          <w:rFonts w:hint="eastAsia" w:ascii="仿宋" w:hAnsi="仿宋" w:eastAsia="仿宋"/>
        </w:rPr>
        <w:t>①</w:t>
      </w:r>
      <w:r>
        <w:rPr>
          <w:rFonts w:ascii="仿宋" w:hAnsi="仿宋" w:eastAsia="仿宋"/>
        </w:rPr>
        <w:t>严格依照有关水土保持相关法律、法规的规定开展水土保持工作，保证水土保持措施按照水土保持方案及其批复、水土保持各个阶段设计的要求实施。</w:t>
      </w:r>
    </w:p>
    <w:p>
      <w:pPr>
        <w:ind w:firstLine="480"/>
        <w:rPr>
          <w:rFonts w:ascii="仿宋" w:hAnsi="仿宋" w:eastAsia="仿宋"/>
        </w:rPr>
      </w:pPr>
      <w:r>
        <w:rPr>
          <w:rFonts w:hint="eastAsia" w:ascii="仿宋" w:hAnsi="仿宋" w:eastAsia="仿宋"/>
        </w:rPr>
        <w:t>②</w:t>
      </w:r>
      <w:r>
        <w:rPr>
          <w:rFonts w:ascii="仿宋" w:hAnsi="仿宋" w:eastAsia="仿宋"/>
        </w:rPr>
        <w:t>工程建设过程中，使水土流失得到有效防治，各项水土保持设施正常、有效运行。</w:t>
      </w:r>
    </w:p>
    <w:p>
      <w:pPr>
        <w:ind w:firstLine="480"/>
        <w:rPr>
          <w:rFonts w:ascii="仿宋" w:hAnsi="仿宋" w:eastAsia="仿宋"/>
        </w:rPr>
      </w:pPr>
      <w:r>
        <w:rPr>
          <w:rFonts w:hint="eastAsia" w:ascii="仿宋" w:hAnsi="仿宋" w:eastAsia="仿宋"/>
        </w:rPr>
        <w:t>③</w:t>
      </w:r>
      <w:r>
        <w:rPr>
          <w:rFonts w:ascii="仿宋" w:hAnsi="仿宋" w:eastAsia="仿宋"/>
        </w:rPr>
        <w:t>工程设计水平年水土保持效益指标均达到</w:t>
      </w:r>
      <w:r>
        <w:rPr>
          <w:rFonts w:hint="eastAsia" w:ascii="仿宋" w:hAnsi="仿宋" w:eastAsia="仿宋"/>
        </w:rPr>
        <w:t>方案既定</w:t>
      </w:r>
      <w:r>
        <w:rPr>
          <w:rFonts w:ascii="仿宋" w:hAnsi="仿宋" w:eastAsia="仿宋"/>
        </w:rPr>
        <w:t>防治目标。</w:t>
      </w:r>
    </w:p>
    <w:p>
      <w:pPr>
        <w:ind w:left="480" w:leftChars="200" w:firstLine="0" w:firstLineChars="0"/>
        <w:rPr>
          <w:rFonts w:ascii="仿宋" w:hAnsi="仿宋" w:eastAsia="仿宋"/>
        </w:rPr>
      </w:pPr>
      <w:r>
        <w:rPr>
          <w:rFonts w:hint="eastAsia" w:ascii="仿宋" w:hAnsi="仿宋" w:eastAsia="仿宋"/>
        </w:rPr>
        <w:t>（2）</w:t>
      </w:r>
      <w:r>
        <w:rPr>
          <w:rFonts w:ascii="仿宋" w:hAnsi="仿宋" w:eastAsia="仿宋"/>
        </w:rPr>
        <w:t>水土保持管理体系</w:t>
      </w:r>
    </w:p>
    <w:p>
      <w:pPr>
        <w:ind w:firstLine="480"/>
        <w:rPr>
          <w:rFonts w:ascii="仿宋" w:hAnsi="仿宋" w:eastAsia="仿宋"/>
        </w:rPr>
      </w:pPr>
      <w:r>
        <w:rPr>
          <w:rFonts w:ascii="仿宋" w:hAnsi="仿宋" w:eastAsia="仿宋"/>
        </w:rPr>
        <w:t>内部管理由建设单位执行国家和地方有关水土保持的法律、法规、政策，落实水土保持措施。建设单位在建设期间对施工单位建设施工活动负责，保证水土保持措施组织实施后，达到开发建设项目水土保持相关要求。建设期相关管理组织体系由建设单位、施工单位、设计单位和监理单位共同组成，其中由建设单位负责，设计单位、监理单位、施工等单位配合，通过各自成立的相应机构对工程建设的环境保护和水土保持负责。工程建成后，由建设单位负责，对各项水土保持设施进行管理维护，保证其有效地发挥水土保持功能。</w:t>
      </w:r>
    </w:p>
    <w:p>
      <w:pPr>
        <w:ind w:left="480" w:leftChars="200" w:firstLine="0" w:firstLineChars="0"/>
        <w:rPr>
          <w:rFonts w:ascii="仿宋" w:hAnsi="仿宋" w:eastAsia="仿宋"/>
        </w:rPr>
      </w:pPr>
      <w:r>
        <w:rPr>
          <w:rFonts w:hint="eastAsia" w:ascii="仿宋" w:hAnsi="仿宋" w:eastAsia="仿宋"/>
        </w:rPr>
        <w:t>（3）</w:t>
      </w:r>
      <w:r>
        <w:rPr>
          <w:rFonts w:ascii="仿宋" w:hAnsi="仿宋" w:eastAsia="仿宋"/>
        </w:rPr>
        <w:t>水土保持管理措施</w:t>
      </w:r>
    </w:p>
    <w:p>
      <w:pPr>
        <w:ind w:left="480" w:leftChars="200" w:firstLine="0" w:firstLineChars="0"/>
        <w:rPr>
          <w:rFonts w:ascii="仿宋" w:hAnsi="仿宋" w:eastAsia="仿宋"/>
        </w:rPr>
      </w:pPr>
      <w:r>
        <w:rPr>
          <w:rFonts w:ascii="仿宋" w:hAnsi="仿宋" w:eastAsia="仿宋"/>
        </w:rPr>
        <w:t>在日常管理工作中，建设单位主要采取以下管理措施：</w:t>
      </w:r>
    </w:p>
    <w:p>
      <w:pPr>
        <w:ind w:firstLine="480"/>
        <w:rPr>
          <w:rFonts w:ascii="仿宋" w:hAnsi="仿宋" w:eastAsia="仿宋"/>
        </w:rPr>
      </w:pPr>
      <w:r>
        <w:rPr>
          <w:rFonts w:hint="eastAsia" w:ascii="仿宋" w:hAnsi="仿宋" w:eastAsia="仿宋"/>
        </w:rPr>
        <w:t>①</w:t>
      </w:r>
      <w:r>
        <w:rPr>
          <w:rFonts w:ascii="仿宋" w:hAnsi="仿宋" w:eastAsia="仿宋"/>
        </w:rPr>
        <w:t>切实加强领导，真正做到责任、措施和投入“三到位”，认真组织水土保持相关内容和要求的实施和管理，定期检查，接受社会监督。</w:t>
      </w:r>
    </w:p>
    <w:p>
      <w:pPr>
        <w:ind w:firstLine="480"/>
        <w:rPr>
          <w:rFonts w:ascii="仿宋" w:hAnsi="仿宋" w:eastAsia="仿宋"/>
        </w:rPr>
      </w:pPr>
      <w:r>
        <w:rPr>
          <w:rFonts w:hint="eastAsia" w:ascii="仿宋" w:hAnsi="仿宋" w:eastAsia="仿宋"/>
        </w:rPr>
        <w:t>②</w:t>
      </w:r>
      <w:r>
        <w:rPr>
          <w:rFonts w:ascii="仿宋" w:hAnsi="仿宋" w:eastAsia="仿宋"/>
        </w:rPr>
        <w:t>加强水土保持的宣传、教育工作，开展水土保持相关培训，提高施工承包商和各级管理人员的水土保持意识。</w:t>
      </w:r>
    </w:p>
    <w:p>
      <w:pPr>
        <w:ind w:firstLine="480"/>
        <w:rPr>
          <w:rFonts w:ascii="仿宋" w:hAnsi="仿宋" w:eastAsia="仿宋"/>
        </w:rPr>
      </w:pPr>
      <w:r>
        <w:rPr>
          <w:rFonts w:hint="eastAsia" w:ascii="仿宋" w:hAnsi="仿宋"/>
          <w:lang w:eastAsia="zh-CN"/>
        </w:rPr>
        <w:t>③</w:t>
      </w:r>
      <w:r>
        <w:rPr>
          <w:rFonts w:ascii="仿宋" w:hAnsi="仿宋" w:eastAsia="仿宋"/>
        </w:rPr>
        <w:t>制定水土保持措施实施进度，加强计划管理，以确保各项水土保持措施与主体工程同步实施，同时完成，同时验收。</w:t>
      </w:r>
    </w:p>
    <w:p>
      <w:pPr>
        <w:pStyle w:val="4"/>
        <w:jc w:val="both"/>
        <w:rPr>
          <w:rFonts w:ascii="仿宋" w:hAnsi="仿宋" w:eastAsia="仿宋"/>
        </w:rPr>
      </w:pPr>
      <w:bookmarkStart w:id="428" w:name="_Toc9466"/>
      <w:bookmarkStart w:id="429" w:name="_Toc76045834"/>
      <w:bookmarkStart w:id="430" w:name="_Toc9883"/>
      <w:r>
        <w:rPr>
          <w:rFonts w:hint="eastAsia" w:ascii="仿宋" w:hAnsi="仿宋" w:eastAsia="仿宋"/>
        </w:rPr>
        <w:t>8.2 水土保持监测</w:t>
      </w:r>
      <w:bookmarkEnd w:id="420"/>
      <w:bookmarkEnd w:id="421"/>
      <w:bookmarkEnd w:id="422"/>
      <w:bookmarkEnd w:id="423"/>
      <w:bookmarkEnd w:id="424"/>
      <w:bookmarkEnd w:id="425"/>
      <w:bookmarkEnd w:id="426"/>
      <w:bookmarkEnd w:id="427"/>
      <w:bookmarkEnd w:id="428"/>
      <w:bookmarkEnd w:id="429"/>
      <w:bookmarkEnd w:id="430"/>
    </w:p>
    <w:p>
      <w:pPr>
        <w:ind w:firstLine="480"/>
        <w:rPr>
          <w:rFonts w:ascii="仿宋" w:hAnsi="仿宋" w:eastAsia="仿宋"/>
        </w:rPr>
      </w:pPr>
      <w:bookmarkStart w:id="431" w:name="_Toc22894"/>
      <w:bookmarkStart w:id="432" w:name="_Toc14767215"/>
      <w:bookmarkStart w:id="433" w:name="_Toc29410"/>
      <w:bookmarkStart w:id="434" w:name="_Toc27146"/>
      <w:bookmarkStart w:id="435" w:name="_Toc33362540"/>
      <w:bookmarkStart w:id="436" w:name="_Toc24484"/>
      <w:bookmarkStart w:id="437" w:name="_Toc48656958"/>
      <w:bookmarkStart w:id="438" w:name="_Toc34641665"/>
      <w:r>
        <w:rPr>
          <w:rFonts w:hint="eastAsia" w:ascii="仿宋" w:hAnsi="仿宋" w:eastAsia="仿宋"/>
        </w:rPr>
        <w:t>根据《生产建设项目水土保持监测与评价标准》（GB/T 51240-2018）及《水利部办公厅关于进一步加强生产建设项目水土保持监测工作的通知（办水保〔2020〕161号）》相关规定，编制水土保持方案报告的生产建设项目，应由项目建设单位自行组织或委托具有相应能力水平的水土保持监测单位，依法开展水土保持监测工作。监测步骤和要求必须按照相关行业标准进行，监测设备必须正常运行。监测人员必须具备操作监测仪器的能力和相关专业知识，能对监测结果进行整理、分析和评价。</w:t>
      </w:r>
    </w:p>
    <w:p>
      <w:pPr>
        <w:ind w:firstLine="480"/>
        <w:rPr>
          <w:rFonts w:ascii="仿宋" w:hAnsi="仿宋" w:eastAsia="仿宋"/>
        </w:rPr>
      </w:pPr>
      <w:r>
        <w:rPr>
          <w:rFonts w:hint="eastAsia" w:ascii="仿宋" w:hAnsi="仿宋" w:eastAsia="仿宋"/>
        </w:rPr>
        <w:t>本项目暂未</w:t>
      </w:r>
      <w:r>
        <w:rPr>
          <w:rFonts w:hint="eastAsia" w:ascii="仿宋" w:hAnsi="仿宋"/>
          <w:lang w:eastAsia="zh-CN"/>
        </w:rPr>
        <w:t>竣工</w:t>
      </w:r>
      <w:r>
        <w:rPr>
          <w:rFonts w:hint="eastAsia" w:ascii="仿宋" w:hAnsi="仿宋" w:eastAsia="仿宋"/>
        </w:rPr>
        <w:t>，监测单位接受委托后应在</w:t>
      </w:r>
      <w:r>
        <w:rPr>
          <w:rFonts w:hint="eastAsia" w:ascii="仿宋" w:hAnsi="仿宋"/>
          <w:lang w:eastAsia="zh-CN"/>
        </w:rPr>
        <w:t>竣工前</w:t>
      </w:r>
      <w:r>
        <w:rPr>
          <w:rFonts w:hint="eastAsia" w:ascii="仿宋" w:hAnsi="仿宋" w:eastAsia="仿宋"/>
        </w:rPr>
        <w:t>及时进场开展一次全面的背景值监测，根据相关技术标准和本方案编制《生产建设项目水土保持监测实施方案》。监测期间应按时编制《生产建设项目水土保持监测季度报告表》，定期对监测的原始资料进行系统的汇总、整编，编制季度水土保持监测报告表。工程建设过程中若发生严重水土流失灾害事件，应于事件发生后一周内完成专项报告。监测工作完成后，应编制《生产建设项目水土保持监测总结报告》。</w:t>
      </w:r>
    </w:p>
    <w:p>
      <w:pPr>
        <w:ind w:firstLine="480"/>
        <w:rPr>
          <w:rFonts w:ascii="仿宋" w:hAnsi="仿宋" w:eastAsia="仿宋"/>
        </w:rPr>
      </w:pPr>
      <w:r>
        <w:rPr>
          <w:rFonts w:hint="eastAsia" w:ascii="仿宋" w:hAnsi="仿宋" w:eastAsia="仿宋"/>
        </w:rPr>
        <w:t>根据《水利部关于进一步深化“放管服”改革全面加强水土保持监管的意见》（水保〔2019〕160号）及《水利部办公厅关于进一步加强生产建设项目水土保持监测工作的通知（办水保〔2020〕161号）》，</w:t>
      </w:r>
      <w:r>
        <w:rPr>
          <w:rFonts w:hint="eastAsia" w:ascii="仿宋" w:hAnsi="仿宋" w:eastAsia="仿宋"/>
          <w:szCs w:val="24"/>
        </w:rPr>
        <w:t>监测单位应根据扰动土地情况、水土流失状况、防治成效及水土流失危害等监测结果，对生产建设项目水土流失防治情况进行三色评价，在监测季报和总结报告中明确“绿黄红”三色评价结论。</w:t>
      </w:r>
      <w:bookmarkStart w:id="439" w:name="_Hlk48254877"/>
      <w:r>
        <w:rPr>
          <w:rFonts w:hint="eastAsia" w:ascii="仿宋" w:hAnsi="仿宋" w:eastAsia="仿宋"/>
        </w:rPr>
        <w:t>监测成果应当公开，生产建设单位应当在工程建设期间将水土保持监测季报在其官方网站公开，同时在建设单位项目部和施工项目部公开。</w:t>
      </w:r>
    </w:p>
    <w:p>
      <w:pPr>
        <w:ind w:firstLine="480"/>
        <w:rPr>
          <w:rFonts w:ascii="仿宋" w:hAnsi="仿宋" w:eastAsia="仿宋"/>
        </w:rPr>
      </w:pPr>
      <w:r>
        <w:rPr>
          <w:rFonts w:hint="eastAsia" w:ascii="仿宋" w:hAnsi="仿宋" w:eastAsia="仿宋"/>
        </w:rPr>
        <w:t>生产建设单位要根据水土保持监测成果和三色评价结论，不断优化水土保持设计，加强施工组织管理，对监测发现的问题建立台账，及时组织有关参建单位采取整改措施，有效控制新增水土流失。对监测总结报告三色评价结论为“红”色的，务必整改到位并发挥效益后，方可通过水土保持设施自主验收。水行政主管部门对监测季报和总结报告三色评价结论为“红”色的项目，应进行现场检查和验收核查。</w:t>
      </w:r>
      <w:bookmarkEnd w:id="439"/>
      <w:r>
        <w:rPr>
          <w:rFonts w:hint="eastAsia" w:ascii="仿宋" w:hAnsi="仿宋" w:eastAsia="仿宋"/>
        </w:rPr>
        <w:t>对存在未按时报送监测季报、监测季报不符合规定、作出不实三色评价结论以及监测工作未按有关规定开展等情形的，依法追究生产建设单位、监测单位及相关人员的责任，列入水土保持“重点关注名单”及“黑名单”。</w:t>
      </w:r>
    </w:p>
    <w:p>
      <w:pPr>
        <w:pStyle w:val="4"/>
        <w:jc w:val="both"/>
        <w:rPr>
          <w:rFonts w:ascii="仿宋" w:hAnsi="仿宋" w:eastAsia="仿宋"/>
        </w:rPr>
      </w:pPr>
      <w:bookmarkStart w:id="440" w:name="_Toc11201"/>
      <w:bookmarkStart w:id="441" w:name="_Toc23068"/>
      <w:bookmarkStart w:id="442" w:name="_Toc76045835"/>
      <w:r>
        <w:rPr>
          <w:rFonts w:hint="eastAsia" w:ascii="仿宋" w:hAnsi="仿宋" w:eastAsia="仿宋"/>
        </w:rPr>
        <w:t>8.3 水土保持监理</w:t>
      </w:r>
      <w:bookmarkEnd w:id="431"/>
      <w:bookmarkEnd w:id="432"/>
      <w:bookmarkEnd w:id="433"/>
      <w:bookmarkEnd w:id="434"/>
      <w:bookmarkEnd w:id="435"/>
      <w:bookmarkEnd w:id="436"/>
      <w:bookmarkEnd w:id="437"/>
      <w:bookmarkEnd w:id="438"/>
      <w:bookmarkEnd w:id="440"/>
      <w:bookmarkEnd w:id="441"/>
      <w:bookmarkEnd w:id="442"/>
    </w:p>
    <w:p>
      <w:pPr>
        <w:ind w:firstLine="480"/>
        <w:rPr>
          <w:rFonts w:hint="eastAsia" w:ascii="仿宋" w:hAnsi="仿宋" w:eastAsia="仿宋"/>
        </w:rPr>
      </w:pPr>
      <w:r>
        <w:rPr>
          <w:rFonts w:hint="eastAsia" w:ascii="仿宋" w:hAnsi="仿宋" w:eastAsia="仿宋"/>
        </w:rPr>
        <w:t>根据《水利部关于进一步深化“放管服”改革全面加强水土保持监管的意见》（水保[2019]160号），本项目占地面积小于20h</w:t>
      </w:r>
      <w:r>
        <w:rPr>
          <w:rFonts w:hint="eastAsia" w:ascii="仿宋" w:hAnsi="仿宋"/>
          <w:lang w:eastAsia="zh-CN"/>
        </w:rPr>
        <w:t>m²</w:t>
      </w:r>
      <w:r>
        <w:rPr>
          <w:rFonts w:hint="eastAsia" w:ascii="仿宋" w:hAnsi="仿宋" w:eastAsia="仿宋"/>
        </w:rPr>
        <w:t>且挖填土石方小于20万</w:t>
      </w:r>
      <w:r>
        <w:rPr>
          <w:rFonts w:hint="eastAsia" w:ascii="仿宋" w:hAnsi="仿宋"/>
          <w:lang w:eastAsia="zh-CN"/>
        </w:rPr>
        <w:t>m³</w:t>
      </w:r>
      <w:r>
        <w:rPr>
          <w:rFonts w:hint="eastAsia" w:ascii="仿宋" w:hAnsi="仿宋" w:eastAsia="仿宋"/>
        </w:rPr>
        <w:t>，因此本项目水土保持监理可纳入主体工程监理工作中，不单独设置水土保持监理，相应的水土保持监理费用纳入主体工程监理费中。</w:t>
      </w:r>
    </w:p>
    <w:p>
      <w:pPr>
        <w:ind w:firstLine="480"/>
        <w:rPr>
          <w:rFonts w:ascii="仿宋" w:hAnsi="仿宋" w:eastAsia="仿宋"/>
        </w:rPr>
      </w:pPr>
      <w:r>
        <w:rPr>
          <w:rFonts w:hint="eastAsia" w:ascii="仿宋" w:hAnsi="仿宋" w:eastAsia="仿宋"/>
        </w:rPr>
        <w:t>本项目暂未</w:t>
      </w:r>
      <w:r>
        <w:rPr>
          <w:rFonts w:hint="eastAsia" w:ascii="仿宋" w:hAnsi="仿宋"/>
          <w:lang w:eastAsia="zh-CN"/>
        </w:rPr>
        <w:t>完工</w:t>
      </w:r>
      <w:r>
        <w:rPr>
          <w:rFonts w:ascii="仿宋" w:hAnsi="仿宋" w:eastAsia="仿宋"/>
        </w:rPr>
        <w:t>，</w:t>
      </w:r>
      <w:r>
        <w:rPr>
          <w:rFonts w:hint="eastAsia" w:ascii="仿宋" w:hAnsi="仿宋"/>
          <w:lang w:eastAsia="zh-CN"/>
        </w:rPr>
        <w:t>暂</w:t>
      </w:r>
      <w:r>
        <w:rPr>
          <w:rFonts w:ascii="仿宋" w:hAnsi="仿宋" w:eastAsia="仿宋"/>
        </w:rPr>
        <w:t>未开展水土保持监理工作，</w:t>
      </w:r>
      <w:r>
        <w:rPr>
          <w:rFonts w:hint="eastAsia" w:ascii="仿宋" w:hAnsi="仿宋" w:eastAsia="仿宋"/>
        </w:rPr>
        <w:t>由于</w:t>
      </w:r>
      <w:r>
        <w:rPr>
          <w:rFonts w:ascii="仿宋" w:hAnsi="仿宋" w:eastAsia="仿宋"/>
        </w:rPr>
        <w:t>项目建设规模较小，建议建设单位</w:t>
      </w:r>
      <w:r>
        <w:rPr>
          <w:rFonts w:hint="eastAsia" w:ascii="仿宋" w:hAnsi="仿宋" w:eastAsia="仿宋"/>
        </w:rPr>
        <w:t>依法</w:t>
      </w:r>
      <w:r>
        <w:rPr>
          <w:rFonts w:ascii="仿宋" w:hAnsi="仿宋" w:eastAsia="仿宋"/>
        </w:rPr>
        <w:t>委托</w:t>
      </w:r>
      <w:r>
        <w:rPr>
          <w:rFonts w:hint="eastAsia" w:ascii="仿宋" w:hAnsi="仿宋" w:eastAsia="仿宋"/>
        </w:rPr>
        <w:t>主体监理单位按照水土保持监理标准和规范依法一并开展水土保持工程施工监理工作</w:t>
      </w:r>
      <w:r>
        <w:rPr>
          <w:rFonts w:ascii="仿宋" w:hAnsi="仿宋" w:eastAsia="仿宋"/>
        </w:rPr>
        <w:t>，</w:t>
      </w:r>
      <w:r>
        <w:rPr>
          <w:rFonts w:hint="eastAsia" w:ascii="仿宋" w:hAnsi="仿宋" w:eastAsia="仿宋"/>
        </w:rPr>
        <w:t>按照“三同时”原则，保证</w:t>
      </w:r>
      <w:r>
        <w:rPr>
          <w:rFonts w:ascii="仿宋" w:hAnsi="仿宋" w:eastAsia="仿宋"/>
        </w:rPr>
        <w:t>各项施工活动的水土保持措施与工程建设同步实施</w:t>
      </w:r>
      <w:r>
        <w:rPr>
          <w:rFonts w:hint="eastAsia" w:ascii="仿宋" w:hAnsi="仿宋" w:eastAsia="仿宋"/>
        </w:rPr>
        <w:t>，保障</w:t>
      </w:r>
      <w:r>
        <w:rPr>
          <w:rFonts w:ascii="仿宋" w:hAnsi="仿宋" w:eastAsia="仿宋"/>
        </w:rPr>
        <w:t>水土保持措施实施进度及工程质量。</w:t>
      </w:r>
    </w:p>
    <w:p>
      <w:pPr>
        <w:pStyle w:val="4"/>
        <w:jc w:val="both"/>
        <w:rPr>
          <w:rFonts w:ascii="仿宋" w:hAnsi="仿宋" w:eastAsia="仿宋"/>
        </w:rPr>
      </w:pPr>
      <w:bookmarkStart w:id="443" w:name="_Toc34641666"/>
      <w:bookmarkStart w:id="444" w:name="_Toc48656959"/>
      <w:bookmarkStart w:id="445" w:name="_Toc13086"/>
      <w:bookmarkStart w:id="446" w:name="_Toc31561"/>
      <w:bookmarkStart w:id="447" w:name="_Toc3558"/>
      <w:bookmarkStart w:id="448" w:name="_Toc1863"/>
      <w:bookmarkStart w:id="449" w:name="_Toc33362541"/>
      <w:bookmarkStart w:id="450" w:name="_Toc76045836"/>
      <w:bookmarkStart w:id="451" w:name="_Toc14767216"/>
      <w:bookmarkStart w:id="452" w:name="_Toc10969"/>
      <w:bookmarkStart w:id="453" w:name="_Toc1174"/>
      <w:r>
        <w:rPr>
          <w:rFonts w:hint="eastAsia" w:ascii="仿宋" w:hAnsi="仿宋" w:eastAsia="仿宋"/>
        </w:rPr>
        <w:t>8.4 水土保持工程施工</w:t>
      </w:r>
      <w:bookmarkEnd w:id="443"/>
      <w:bookmarkEnd w:id="444"/>
      <w:bookmarkEnd w:id="445"/>
      <w:bookmarkEnd w:id="446"/>
      <w:bookmarkEnd w:id="447"/>
      <w:bookmarkEnd w:id="448"/>
      <w:bookmarkEnd w:id="449"/>
      <w:bookmarkEnd w:id="450"/>
      <w:bookmarkEnd w:id="451"/>
      <w:bookmarkEnd w:id="452"/>
      <w:bookmarkEnd w:id="453"/>
    </w:p>
    <w:p>
      <w:pPr>
        <w:ind w:firstLine="480"/>
        <w:rPr>
          <w:rFonts w:hint="eastAsia" w:ascii="仿宋" w:hAnsi="仿宋" w:eastAsia="仿宋"/>
        </w:rPr>
      </w:pPr>
      <w:r>
        <w:rPr>
          <w:rFonts w:hint="eastAsia" w:ascii="仿宋" w:hAnsi="仿宋" w:eastAsia="仿宋"/>
        </w:rPr>
        <w:t>水土保持工程施工应严格按照设计文件和技术标准规范，采取正确的施工方案，合理组织施工，确保施工质量。施工期应严格落实各项质量管理制度和措施，明确责任，真正做到质量人人有责，任何质量工作均有对应的标准和专人管理。在施工过程中，应做到全方位的控制管理。安全生产是施工过程中的要害和关键，现场设施的更新和完善，规范的管理和员工素质。施工单位应认真贯彻落实</w:t>
      </w:r>
      <w:r>
        <w:rPr>
          <w:rFonts w:ascii="仿宋" w:hAnsi="仿宋" w:eastAsia="仿宋"/>
        </w:rPr>
        <w:t>“</w:t>
      </w:r>
      <w:r>
        <w:rPr>
          <w:rFonts w:hint="eastAsia" w:ascii="仿宋" w:hAnsi="仿宋" w:eastAsia="仿宋"/>
        </w:rPr>
        <w:t>安全第一、预防为主、以人为本、综合治理”的安全工作方针，严格执行安全生产法律法规，层层制定并落实各级安全生产责任制，突出现场管理，保障安全投入等手段。</w:t>
      </w:r>
    </w:p>
    <w:p>
      <w:pPr>
        <w:pStyle w:val="4"/>
        <w:rPr>
          <w:rFonts w:ascii="仿宋" w:hAnsi="仿宋" w:eastAsia="仿宋"/>
        </w:rPr>
      </w:pPr>
      <w:bookmarkStart w:id="454" w:name="_Toc76045837"/>
      <w:bookmarkStart w:id="455" w:name="_Toc29497"/>
      <w:bookmarkStart w:id="456" w:name="_Toc48656960"/>
      <w:bookmarkStart w:id="457" w:name="_Toc13038"/>
      <w:bookmarkStart w:id="458" w:name="_Toc32102"/>
      <w:bookmarkStart w:id="459" w:name="_Toc9690"/>
      <w:bookmarkStart w:id="460" w:name="_Toc9593"/>
      <w:bookmarkStart w:id="461" w:name="_Toc34641667"/>
      <w:r>
        <w:rPr>
          <w:rFonts w:ascii="仿宋" w:hAnsi="仿宋" w:eastAsia="仿宋"/>
        </w:rPr>
        <w:t>8.</w:t>
      </w:r>
      <w:r>
        <w:rPr>
          <w:rFonts w:hint="eastAsia" w:ascii="仿宋" w:hAnsi="仿宋" w:eastAsia="仿宋"/>
        </w:rPr>
        <w:t>5</w:t>
      </w:r>
      <w:r>
        <w:rPr>
          <w:rFonts w:ascii="仿宋" w:hAnsi="仿宋" w:eastAsia="仿宋"/>
        </w:rPr>
        <w:t xml:space="preserve"> </w:t>
      </w:r>
      <w:r>
        <w:rPr>
          <w:rFonts w:hint="eastAsia" w:ascii="仿宋" w:hAnsi="仿宋" w:eastAsia="仿宋"/>
        </w:rPr>
        <w:t>水土保持设施验收</w:t>
      </w:r>
      <w:bookmarkEnd w:id="403"/>
      <w:bookmarkEnd w:id="404"/>
      <w:bookmarkEnd w:id="405"/>
      <w:bookmarkEnd w:id="406"/>
      <w:bookmarkEnd w:id="407"/>
      <w:bookmarkEnd w:id="454"/>
      <w:bookmarkEnd w:id="455"/>
      <w:bookmarkEnd w:id="456"/>
      <w:bookmarkEnd w:id="457"/>
      <w:bookmarkEnd w:id="458"/>
      <w:bookmarkEnd w:id="459"/>
      <w:bookmarkEnd w:id="460"/>
      <w:bookmarkEnd w:id="461"/>
    </w:p>
    <w:p>
      <w:pPr>
        <w:ind w:firstLine="480"/>
        <w:rPr>
          <w:rFonts w:hint="eastAsia" w:ascii="仿宋" w:hAnsi="仿宋" w:eastAsia="仿宋"/>
        </w:rPr>
      </w:pPr>
      <w:r>
        <w:rPr>
          <w:rFonts w:hint="eastAsia" w:ascii="仿宋" w:hAnsi="仿宋" w:eastAsia="仿宋"/>
        </w:rPr>
        <w:t>本方案经批准后，建设单位应按照批复的水土保持方案，及时落实后期植物的管理与水土保持设施养护措施。</w:t>
      </w:r>
    </w:p>
    <w:p>
      <w:pPr>
        <w:ind w:firstLine="480"/>
        <w:rPr>
          <w:rFonts w:ascii="仿宋" w:hAnsi="仿宋" w:eastAsia="仿宋"/>
        </w:rPr>
      </w:pPr>
      <w:r>
        <w:rPr>
          <w:rFonts w:hint="eastAsia" w:ascii="仿宋" w:hAnsi="仿宋" w:eastAsia="仿宋"/>
        </w:rPr>
        <w:t>根据《水利部关于加强事中事后监管规范生产建设项目水土保持设施自主验收得通知》（水保[2017]365号）和《四川省水利厅转发水利部关于加强事中事后监管规范生产建设项目水土保持设施自主验收的通知》（川水函[2018]887号），待项目完工后，建设单位应当及时开展水土保持设施自主验收工作，验收合格后送水行政主管部门报备，项目方可投入使用。</w:t>
      </w:r>
    </w:p>
    <w:p>
      <w:pPr>
        <w:ind w:firstLine="480"/>
        <w:rPr>
          <w:rFonts w:hint="eastAsia" w:ascii="仿宋" w:hAnsi="仿宋" w:eastAsia="仿宋"/>
          <w:szCs w:val="20"/>
        </w:rPr>
      </w:pPr>
      <w:r>
        <w:rPr>
          <w:rFonts w:hint="eastAsia" w:ascii="仿宋" w:hAnsi="仿宋" w:eastAsia="仿宋"/>
        </w:rPr>
        <w:t>根据《水利部关于进一步深化“放管服”改革全面加强水土保持监管的意见》（水保[2019]160号），本项目编制的水土保持方案报告表实行承诺制管理，实行承诺制管理的项目，验收时只需要提交水土保持设施验收鉴定书，其水土保持设施验收组中应当有至少一位省级水行政主管部门水土保持方案专家库专家。</w:t>
      </w:r>
    </w:p>
    <w:p>
      <w:pPr>
        <w:pStyle w:val="2"/>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GB2312">
    <w:altName w:val="仿宋"/>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rPr>
        <w:rFonts w:hint="eastAsia"/>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adjustRightInd/>
      <w:spacing w:line="240" w:lineRule="auto"/>
      <w:ind w:firstLine="361"/>
      <w:rPr>
        <w:rFonts w:hint="default" w:ascii="仿宋_GB2312" w:hAnsi="仿宋_GB2312" w:eastAsia="仿宋_GB2312" w:cs="仿宋_GB2312"/>
        <w:b w:val="0"/>
        <w:bCs w:val="0"/>
        <w:sz w:val="21"/>
        <w:szCs w:val="22"/>
        <w:lang w:eastAsia="zh-CN"/>
      </w:rPr>
    </w:pPr>
    <w:r>
      <w:rPr>
        <w:rFonts w:hint="default" w:ascii="仿宋_GB2312" w:hAnsi="仿宋_GB2312" w:eastAsia="仿宋_GB2312" w:cs="仿宋_GB2312"/>
        <w:b w:val="0"/>
        <w:bCs w:val="0"/>
        <w:sz w:val="21"/>
        <w:szCs w:val="22"/>
        <w:lang w:eastAsia="zh-CN"/>
      </w:rPr>
      <w:fldChar w:fldCharType="begin"/>
    </w:r>
    <w:r>
      <w:rPr>
        <w:rFonts w:hint="default" w:ascii="仿宋_GB2312" w:hAnsi="仿宋_GB2312" w:eastAsia="仿宋_GB2312" w:cs="仿宋_GB2312"/>
        <w:b w:val="0"/>
        <w:bCs w:val="0"/>
        <w:sz w:val="21"/>
        <w:szCs w:val="22"/>
        <w:lang w:eastAsia="zh-CN"/>
      </w:rPr>
      <w:instrText xml:space="preserve"> STYLEREF "标题 1"  \* MERGEFORMAT </w:instrText>
    </w:r>
    <w:r>
      <w:rPr>
        <w:rFonts w:hint="default" w:ascii="仿宋_GB2312" w:hAnsi="仿宋_GB2312" w:eastAsia="仿宋_GB2312" w:cs="仿宋_GB2312"/>
        <w:b w:val="0"/>
        <w:bCs w:val="0"/>
        <w:sz w:val="21"/>
        <w:szCs w:val="22"/>
        <w:lang w:eastAsia="zh-CN"/>
      </w:rPr>
      <w:fldChar w:fldCharType="separate"/>
    </w:r>
    <w:r>
      <w:rPr>
        <w:rFonts w:hint="default" w:ascii="仿宋_GB2312" w:hAnsi="仿宋_GB2312" w:eastAsia="仿宋_GB2312" w:cs="仿宋_GB2312"/>
        <w:b w:val="0"/>
        <w:bCs w:val="0"/>
        <w:sz w:val="21"/>
        <w:szCs w:val="22"/>
        <w:lang w:eastAsia="zh-CN"/>
      </w:rPr>
      <w:t>7水土保持投资概算及效益分析</w:t>
    </w:r>
    <w:r>
      <w:rPr>
        <w:rFonts w:hint="default" w:ascii="仿宋_GB2312" w:hAnsi="仿宋_GB2312" w:eastAsia="仿宋_GB2312" w:cs="仿宋_GB2312"/>
        <w:b w:val="0"/>
        <w:bCs w:val="0"/>
        <w:sz w:val="21"/>
        <w:szCs w:val="22"/>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9FEF7"/>
    <w:multiLevelType w:val="singleLevel"/>
    <w:tmpl w:val="8869FEF7"/>
    <w:lvl w:ilvl="0" w:tentative="0">
      <w:start w:val="1"/>
      <w:numFmt w:val="decimal"/>
      <w:suff w:val="nothing"/>
      <w:lvlText w:val="%1、"/>
      <w:lvlJc w:val="left"/>
    </w:lvl>
  </w:abstractNum>
  <w:abstractNum w:abstractNumId="1">
    <w:nsid w:val="DFE0F432"/>
    <w:multiLevelType w:val="multilevel"/>
    <w:tmpl w:val="DFE0F432"/>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F2ED5C5C"/>
    <w:multiLevelType w:val="singleLevel"/>
    <w:tmpl w:val="F2ED5C5C"/>
    <w:lvl w:ilvl="0" w:tentative="0">
      <w:start w:val="1"/>
      <w:numFmt w:val="decimal"/>
      <w:suff w:val="nothing"/>
      <w:lvlText w:val="%1、"/>
      <w:lvlJc w:val="left"/>
    </w:lvl>
  </w:abstractNum>
  <w:abstractNum w:abstractNumId="3">
    <w:nsid w:val="F84D0A0E"/>
    <w:multiLevelType w:val="singleLevel"/>
    <w:tmpl w:val="F84D0A0E"/>
    <w:lvl w:ilvl="0" w:tentative="0">
      <w:start w:val="1"/>
      <w:numFmt w:val="decimal"/>
      <w:suff w:val="nothing"/>
      <w:lvlText w:val="（%1）"/>
      <w:lvlJc w:val="left"/>
    </w:lvl>
  </w:abstractNum>
  <w:abstractNum w:abstractNumId="4">
    <w:nsid w:val="1D16169C"/>
    <w:multiLevelType w:val="singleLevel"/>
    <w:tmpl w:val="1D16169C"/>
    <w:lvl w:ilvl="0" w:tentative="0">
      <w:start w:val="1"/>
      <w:numFmt w:val="decimal"/>
      <w:suff w:val="nothing"/>
      <w:lvlText w:val="%1、"/>
      <w:lvlJc w:val="left"/>
      <w:pPr>
        <w:ind w:left="240" w:leftChars="0" w:firstLine="0" w:firstLineChars="0"/>
      </w:pPr>
    </w:lvl>
  </w:abstractNum>
  <w:abstractNum w:abstractNumId="5">
    <w:nsid w:val="3A228BDB"/>
    <w:multiLevelType w:val="singleLevel"/>
    <w:tmpl w:val="3A228BDB"/>
    <w:lvl w:ilvl="0" w:tentative="0">
      <w:start w:val="1"/>
      <w:numFmt w:val="decimal"/>
      <w:suff w:val="nothing"/>
      <w:lvlText w:val="%1、"/>
      <w:lvlJc w:val="left"/>
    </w:lvl>
  </w:abstractNum>
  <w:abstractNum w:abstractNumId="6">
    <w:nsid w:val="435F6A8B"/>
    <w:multiLevelType w:val="singleLevel"/>
    <w:tmpl w:val="435F6A8B"/>
    <w:lvl w:ilvl="0" w:tentative="0">
      <w:start w:val="1"/>
      <w:numFmt w:val="decimal"/>
      <w:suff w:val="nothing"/>
      <w:lvlText w:val="（%1）"/>
      <w:lvlJc w:val="left"/>
    </w:lvl>
  </w:abstractNum>
  <w:abstractNum w:abstractNumId="7">
    <w:nsid w:val="7A9D9058"/>
    <w:multiLevelType w:val="singleLevel"/>
    <w:tmpl w:val="7A9D9058"/>
    <w:lvl w:ilvl="0" w:tentative="0">
      <w:start w:val="2"/>
      <w:numFmt w:val="chineseCounting"/>
      <w:suff w:val="nothing"/>
      <w:lvlText w:val="%1、"/>
      <w:lvlJc w:val="left"/>
      <w:rPr>
        <w:rFonts w:hint="eastAsia"/>
      </w:rPr>
    </w:lvl>
  </w:abstractNum>
  <w:num w:numId="1">
    <w:abstractNumId w:val="7"/>
  </w:num>
  <w:num w:numId="2">
    <w:abstractNumId w:val="6"/>
  </w:num>
  <w:num w:numId="3">
    <w:abstractNumId w:val="1"/>
  </w:num>
  <w:num w:numId="4">
    <w:abstractNumId w:val="3"/>
  </w:num>
  <w:num w:numId="5">
    <w:abstractNumId w:val="0"/>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13E53"/>
    <w:rsid w:val="01530D7D"/>
    <w:rsid w:val="01801798"/>
    <w:rsid w:val="01E542F5"/>
    <w:rsid w:val="02242E3A"/>
    <w:rsid w:val="02B16EDF"/>
    <w:rsid w:val="044048A7"/>
    <w:rsid w:val="04FC72C8"/>
    <w:rsid w:val="05AD0D93"/>
    <w:rsid w:val="05B70F4E"/>
    <w:rsid w:val="06182126"/>
    <w:rsid w:val="065420AC"/>
    <w:rsid w:val="06635A44"/>
    <w:rsid w:val="06975C23"/>
    <w:rsid w:val="06DF10E8"/>
    <w:rsid w:val="07DC6814"/>
    <w:rsid w:val="07E041B6"/>
    <w:rsid w:val="085D53F3"/>
    <w:rsid w:val="08F00623"/>
    <w:rsid w:val="09011CB1"/>
    <w:rsid w:val="090B43CE"/>
    <w:rsid w:val="092557C1"/>
    <w:rsid w:val="09E44D02"/>
    <w:rsid w:val="0A9D3B2A"/>
    <w:rsid w:val="0A9F0C35"/>
    <w:rsid w:val="0AA14CAE"/>
    <w:rsid w:val="0B9E0E76"/>
    <w:rsid w:val="0C6A787F"/>
    <w:rsid w:val="0C9878B2"/>
    <w:rsid w:val="0D85211A"/>
    <w:rsid w:val="0DC7216F"/>
    <w:rsid w:val="0F011E74"/>
    <w:rsid w:val="0F0F69C0"/>
    <w:rsid w:val="10267EB6"/>
    <w:rsid w:val="10BB7AC3"/>
    <w:rsid w:val="12D8102A"/>
    <w:rsid w:val="131704CA"/>
    <w:rsid w:val="13980D5D"/>
    <w:rsid w:val="13BF7A65"/>
    <w:rsid w:val="14314073"/>
    <w:rsid w:val="14FE64F6"/>
    <w:rsid w:val="15F76673"/>
    <w:rsid w:val="165151AF"/>
    <w:rsid w:val="16992EF6"/>
    <w:rsid w:val="16A07C51"/>
    <w:rsid w:val="17B73702"/>
    <w:rsid w:val="18534AB1"/>
    <w:rsid w:val="189447F9"/>
    <w:rsid w:val="18A25F98"/>
    <w:rsid w:val="18A5757A"/>
    <w:rsid w:val="18E44BAA"/>
    <w:rsid w:val="19025E99"/>
    <w:rsid w:val="199D7294"/>
    <w:rsid w:val="1A480EC4"/>
    <w:rsid w:val="1A8146C7"/>
    <w:rsid w:val="1BAD31D1"/>
    <w:rsid w:val="1CAF7F90"/>
    <w:rsid w:val="1CC46311"/>
    <w:rsid w:val="1CF0485A"/>
    <w:rsid w:val="1D17530E"/>
    <w:rsid w:val="1D3863A6"/>
    <w:rsid w:val="1D7E1608"/>
    <w:rsid w:val="1DC214FF"/>
    <w:rsid w:val="20407ACA"/>
    <w:rsid w:val="20B57256"/>
    <w:rsid w:val="22AF2905"/>
    <w:rsid w:val="23132B40"/>
    <w:rsid w:val="2395496B"/>
    <w:rsid w:val="23AC45B6"/>
    <w:rsid w:val="23C54FBE"/>
    <w:rsid w:val="23F632CA"/>
    <w:rsid w:val="24D869AA"/>
    <w:rsid w:val="26F837E2"/>
    <w:rsid w:val="278E0F04"/>
    <w:rsid w:val="295913EB"/>
    <w:rsid w:val="29B94BBF"/>
    <w:rsid w:val="2AAE197F"/>
    <w:rsid w:val="2B9A1052"/>
    <w:rsid w:val="2C06697E"/>
    <w:rsid w:val="2C101094"/>
    <w:rsid w:val="2C370F2B"/>
    <w:rsid w:val="2C595D12"/>
    <w:rsid w:val="2CC56F4B"/>
    <w:rsid w:val="2CE41248"/>
    <w:rsid w:val="2D06619B"/>
    <w:rsid w:val="2D961A45"/>
    <w:rsid w:val="2E50434A"/>
    <w:rsid w:val="2E7A394E"/>
    <w:rsid w:val="2EC11217"/>
    <w:rsid w:val="2F383465"/>
    <w:rsid w:val="2FD22CAA"/>
    <w:rsid w:val="30153423"/>
    <w:rsid w:val="306B59B7"/>
    <w:rsid w:val="30CF4552"/>
    <w:rsid w:val="32014667"/>
    <w:rsid w:val="32892FC6"/>
    <w:rsid w:val="32B4405A"/>
    <w:rsid w:val="33BF2DCB"/>
    <w:rsid w:val="357F4690"/>
    <w:rsid w:val="36FE0E4F"/>
    <w:rsid w:val="37650740"/>
    <w:rsid w:val="37A1442F"/>
    <w:rsid w:val="37F20D43"/>
    <w:rsid w:val="397573A5"/>
    <w:rsid w:val="3A1932EE"/>
    <w:rsid w:val="3A8D79F7"/>
    <w:rsid w:val="3BB25098"/>
    <w:rsid w:val="3C452681"/>
    <w:rsid w:val="3CC36CD5"/>
    <w:rsid w:val="3CFD63A8"/>
    <w:rsid w:val="3D035831"/>
    <w:rsid w:val="3D9F6C34"/>
    <w:rsid w:val="3E7657E8"/>
    <w:rsid w:val="3F2A1C96"/>
    <w:rsid w:val="3F676353"/>
    <w:rsid w:val="3F74166A"/>
    <w:rsid w:val="401706BF"/>
    <w:rsid w:val="403534E2"/>
    <w:rsid w:val="4068679F"/>
    <w:rsid w:val="41B11696"/>
    <w:rsid w:val="427E4219"/>
    <w:rsid w:val="44DB3CC6"/>
    <w:rsid w:val="45351928"/>
    <w:rsid w:val="45EB5DBB"/>
    <w:rsid w:val="468920AA"/>
    <w:rsid w:val="47B0604F"/>
    <w:rsid w:val="47E77A28"/>
    <w:rsid w:val="482B3283"/>
    <w:rsid w:val="48505D8F"/>
    <w:rsid w:val="494D7AE7"/>
    <w:rsid w:val="49B853D3"/>
    <w:rsid w:val="49D40AA6"/>
    <w:rsid w:val="4A4C39CB"/>
    <w:rsid w:val="4B2B09DC"/>
    <w:rsid w:val="4B362C27"/>
    <w:rsid w:val="4C051675"/>
    <w:rsid w:val="4C7B193D"/>
    <w:rsid w:val="4C945EF2"/>
    <w:rsid w:val="4C987B04"/>
    <w:rsid w:val="4CDA04DB"/>
    <w:rsid w:val="4D2276FC"/>
    <w:rsid w:val="4DCD28F6"/>
    <w:rsid w:val="4DF16B3D"/>
    <w:rsid w:val="4E187CA5"/>
    <w:rsid w:val="4EAE5635"/>
    <w:rsid w:val="4F2926BF"/>
    <w:rsid w:val="4F394092"/>
    <w:rsid w:val="4F9C7620"/>
    <w:rsid w:val="503D12C0"/>
    <w:rsid w:val="50853453"/>
    <w:rsid w:val="51C922C7"/>
    <w:rsid w:val="5307565B"/>
    <w:rsid w:val="532F38FA"/>
    <w:rsid w:val="54B96C31"/>
    <w:rsid w:val="55BA1B81"/>
    <w:rsid w:val="5768458B"/>
    <w:rsid w:val="5822144C"/>
    <w:rsid w:val="58C823E0"/>
    <w:rsid w:val="590933B5"/>
    <w:rsid w:val="590B3D03"/>
    <w:rsid w:val="59B53CD5"/>
    <w:rsid w:val="5A0E0986"/>
    <w:rsid w:val="5B747064"/>
    <w:rsid w:val="5BC60BCE"/>
    <w:rsid w:val="5BD127E6"/>
    <w:rsid w:val="5C3C0612"/>
    <w:rsid w:val="5CC02BEC"/>
    <w:rsid w:val="5CC14F79"/>
    <w:rsid w:val="5DA244DA"/>
    <w:rsid w:val="5DD14A87"/>
    <w:rsid w:val="5E375BFF"/>
    <w:rsid w:val="5FAF0E99"/>
    <w:rsid w:val="5FEE6FCB"/>
    <w:rsid w:val="5FFA179E"/>
    <w:rsid w:val="60C20B85"/>
    <w:rsid w:val="612645D1"/>
    <w:rsid w:val="613C7904"/>
    <w:rsid w:val="61494B12"/>
    <w:rsid w:val="624C687E"/>
    <w:rsid w:val="62853361"/>
    <w:rsid w:val="62AD7D64"/>
    <w:rsid w:val="647162DE"/>
    <w:rsid w:val="65585E2D"/>
    <w:rsid w:val="65D30749"/>
    <w:rsid w:val="65E64FFD"/>
    <w:rsid w:val="666D0403"/>
    <w:rsid w:val="67067B1F"/>
    <w:rsid w:val="678638E8"/>
    <w:rsid w:val="69326F36"/>
    <w:rsid w:val="694C6599"/>
    <w:rsid w:val="69B36CCD"/>
    <w:rsid w:val="69C22AFF"/>
    <w:rsid w:val="6A107FCE"/>
    <w:rsid w:val="6A8C4956"/>
    <w:rsid w:val="6B645EE8"/>
    <w:rsid w:val="6D037170"/>
    <w:rsid w:val="6E6D4D99"/>
    <w:rsid w:val="6F0A2452"/>
    <w:rsid w:val="6FC84BCF"/>
    <w:rsid w:val="70D54127"/>
    <w:rsid w:val="70F151F3"/>
    <w:rsid w:val="71EC5DC9"/>
    <w:rsid w:val="72455358"/>
    <w:rsid w:val="72F32276"/>
    <w:rsid w:val="73814BBD"/>
    <w:rsid w:val="73DB4C4F"/>
    <w:rsid w:val="74116F35"/>
    <w:rsid w:val="744E174A"/>
    <w:rsid w:val="74C30A76"/>
    <w:rsid w:val="74D107C9"/>
    <w:rsid w:val="751334AB"/>
    <w:rsid w:val="75753BB7"/>
    <w:rsid w:val="75E42E3B"/>
    <w:rsid w:val="75EB5175"/>
    <w:rsid w:val="76564200"/>
    <w:rsid w:val="76771296"/>
    <w:rsid w:val="76F04820"/>
    <w:rsid w:val="78552119"/>
    <w:rsid w:val="78E647ED"/>
    <w:rsid w:val="799E19C9"/>
    <w:rsid w:val="79FE7835"/>
    <w:rsid w:val="7A060836"/>
    <w:rsid w:val="7A2E4D72"/>
    <w:rsid w:val="7A5D7B28"/>
    <w:rsid w:val="7AB80136"/>
    <w:rsid w:val="7AE16197"/>
    <w:rsid w:val="7C870F63"/>
    <w:rsid w:val="7C89717B"/>
    <w:rsid w:val="7CF22543"/>
    <w:rsid w:val="7DAD50C1"/>
    <w:rsid w:val="7DC44CB3"/>
    <w:rsid w:val="7E7D1F13"/>
    <w:rsid w:val="7E9C747D"/>
    <w:rsid w:val="7F1862B3"/>
    <w:rsid w:val="7F31463F"/>
    <w:rsid w:val="7FC25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left"/>
    </w:pPr>
    <w:rPr>
      <w:rFonts w:ascii="Times New Roman" w:hAnsi="Times New Roman" w:eastAsia="仿宋" w:cs="Times New Roman"/>
      <w:kern w:val="2"/>
      <w:sz w:val="24"/>
      <w:lang w:val="en-US" w:eastAsia="zh-CN" w:bidi="ar-SA"/>
    </w:rPr>
  </w:style>
  <w:style w:type="paragraph" w:styleId="3">
    <w:name w:val="heading 1"/>
    <w:basedOn w:val="1"/>
    <w:next w:val="1"/>
    <w:link w:val="32"/>
    <w:qFormat/>
    <w:uiPriority w:val="9"/>
    <w:pPr>
      <w:spacing w:beforeLines="0" w:afterLines="0"/>
      <w:ind w:firstLine="0" w:firstLineChars="0"/>
      <w:jc w:val="center"/>
      <w:outlineLvl w:val="0"/>
    </w:pPr>
    <w:rPr>
      <w:rFonts w:hint="default"/>
      <w:b/>
      <w:kern w:val="44"/>
      <w:sz w:val="32"/>
      <w:szCs w:val="24"/>
    </w:rPr>
  </w:style>
  <w:style w:type="paragraph" w:styleId="4">
    <w:name w:val="heading 2"/>
    <w:basedOn w:val="1"/>
    <w:next w:val="5"/>
    <w:unhideWhenUsed/>
    <w:qFormat/>
    <w:uiPriority w:val="0"/>
    <w:pPr>
      <w:outlineLvl w:val="1"/>
    </w:pPr>
    <w:rPr>
      <w:spacing w:val="6"/>
      <w:sz w:val="30"/>
    </w:rPr>
  </w:style>
  <w:style w:type="paragraph" w:styleId="6">
    <w:name w:val="heading 3"/>
    <w:basedOn w:val="1"/>
    <w:next w:val="1"/>
    <w:unhideWhenUsed/>
    <w:qFormat/>
    <w:uiPriority w:val="0"/>
    <w:pPr>
      <w:keepNext/>
      <w:keepLines/>
      <w:spacing w:line="360" w:lineRule="auto"/>
      <w:outlineLvl w:val="2"/>
    </w:pPr>
    <w:rPr>
      <w:b/>
      <w:spacing w:val="6"/>
      <w:sz w:val="28"/>
    </w:rPr>
  </w:style>
  <w:style w:type="paragraph" w:styleId="7">
    <w:name w:val="heading 4"/>
    <w:basedOn w:val="1"/>
    <w:next w:val="1"/>
    <w:qFormat/>
    <w:uiPriority w:val="9"/>
    <w:pPr>
      <w:keepNext/>
      <w:spacing w:beforeLines="0" w:afterLines="0"/>
      <w:ind w:firstLine="0" w:firstLineChars="0"/>
      <w:jc w:val="left"/>
      <w:outlineLvl w:val="3"/>
    </w:pPr>
    <w:rPr>
      <w:rFonts w:hint="default"/>
      <w:b/>
      <w:sz w:val="24"/>
      <w:szCs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3"/>
    <w:basedOn w:val="1"/>
    <w:unhideWhenUsed/>
    <w:qFormat/>
    <w:uiPriority w:val="0"/>
    <w:pPr>
      <w:spacing w:after="120"/>
    </w:pPr>
    <w:rPr>
      <w:sz w:val="16"/>
      <w:szCs w:val="16"/>
    </w:rPr>
  </w:style>
  <w:style w:type="paragraph" w:styleId="5">
    <w:name w:val="Normal Indent"/>
    <w:basedOn w:val="1"/>
    <w:qFormat/>
    <w:uiPriority w:val="0"/>
    <w:pPr>
      <w:ind w:firstLine="420"/>
    </w:pPr>
    <w:rPr>
      <w:kern w:val="1"/>
      <w:sz w:val="24"/>
    </w:rPr>
  </w:style>
  <w:style w:type="paragraph" w:styleId="8">
    <w:name w:val="annotation text"/>
    <w:basedOn w:val="1"/>
    <w:unhideWhenUsed/>
    <w:qFormat/>
    <w:uiPriority w:val="0"/>
    <w:pPr>
      <w:spacing w:beforeLines="0" w:afterLines="0"/>
      <w:jc w:val="left"/>
    </w:pPr>
    <w:rPr>
      <w:rFonts w:hint="default"/>
      <w:sz w:val="24"/>
      <w:szCs w:val="24"/>
    </w:rPr>
  </w:style>
  <w:style w:type="paragraph" w:styleId="9">
    <w:name w:val="Body Text"/>
    <w:basedOn w:val="1"/>
    <w:next w:val="10"/>
    <w:qFormat/>
    <w:uiPriority w:val="0"/>
    <w:pPr>
      <w:spacing w:after="120"/>
    </w:pPr>
    <w:rPr>
      <w:rFonts w:ascii="Times New Roman" w:hAnsi="Times New Roman" w:eastAsia="仿宋"/>
      <w:sz w:val="24"/>
    </w:rPr>
  </w:style>
  <w:style w:type="paragraph" w:styleId="10">
    <w:name w:val="Body Text Indent"/>
    <w:basedOn w:val="1"/>
    <w:next w:val="1"/>
    <w:qFormat/>
    <w:uiPriority w:val="99"/>
    <w:pPr>
      <w:spacing w:after="120"/>
      <w:ind w:left="420" w:leftChars="200"/>
    </w:pPr>
    <w:rPr>
      <w:rFonts w:eastAsia="宋体"/>
    </w:rPr>
  </w:style>
  <w:style w:type="paragraph" w:styleId="11">
    <w:name w:val="List 2"/>
    <w:basedOn w:val="1"/>
    <w:qFormat/>
    <w:uiPriority w:val="0"/>
    <w:pPr>
      <w:ind w:left="100" w:leftChars="200" w:hanging="200" w:hangingChars="200"/>
    </w:pPr>
    <w:rPr>
      <w:rFonts w:ascii="Times New Roman" w:hAnsi="Times New Roman" w:eastAsia="宋体" w:cs="Times New Roman"/>
      <w:szCs w:val="24"/>
    </w:rPr>
  </w:style>
  <w:style w:type="paragraph" w:styleId="12">
    <w:name w:val="Plain Text"/>
    <w:basedOn w:val="1"/>
    <w:unhideWhenUsed/>
    <w:qFormat/>
    <w:uiPriority w:val="0"/>
    <w:pPr>
      <w:adjustRightInd/>
      <w:snapToGrid/>
      <w:spacing w:beforeLines="0" w:afterLines="0"/>
      <w:ind w:firstLine="640"/>
    </w:pPr>
    <w:rPr>
      <w:rFonts w:hint="default" w:eastAsia="宋体"/>
      <w:sz w:val="28"/>
      <w:szCs w:val="24"/>
    </w:rPr>
  </w:style>
  <w:style w:type="paragraph" w:styleId="13">
    <w:name w:val="footer"/>
    <w:basedOn w:val="1"/>
    <w:unhideWhenUsed/>
    <w:qFormat/>
    <w:uiPriority w:val="99"/>
    <w:pPr>
      <w:tabs>
        <w:tab w:val="center" w:pos="4153"/>
        <w:tab w:val="right" w:pos="8306"/>
      </w:tabs>
      <w:spacing w:beforeLines="0" w:afterLines="0"/>
      <w:jc w:val="left"/>
    </w:pPr>
    <w:rPr>
      <w:rFonts w:hint="default"/>
      <w:sz w:val="18"/>
      <w:szCs w:val="24"/>
    </w:rPr>
  </w:style>
  <w:style w:type="paragraph" w:styleId="14">
    <w:name w:val="header"/>
    <w:basedOn w:val="1"/>
    <w:next w:val="1"/>
    <w:qFormat/>
    <w:uiPriority w:val="0"/>
    <w:pPr>
      <w:pBdr>
        <w:bottom w:val="single" w:color="auto" w:sz="6" w:space="1"/>
      </w:pBdr>
      <w:tabs>
        <w:tab w:val="center" w:pos="4153"/>
        <w:tab w:val="right" w:pos="8306"/>
      </w:tabs>
      <w:jc w:val="center"/>
    </w:pPr>
    <w:rPr>
      <w:sz w:val="18"/>
    </w:rPr>
  </w:style>
  <w:style w:type="paragraph" w:styleId="15">
    <w:name w:val="toc 1"/>
    <w:basedOn w:val="1"/>
    <w:next w:val="1"/>
    <w:qFormat/>
    <w:uiPriority w:val="0"/>
  </w:style>
  <w:style w:type="paragraph" w:styleId="16">
    <w:name w:val="List"/>
    <w:basedOn w:val="1"/>
    <w:qFormat/>
    <w:uiPriority w:val="0"/>
    <w:pPr>
      <w:jc w:val="center"/>
    </w:pPr>
  </w:style>
  <w:style w:type="paragraph" w:styleId="17">
    <w:name w:val="toc 2"/>
    <w:basedOn w:val="1"/>
    <w:next w:val="1"/>
    <w:qFormat/>
    <w:uiPriority w:val="0"/>
    <w:pPr>
      <w:ind w:left="420" w:leftChars="200"/>
    </w:pPr>
  </w:style>
  <w:style w:type="paragraph" w:styleId="18">
    <w:name w:val="Body Text 2"/>
    <w:basedOn w:val="1"/>
    <w:qFormat/>
    <w:uiPriority w:val="0"/>
    <w:pPr>
      <w:spacing w:after="120" w:line="480" w:lineRule="auto"/>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表格内容"/>
    <w:basedOn w:val="1"/>
    <w:qFormat/>
    <w:uiPriority w:val="0"/>
    <w:pPr>
      <w:jc w:val="center"/>
    </w:pPr>
    <w:rPr>
      <w:sz w:val="21"/>
    </w:rPr>
  </w:style>
  <w:style w:type="paragraph" w:customStyle="1" w:styleId="23">
    <w:name w:val="BZDL1"/>
    <w:basedOn w:val="1"/>
    <w:qFormat/>
    <w:uiPriority w:val="0"/>
    <w:pPr>
      <w:spacing w:before="156" w:beforeLines="50" w:after="156" w:afterLines="50" w:line="480" w:lineRule="exact"/>
      <w:ind w:firstLine="200" w:firstLineChars="200"/>
    </w:pPr>
    <w:rPr>
      <w:rFonts w:ascii="仿宋_GB2312"/>
      <w:sz w:val="28"/>
      <w:szCs w:val="28"/>
    </w:rPr>
  </w:style>
  <w:style w:type="paragraph" w:customStyle="1" w:styleId="24">
    <w:name w:val="*正文"/>
    <w:basedOn w:val="1"/>
    <w:unhideWhenUsed/>
    <w:qFormat/>
    <w:uiPriority w:val="0"/>
    <w:pPr>
      <w:spacing w:beforeLines="0" w:afterLines="0"/>
      <w:ind w:firstLine="480"/>
    </w:pPr>
    <w:rPr>
      <w:rFonts w:hint="default"/>
      <w:sz w:val="24"/>
      <w:szCs w:val="24"/>
    </w:rPr>
  </w:style>
  <w:style w:type="paragraph" w:customStyle="1" w:styleId="25">
    <w:name w:val="表格标题"/>
    <w:next w:val="1"/>
    <w:link w:val="49"/>
    <w:qFormat/>
    <w:uiPriority w:val="0"/>
    <w:pPr>
      <w:adjustRightInd w:val="0"/>
      <w:snapToGrid w:val="0"/>
      <w:jc w:val="center"/>
    </w:pPr>
    <w:rPr>
      <w:rFonts w:ascii="Times New Roman" w:hAnsi="Times New Roman" w:eastAsia="仿宋_GB2312" w:cs="Times New Roman"/>
      <w:b/>
      <w:kern w:val="2"/>
      <w:sz w:val="21"/>
      <w:szCs w:val="21"/>
      <w:lang w:val="en-US" w:eastAsia="zh-CN" w:bidi="ar-SA"/>
    </w:rPr>
  </w:style>
  <w:style w:type="paragraph" w:customStyle="1" w:styleId="26">
    <w:name w:val="慧慧样式"/>
    <w:qFormat/>
    <w:uiPriority w:val="0"/>
    <w:pPr>
      <w:spacing w:line="360" w:lineRule="auto"/>
      <w:ind w:firstLine="723" w:firstLineChars="200"/>
      <w:jc w:val="both"/>
    </w:pPr>
    <w:rPr>
      <w:rFonts w:ascii="Times New Roman" w:hAnsi="Times New Roman" w:eastAsia="仿宋_GB2312" w:cs="Times New Roman"/>
      <w:color w:val="000000"/>
      <w:sz w:val="24"/>
      <w:szCs w:val="28"/>
      <w:lang w:val="en-US" w:eastAsia="zh-CN" w:bidi="ar-SA"/>
    </w:rPr>
  </w:style>
  <w:style w:type="character" w:customStyle="1" w:styleId="27">
    <w:name w:val="图表标题 Char"/>
    <w:link w:val="28"/>
    <w:qFormat/>
    <w:uiPriority w:val="0"/>
    <w:rPr>
      <w:b/>
      <w:bCs/>
      <w:color w:val="000000"/>
      <w:sz w:val="21"/>
      <w:szCs w:val="20"/>
    </w:rPr>
  </w:style>
  <w:style w:type="paragraph" w:customStyle="1" w:styleId="28">
    <w:name w:val="图表标题"/>
    <w:basedOn w:val="29"/>
    <w:next w:val="30"/>
    <w:link w:val="27"/>
    <w:qFormat/>
    <w:uiPriority w:val="0"/>
    <w:pPr>
      <w:ind w:firstLine="211" w:firstLineChars="100"/>
      <w:outlineLvl w:val="4"/>
    </w:pPr>
    <w:rPr>
      <w:b/>
      <w:bCs/>
      <w:color w:val="000000"/>
      <w:sz w:val="21"/>
      <w:szCs w:val="20"/>
    </w:rPr>
  </w:style>
  <w:style w:type="paragraph" w:customStyle="1" w:styleId="29">
    <w:name w:val="表格文字"/>
    <w:basedOn w:val="18"/>
    <w:next w:val="1"/>
    <w:qFormat/>
    <w:uiPriority w:val="99"/>
    <w:pPr>
      <w:widowControl/>
      <w:jc w:val="center"/>
    </w:pPr>
    <w:rPr>
      <w:rFonts w:eastAsia="宋体"/>
      <w:kern w:val="0"/>
      <w:sz w:val="21"/>
      <w:szCs w:val="21"/>
    </w:rPr>
  </w:style>
  <w:style w:type="paragraph" w:customStyle="1" w:styleId="30">
    <w:name w:val="表头"/>
    <w:basedOn w:val="1"/>
    <w:qFormat/>
    <w:uiPriority w:val="0"/>
    <w:pPr>
      <w:adjustRightInd/>
      <w:snapToGrid/>
      <w:spacing w:line="240" w:lineRule="auto"/>
      <w:ind w:firstLine="0" w:firstLineChars="0"/>
      <w:jc w:val="left"/>
    </w:pPr>
    <w:rPr>
      <w:rFonts w:eastAsia="仿宋GB2312" w:cs="Times New Roman"/>
      <w:b/>
      <w:bCs/>
      <w:sz w:val="21"/>
    </w:rPr>
  </w:style>
  <w:style w:type="paragraph" w:customStyle="1" w:styleId="31">
    <w:name w:val="表格字体"/>
    <w:basedOn w:val="1"/>
    <w:next w:val="29"/>
    <w:unhideWhenUsed/>
    <w:qFormat/>
    <w:uiPriority w:val="0"/>
    <w:pPr>
      <w:spacing w:beforeLines="0" w:afterLines="0" w:line="240" w:lineRule="auto"/>
      <w:ind w:firstLine="0" w:firstLineChars="0"/>
      <w:jc w:val="center"/>
    </w:pPr>
    <w:rPr>
      <w:rFonts w:hint="default" w:cs="宋体"/>
      <w:sz w:val="21"/>
      <w:szCs w:val="21"/>
    </w:rPr>
  </w:style>
  <w:style w:type="character" w:customStyle="1" w:styleId="32">
    <w:name w:val="标题 1 Char"/>
    <w:link w:val="3"/>
    <w:qFormat/>
    <w:uiPriority w:val="0"/>
    <w:rPr>
      <w:rFonts w:hint="default"/>
      <w:b/>
      <w:kern w:val="44"/>
      <w:sz w:val="32"/>
      <w:szCs w:val="24"/>
    </w:rPr>
  </w:style>
  <w:style w:type="paragraph" w:customStyle="1" w:styleId="33">
    <w:name w:val="标准"/>
    <w:qFormat/>
    <w:uiPriority w:val="0"/>
    <w:pPr>
      <w:widowControl w:val="0"/>
      <w:spacing w:line="500" w:lineRule="exact"/>
      <w:ind w:firstLine="200" w:firstLineChars="200"/>
      <w:jc w:val="both"/>
    </w:pPr>
    <w:rPr>
      <w:rFonts w:ascii="Times New Roman" w:hAnsi="Times New Roman" w:eastAsia="仿宋" w:cs="Times New Roman"/>
      <w:kern w:val="2"/>
      <w:sz w:val="24"/>
      <w:szCs w:val="28"/>
      <w:lang w:val="en-US" w:eastAsia="zh-CN" w:bidi="ar-SA"/>
    </w:rPr>
  </w:style>
  <w:style w:type="paragraph" w:customStyle="1" w:styleId="34">
    <w:name w:val="1正文版式"/>
    <w:basedOn w:val="1"/>
    <w:qFormat/>
    <w:uiPriority w:val="0"/>
    <w:pPr>
      <w:tabs>
        <w:tab w:val="left" w:pos="3514"/>
      </w:tabs>
      <w:spacing w:line="360" w:lineRule="auto"/>
      <w:ind w:firstLine="200" w:firstLineChars="200"/>
    </w:pPr>
    <w:rPr>
      <w:rFonts w:eastAsia="宋体"/>
      <w:szCs w:val="24"/>
    </w:rPr>
  </w:style>
  <w:style w:type="paragraph" w:customStyle="1" w:styleId="35">
    <w:name w:val="1 正文"/>
    <w:basedOn w:val="1"/>
    <w:qFormat/>
    <w:uiPriority w:val="99"/>
    <w:pPr>
      <w:tabs>
        <w:tab w:val="left" w:pos="3514"/>
      </w:tabs>
      <w:spacing w:line="500" w:lineRule="exact"/>
      <w:ind w:firstLine="200" w:firstLineChars="200"/>
    </w:pPr>
  </w:style>
  <w:style w:type="paragraph" w:customStyle="1" w:styleId="36">
    <w:name w:val="慧慧水保"/>
    <w:basedOn w:val="1"/>
    <w:qFormat/>
    <w:uiPriority w:val="0"/>
    <w:pPr>
      <w:spacing w:line="360" w:lineRule="auto"/>
      <w:ind w:firstLine="664" w:firstLineChars="200"/>
    </w:pPr>
  </w:style>
  <w:style w:type="character" w:customStyle="1" w:styleId="37">
    <w:name w:val="明显强调1"/>
    <w:unhideWhenUsed/>
    <w:qFormat/>
    <w:uiPriority w:val="21"/>
    <w:rPr>
      <w:rFonts w:hint="default" w:ascii="Times New Roman" w:hAnsi="Times New Roman" w:eastAsia="仿宋_GB2312"/>
      <w:color w:val="000000"/>
      <w:sz w:val="18"/>
      <w:szCs w:val="24"/>
    </w:rPr>
  </w:style>
  <w:style w:type="paragraph" w:customStyle="1" w:styleId="38">
    <w:name w:val="【正文】"/>
    <w:basedOn w:val="1"/>
    <w:qFormat/>
    <w:uiPriority w:val="0"/>
    <w:pPr>
      <w:spacing w:line="440" w:lineRule="exact"/>
      <w:ind w:firstLine="544"/>
    </w:pPr>
    <w:rPr>
      <w:rFonts w:eastAsia="宋体"/>
      <w:szCs w:val="20"/>
    </w:rPr>
  </w:style>
  <w:style w:type="paragraph" w:customStyle="1" w:styleId="39">
    <w:name w:val="文本"/>
    <w:basedOn w:val="1"/>
    <w:unhideWhenUsed/>
    <w:qFormat/>
    <w:uiPriority w:val="0"/>
    <w:pPr>
      <w:spacing w:beforeLines="0" w:afterLines="0"/>
      <w:ind w:firstLine="200"/>
    </w:pPr>
    <w:rPr>
      <w:rFonts w:hint="default"/>
      <w:color w:val="000000"/>
      <w:kern w:val="0"/>
      <w:sz w:val="24"/>
      <w:szCs w:val="24"/>
    </w:rPr>
  </w:style>
  <w:style w:type="paragraph" w:customStyle="1" w:styleId="40">
    <w:name w:val="仿宋"/>
    <w:basedOn w:val="1"/>
    <w:qFormat/>
    <w:uiPriority w:val="0"/>
    <w:pPr>
      <w:spacing w:line="360" w:lineRule="auto"/>
      <w:ind w:firstLine="643" w:firstLineChars="200"/>
    </w:pPr>
  </w:style>
  <w:style w:type="character" w:customStyle="1" w:styleId="41">
    <w:name w:val="font41"/>
    <w:basedOn w:val="21"/>
    <w:qFormat/>
    <w:uiPriority w:val="0"/>
    <w:rPr>
      <w:rFonts w:hint="default" w:ascii="Times New Roman" w:hAnsi="Times New Roman" w:cs="Times New Roman"/>
      <w:color w:val="000000"/>
      <w:sz w:val="21"/>
      <w:szCs w:val="21"/>
      <w:u w:val="none"/>
      <w:vertAlign w:val="superscript"/>
    </w:rPr>
  </w:style>
  <w:style w:type="character" w:customStyle="1" w:styleId="42">
    <w:name w:val="font61"/>
    <w:basedOn w:val="21"/>
    <w:qFormat/>
    <w:uiPriority w:val="0"/>
    <w:rPr>
      <w:rFonts w:ascii="仿宋_GB2312" w:eastAsia="仿宋_GB2312" w:cs="仿宋_GB2312"/>
      <w:color w:val="000000"/>
      <w:sz w:val="24"/>
      <w:szCs w:val="24"/>
      <w:u w:val="none"/>
    </w:rPr>
  </w:style>
  <w:style w:type="character" w:customStyle="1" w:styleId="43">
    <w:name w:val="font31"/>
    <w:basedOn w:val="21"/>
    <w:qFormat/>
    <w:uiPriority w:val="0"/>
    <w:rPr>
      <w:rFonts w:hint="default" w:ascii="Times New Roman" w:hAnsi="Times New Roman" w:cs="Times New Roman"/>
      <w:color w:val="000000"/>
      <w:sz w:val="24"/>
      <w:szCs w:val="24"/>
      <w:u w:val="none"/>
    </w:rPr>
  </w:style>
  <w:style w:type="paragraph" w:customStyle="1" w:styleId="44">
    <w:name w:val="Char11"/>
    <w:basedOn w:val="1"/>
    <w:qFormat/>
    <w:uiPriority w:val="0"/>
    <w:pPr>
      <w:autoSpaceDE w:val="0"/>
      <w:autoSpaceDN w:val="0"/>
      <w:spacing w:before="50" w:after="50"/>
    </w:pPr>
    <w:rPr>
      <w:color w:val="000000"/>
    </w:rPr>
  </w:style>
  <w:style w:type="paragraph" w:customStyle="1" w:styleId="45">
    <w:name w:val="Char"/>
    <w:basedOn w:val="1"/>
    <w:next w:val="1"/>
    <w:qFormat/>
    <w:uiPriority w:val="0"/>
    <w:pPr>
      <w:autoSpaceDE w:val="0"/>
      <w:autoSpaceDN w:val="0"/>
      <w:spacing w:before="50" w:after="50" w:line="360" w:lineRule="auto"/>
      <w:ind w:firstLine="560" w:firstLineChars="200"/>
    </w:pPr>
    <w:rPr>
      <w:color w:val="000000"/>
    </w:rPr>
  </w:style>
  <w:style w:type="paragraph" w:customStyle="1" w:styleId="46">
    <w:name w:val="慧慧表格"/>
    <w:basedOn w:val="16"/>
    <w:qFormat/>
    <w:uiPriority w:val="0"/>
    <w:rPr>
      <w:sz w:val="21"/>
      <w:szCs w:val="21"/>
    </w:rPr>
  </w:style>
  <w:style w:type="character" w:customStyle="1" w:styleId="47">
    <w:name w:val="font21"/>
    <w:basedOn w:val="21"/>
    <w:qFormat/>
    <w:uiPriority w:val="0"/>
    <w:rPr>
      <w:rFonts w:hint="default" w:ascii="Times New Roman" w:hAnsi="Times New Roman" w:cs="Times New Roman"/>
      <w:color w:val="000000"/>
      <w:sz w:val="24"/>
      <w:szCs w:val="24"/>
      <w:u w:val="none"/>
    </w:rPr>
  </w:style>
  <w:style w:type="paragraph" w:customStyle="1" w:styleId="48">
    <w:name w:val="Table Paragraph"/>
    <w:basedOn w:val="1"/>
    <w:qFormat/>
    <w:uiPriority w:val="1"/>
    <w:rPr>
      <w:rFonts w:ascii="仿宋" w:hAnsi="仿宋" w:eastAsia="仿宋" w:cs="仿宋"/>
      <w:lang w:val="zh-CN" w:eastAsia="zh-CN" w:bidi="zh-CN"/>
    </w:rPr>
  </w:style>
  <w:style w:type="character" w:customStyle="1" w:styleId="49">
    <w:name w:val="表格标题 Char"/>
    <w:link w:val="25"/>
    <w:qFormat/>
    <w:uiPriority w:val="0"/>
    <w:rPr>
      <w:rFonts w:ascii="Times New Roman" w:hAnsi="Times New Roman" w:eastAsia="仿宋_GB2312" w:cs="Times New Roman"/>
      <w:b/>
      <w:kern w:val="2"/>
      <w:sz w:val="21"/>
      <w:szCs w:val="21"/>
      <w:lang w:val="en-US" w:eastAsia="zh-CN" w:bidi="ar-SA"/>
    </w:rPr>
  </w:style>
  <w:style w:type="paragraph" w:customStyle="1" w:styleId="50">
    <w:name w:val="表标题"/>
    <w:basedOn w:val="1"/>
    <w:qFormat/>
    <w:uiPriority w:val="0"/>
    <w:pPr>
      <w:spacing w:before="60" w:line="394" w:lineRule="atLeast"/>
      <w:jc w:val="center"/>
    </w:pPr>
    <w:rPr>
      <w:rFonts w:ascii="宋体" w:eastAsia="宋体"/>
      <w:b/>
      <w:kern w:val="0"/>
      <w:szCs w:val="20"/>
    </w:rPr>
  </w:style>
  <w:style w:type="paragraph" w:customStyle="1" w:styleId="51">
    <w:name w:val="WPSOffice手动目录 1"/>
    <w:qFormat/>
    <w:uiPriority w:val="0"/>
    <w:pPr>
      <w:ind w:leftChars="0"/>
    </w:pPr>
    <w:rPr>
      <w:rFonts w:asciiTheme="minorHAnsi" w:hAnsiTheme="minorHAnsi" w:eastAsiaTheme="minorEastAsia" w:cstheme="minorBidi"/>
      <w:sz w:val="20"/>
      <w:szCs w:val="20"/>
    </w:rPr>
  </w:style>
  <w:style w:type="paragraph" w:customStyle="1" w:styleId="52">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oleObject" Target="embeddings/oleObject8.bin"/><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oleObject" Target="embeddings/oleObject4.bin"/><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gICAiRmlsZUlkIiA6ICIxMjUxNzM1OTcyODQiLAogICAiR3JvdXBJZCIgOiAiNjU2MzQ3ODg1IiwKICAgIkltYWdlIiA6ICJpVkJPUncwS0dnb0FBQUFOU1VoRVVnQUFCQWNBQUFIbENBWUFBQUNKY0pWc0FBQUFDWEJJV1hNQUFBc1RBQUFMRXdFQW1wd1lBQUFnQUVsRVFWUjRuT3pkZTN3VFZmNy84ZmVrVjZDVUlxQUlDS3U0c0tJQ1RRVVhaVldnb0NBWG9ZczNRSkdWZ29CNFFTeW8vQkNGQmVRaUZNVUZBUVhXWmVWU0FZdW9pQXVDNnlwYjJBV0ZsWXNvTjh1ZDBsSjdTVEsvUDJybjI5Q1dKdENTcEhrOUg0OCtTQ1puSmllWk41bkpKMmRt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9LUC9EK1JxVE03SDUrdnJBQUFBQUVsRlRrU3VRbUNDIiwKICAgIlR5cGUiIDogImZsb3ciLAogICAiVmVyc2lvbiIgOiAiNTU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2021-07-22T07:46:00Z</dcterms:created>
  <dc:creator>Administrator</dc:creator>
  <cp:lastModifiedBy>嗖发</cp:lastModifiedBy>
  <cp:lastPrinted>2021-07-27T02:29:00Z</cp:lastPrinted>
  <dcterms:modified xsi:type="dcterms:W3CDTF">2021-08-03T01:19:40Z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y fmtid="{D5CDD505-2E9C-101B-9397-08002B2CF9AE}" pid="3" name="ICV">
    <vt:lpwstr>78E0A5A4D52C4FF08C13439898D3A108</vt:lpwstr>
  </property>
</Properties>
</file>