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C378F" w:rsidRDefault="00E12213">
      <w:pPr>
        <w:pStyle w:val="3"/>
        <w:jc w:val="center"/>
        <w:rPr>
          <w:sz w:val="24"/>
          <w:szCs w:val="16"/>
        </w:rPr>
      </w:pPr>
      <w:r>
        <w:rPr>
          <w:sz w:val="24"/>
          <w:szCs w:val="16"/>
        </w:rPr>
        <w:t>仪陇县马鞍镇（朝堂路）停车场工程水土保持方案报告表</w:t>
      </w:r>
    </w:p>
    <w:tbl>
      <w:tblPr>
        <w:tblW w:w="8336" w:type="dxa"/>
        <w:tblLayout w:type="fixed"/>
        <w:tblCellMar>
          <w:left w:w="0" w:type="dxa"/>
          <w:right w:w="0" w:type="dxa"/>
        </w:tblCellMar>
        <w:tblLook w:val="04A0" w:firstRow="1" w:lastRow="0" w:firstColumn="1" w:lastColumn="0" w:noHBand="0" w:noVBand="1"/>
      </w:tblPr>
      <w:tblGrid>
        <w:gridCol w:w="1147"/>
        <w:gridCol w:w="361"/>
        <w:gridCol w:w="1513"/>
        <w:gridCol w:w="86"/>
        <w:gridCol w:w="1009"/>
        <w:gridCol w:w="281"/>
        <w:gridCol w:w="634"/>
        <w:gridCol w:w="229"/>
        <w:gridCol w:w="12"/>
        <w:gridCol w:w="21"/>
        <w:gridCol w:w="394"/>
        <w:gridCol w:w="529"/>
        <w:gridCol w:w="900"/>
        <w:gridCol w:w="95"/>
        <w:gridCol w:w="11"/>
        <w:gridCol w:w="1114"/>
      </w:tblGrid>
      <w:tr w:rsidR="006C378F">
        <w:trPr>
          <w:trHeight w:val="23"/>
        </w:trPr>
        <w:tc>
          <w:tcPr>
            <w:tcW w:w="1147"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项目概况</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位置</w:t>
            </w:r>
          </w:p>
        </w:tc>
        <w:tc>
          <w:tcPr>
            <w:tcW w:w="5315" w:type="dxa"/>
            <w:gridSpan w:val="1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hint="eastAsia"/>
                <w:sz w:val="20"/>
              </w:rPr>
              <w:t>仪陇县</w:t>
            </w:r>
            <w:r>
              <w:rPr>
                <w:rFonts w:asciiTheme="minorEastAsia" w:eastAsiaTheme="minorEastAsia" w:hAnsiTheme="minorEastAsia"/>
                <w:sz w:val="20"/>
              </w:rPr>
              <w:t>马鞍镇</w:t>
            </w:r>
          </w:p>
        </w:tc>
      </w:tr>
      <w:tr w:rsidR="006C378F">
        <w:trPr>
          <w:trHeight w:val="234"/>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6C378F">
            <w:pPr>
              <w:pStyle w:val="af0"/>
              <w:rPr>
                <w:rFonts w:asciiTheme="minorEastAsia" w:eastAsiaTheme="minorEastAsia" w:hAnsiTheme="minorEastAsia"/>
                <w:sz w:val="20"/>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建设内容</w:t>
            </w:r>
          </w:p>
        </w:tc>
        <w:tc>
          <w:tcPr>
            <w:tcW w:w="5315" w:type="dxa"/>
            <w:gridSpan w:val="1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hint="eastAsia"/>
                <w:sz w:val="20"/>
              </w:rPr>
              <w:t>在马鞍</w:t>
            </w:r>
            <w:r>
              <w:rPr>
                <w:rFonts w:asciiTheme="minorEastAsia" w:eastAsiaTheme="minorEastAsia" w:hAnsiTheme="minorEastAsia"/>
                <w:sz w:val="20"/>
              </w:rPr>
              <w:t>镇</w:t>
            </w:r>
            <w:r>
              <w:rPr>
                <w:rFonts w:asciiTheme="minorEastAsia" w:eastAsiaTheme="minorEastAsia" w:hAnsiTheme="minorEastAsia" w:hint="eastAsia"/>
                <w:sz w:val="20"/>
              </w:rPr>
              <w:t>朝堂路</w:t>
            </w:r>
            <w:r>
              <w:rPr>
                <w:rFonts w:asciiTheme="minorEastAsia" w:eastAsiaTheme="minorEastAsia" w:hAnsiTheme="minorEastAsia"/>
                <w:sz w:val="20"/>
              </w:rPr>
              <w:t>新建</w:t>
            </w:r>
            <w:r>
              <w:rPr>
                <w:rFonts w:asciiTheme="minorEastAsia" w:eastAsiaTheme="minorEastAsia" w:hAnsiTheme="minorEastAsia" w:hint="eastAsia"/>
                <w:sz w:val="20"/>
              </w:rPr>
              <w:t>停车场1处</w:t>
            </w:r>
            <w:r>
              <w:rPr>
                <w:rFonts w:asciiTheme="minorEastAsia" w:eastAsiaTheme="minorEastAsia" w:hAnsiTheme="minorEastAsia"/>
                <w:sz w:val="20"/>
              </w:rPr>
              <w:t>，</w:t>
            </w:r>
            <w:r>
              <w:rPr>
                <w:rFonts w:asciiTheme="minorEastAsia" w:eastAsiaTheme="minorEastAsia" w:hAnsiTheme="minorEastAsia" w:hint="eastAsia"/>
                <w:sz w:val="20"/>
              </w:rPr>
              <w:t>停车位76个，</w:t>
            </w:r>
            <w:r>
              <w:rPr>
                <w:rFonts w:asciiTheme="minorEastAsia" w:eastAsiaTheme="minorEastAsia" w:hAnsiTheme="minorEastAsia"/>
                <w:sz w:val="20"/>
              </w:rPr>
              <w:t>占地面积8000</w:t>
            </w:r>
            <w:r>
              <w:rPr>
                <w:rFonts w:asciiTheme="minorEastAsia" w:eastAsiaTheme="minorEastAsia" w:hAnsiTheme="minorEastAsia" w:hint="eastAsia"/>
                <w:sz w:val="20"/>
              </w:rPr>
              <w:t>平方米</w:t>
            </w:r>
            <w:r>
              <w:rPr>
                <w:rFonts w:asciiTheme="minorEastAsia" w:eastAsiaTheme="minorEastAsia" w:hAnsiTheme="minorEastAsia"/>
                <w:sz w:val="20"/>
              </w:rPr>
              <w:t>。</w:t>
            </w:r>
          </w:p>
        </w:tc>
      </w:tr>
      <w:tr w:rsidR="006C378F">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6C378F">
            <w:pPr>
              <w:pStyle w:val="af0"/>
              <w:rPr>
                <w:rFonts w:asciiTheme="minorEastAsia" w:eastAsiaTheme="minorEastAsia" w:hAnsiTheme="minorEastAsia"/>
                <w:sz w:val="20"/>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建设性质</w:t>
            </w:r>
          </w:p>
        </w:tc>
        <w:tc>
          <w:tcPr>
            <w:tcW w:w="2010"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新建</w:t>
            </w:r>
          </w:p>
        </w:tc>
        <w:tc>
          <w:tcPr>
            <w:tcW w:w="2085"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总投资（万元）</w:t>
            </w:r>
          </w:p>
        </w:tc>
        <w:tc>
          <w:tcPr>
            <w:tcW w:w="122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190</w:t>
            </w:r>
          </w:p>
        </w:tc>
      </w:tr>
      <w:tr w:rsidR="006C378F">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6C378F">
            <w:pPr>
              <w:pStyle w:val="af0"/>
              <w:rPr>
                <w:rFonts w:asciiTheme="minorEastAsia" w:eastAsiaTheme="minorEastAsia" w:hAnsiTheme="minorEastAsia"/>
                <w:sz w:val="20"/>
              </w:rPr>
            </w:pPr>
          </w:p>
        </w:tc>
        <w:tc>
          <w:tcPr>
            <w:tcW w:w="1874" w:type="dxa"/>
            <w:gridSpan w:val="2"/>
            <w:vMerge w:val="restart"/>
            <w:tcBorders>
              <w:top w:val="single" w:sz="4" w:space="0" w:color="000000"/>
              <w:left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土建投资（万元）</w:t>
            </w:r>
          </w:p>
        </w:tc>
        <w:tc>
          <w:tcPr>
            <w:tcW w:w="2010" w:type="dxa"/>
            <w:gridSpan w:val="4"/>
            <w:vMerge w:val="restart"/>
            <w:tcBorders>
              <w:top w:val="single" w:sz="4" w:space="0" w:color="000000"/>
              <w:left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135</w:t>
            </w:r>
          </w:p>
        </w:tc>
        <w:tc>
          <w:tcPr>
            <w:tcW w:w="1185" w:type="dxa"/>
            <w:gridSpan w:val="5"/>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占地面积（hm</w:t>
            </w:r>
            <w:r>
              <w:rPr>
                <w:rFonts w:asciiTheme="minorEastAsia" w:eastAsiaTheme="minorEastAsia" w:hAnsiTheme="minorEastAsia"/>
                <w:sz w:val="20"/>
                <w:vertAlign w:val="superscript"/>
              </w:rPr>
              <w:t>2</w:t>
            </w:r>
            <w:r>
              <w:rPr>
                <w:rFonts w:asciiTheme="minorEastAsia" w:eastAsiaTheme="minorEastAsia" w:hAnsiTheme="minorEastAsia"/>
                <w:sz w:val="20"/>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永久</w:t>
            </w:r>
          </w:p>
        </w:tc>
        <w:tc>
          <w:tcPr>
            <w:tcW w:w="122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0.80</w:t>
            </w:r>
          </w:p>
        </w:tc>
      </w:tr>
      <w:tr w:rsidR="006C378F">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6C378F">
            <w:pPr>
              <w:pStyle w:val="af0"/>
              <w:rPr>
                <w:rFonts w:asciiTheme="minorEastAsia" w:eastAsiaTheme="minorEastAsia" w:hAnsiTheme="minorEastAsia"/>
                <w:sz w:val="20"/>
              </w:rPr>
            </w:pPr>
          </w:p>
        </w:tc>
        <w:tc>
          <w:tcPr>
            <w:tcW w:w="1874" w:type="dxa"/>
            <w:gridSpan w:val="2"/>
            <w:vMerge/>
            <w:tcBorders>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6C378F">
            <w:pPr>
              <w:pStyle w:val="af0"/>
              <w:rPr>
                <w:rFonts w:asciiTheme="minorEastAsia" w:eastAsiaTheme="minorEastAsia" w:hAnsiTheme="minorEastAsia"/>
                <w:sz w:val="20"/>
              </w:rPr>
            </w:pPr>
          </w:p>
        </w:tc>
        <w:tc>
          <w:tcPr>
            <w:tcW w:w="2010" w:type="dxa"/>
            <w:gridSpan w:val="4"/>
            <w:vMerge/>
            <w:tcBorders>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6C378F">
            <w:pPr>
              <w:pStyle w:val="af0"/>
              <w:rPr>
                <w:rFonts w:asciiTheme="minorEastAsia" w:eastAsiaTheme="minorEastAsia" w:hAnsiTheme="minorEastAsia"/>
                <w:sz w:val="20"/>
              </w:rPr>
            </w:pPr>
          </w:p>
        </w:tc>
        <w:tc>
          <w:tcPr>
            <w:tcW w:w="1185" w:type="dxa"/>
            <w:gridSpan w:val="5"/>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6C378F">
            <w:pPr>
              <w:pStyle w:val="af0"/>
              <w:rPr>
                <w:rFonts w:asciiTheme="minorEastAsia" w:eastAsiaTheme="minorEastAsia" w:hAnsiTheme="minorEastAsia"/>
                <w:sz w:val="20"/>
              </w:rPr>
            </w:pP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临时</w:t>
            </w:r>
          </w:p>
        </w:tc>
        <w:tc>
          <w:tcPr>
            <w:tcW w:w="122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0</w:t>
            </w:r>
          </w:p>
        </w:tc>
      </w:tr>
      <w:tr w:rsidR="006C378F">
        <w:trPr>
          <w:trHeight w:val="236"/>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6C378F">
            <w:pPr>
              <w:pStyle w:val="af0"/>
              <w:rPr>
                <w:rFonts w:asciiTheme="minorEastAsia" w:eastAsiaTheme="minorEastAsia" w:hAnsiTheme="minorEastAsia"/>
                <w:sz w:val="20"/>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动工时间</w:t>
            </w:r>
          </w:p>
        </w:tc>
        <w:tc>
          <w:tcPr>
            <w:tcW w:w="2010"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2017年1月</w:t>
            </w:r>
          </w:p>
        </w:tc>
        <w:tc>
          <w:tcPr>
            <w:tcW w:w="1185"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完工时间</w:t>
            </w:r>
          </w:p>
        </w:tc>
        <w:tc>
          <w:tcPr>
            <w:tcW w:w="2120"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2017年3月</w:t>
            </w:r>
          </w:p>
        </w:tc>
      </w:tr>
      <w:tr w:rsidR="006C378F">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6C378F">
            <w:pPr>
              <w:pStyle w:val="af0"/>
              <w:rPr>
                <w:rFonts w:asciiTheme="minorEastAsia" w:eastAsiaTheme="minorEastAsia" w:hAnsiTheme="minorEastAsia"/>
                <w:sz w:val="20"/>
              </w:rPr>
            </w:pPr>
          </w:p>
        </w:tc>
        <w:tc>
          <w:tcPr>
            <w:tcW w:w="1874" w:type="dxa"/>
            <w:gridSpan w:val="2"/>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土石方（m</w:t>
            </w:r>
            <w:r>
              <w:rPr>
                <w:rFonts w:asciiTheme="minorEastAsia" w:eastAsiaTheme="minorEastAsia" w:hAnsiTheme="minorEastAsia"/>
                <w:sz w:val="20"/>
                <w:vertAlign w:val="superscript"/>
              </w:rPr>
              <w:t>3</w:t>
            </w:r>
            <w:r>
              <w:rPr>
                <w:rFonts w:asciiTheme="minorEastAsia" w:eastAsiaTheme="minorEastAsia" w:hAnsiTheme="minorEastAsia"/>
                <w:sz w:val="20"/>
              </w:rPr>
              <w:t>)</w:t>
            </w:r>
          </w:p>
        </w:tc>
        <w:tc>
          <w:tcPr>
            <w:tcW w:w="109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挖方</w:t>
            </w:r>
          </w:p>
        </w:tc>
        <w:tc>
          <w:tcPr>
            <w:tcW w:w="91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填方</w:t>
            </w:r>
          </w:p>
        </w:tc>
        <w:tc>
          <w:tcPr>
            <w:tcW w:w="1185"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借方</w:t>
            </w:r>
          </w:p>
        </w:tc>
        <w:tc>
          <w:tcPr>
            <w:tcW w:w="2120"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余（弃）方</w:t>
            </w:r>
          </w:p>
        </w:tc>
      </w:tr>
      <w:tr w:rsidR="006C378F">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6C378F">
            <w:pPr>
              <w:pStyle w:val="af0"/>
              <w:rPr>
                <w:rFonts w:asciiTheme="minorEastAsia" w:eastAsiaTheme="minorEastAsia" w:hAnsiTheme="minorEastAsia"/>
                <w:sz w:val="20"/>
              </w:rPr>
            </w:pPr>
          </w:p>
        </w:tc>
        <w:tc>
          <w:tcPr>
            <w:tcW w:w="1874" w:type="dxa"/>
            <w:gridSpan w:val="2"/>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6C378F">
            <w:pPr>
              <w:pStyle w:val="af0"/>
              <w:rPr>
                <w:rFonts w:asciiTheme="minorEastAsia" w:eastAsiaTheme="minorEastAsia" w:hAnsiTheme="minorEastAsia"/>
                <w:sz w:val="20"/>
              </w:rPr>
            </w:pPr>
          </w:p>
        </w:tc>
        <w:tc>
          <w:tcPr>
            <w:tcW w:w="109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1269</w:t>
            </w:r>
          </w:p>
        </w:tc>
        <w:tc>
          <w:tcPr>
            <w:tcW w:w="91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1269</w:t>
            </w:r>
          </w:p>
        </w:tc>
        <w:tc>
          <w:tcPr>
            <w:tcW w:w="1185"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0</w:t>
            </w:r>
          </w:p>
        </w:tc>
        <w:tc>
          <w:tcPr>
            <w:tcW w:w="2120"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0</w:t>
            </w:r>
          </w:p>
        </w:tc>
      </w:tr>
      <w:tr w:rsidR="006C378F">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6C378F">
            <w:pPr>
              <w:pStyle w:val="af0"/>
              <w:rPr>
                <w:rFonts w:asciiTheme="minorEastAsia" w:eastAsiaTheme="minorEastAsia" w:hAnsiTheme="minorEastAsia"/>
                <w:sz w:val="20"/>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取土（石、沙）场</w:t>
            </w:r>
          </w:p>
        </w:tc>
        <w:tc>
          <w:tcPr>
            <w:tcW w:w="5315" w:type="dxa"/>
            <w:gridSpan w:val="1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不涉及</w:t>
            </w:r>
          </w:p>
        </w:tc>
      </w:tr>
      <w:tr w:rsidR="006C378F">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6C378F">
            <w:pPr>
              <w:pStyle w:val="af0"/>
              <w:rPr>
                <w:rFonts w:asciiTheme="minorEastAsia" w:eastAsiaTheme="minorEastAsia" w:hAnsiTheme="minorEastAsia"/>
                <w:sz w:val="20"/>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弃土（石、沙）场</w:t>
            </w:r>
          </w:p>
        </w:tc>
        <w:tc>
          <w:tcPr>
            <w:tcW w:w="5315" w:type="dxa"/>
            <w:gridSpan w:val="1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不涉及</w:t>
            </w:r>
          </w:p>
        </w:tc>
      </w:tr>
      <w:tr w:rsidR="006C378F">
        <w:trPr>
          <w:trHeight w:val="23"/>
        </w:trPr>
        <w:tc>
          <w:tcPr>
            <w:tcW w:w="1147"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项目区概况</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涉及重点防治区情况</w:t>
            </w:r>
          </w:p>
        </w:tc>
        <w:tc>
          <w:tcPr>
            <w:tcW w:w="2251"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hint="eastAsia"/>
                <w:sz w:val="20"/>
              </w:rPr>
              <w:t>嘉陵江及沱江中下游国家级水土流失重点治理区</w:t>
            </w:r>
          </w:p>
        </w:tc>
        <w:tc>
          <w:tcPr>
            <w:tcW w:w="193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地貌类型</w:t>
            </w:r>
          </w:p>
        </w:tc>
        <w:tc>
          <w:tcPr>
            <w:tcW w:w="112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中山地貌</w:t>
            </w:r>
          </w:p>
        </w:tc>
      </w:tr>
      <w:tr w:rsidR="006C378F">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6C378F">
            <w:pPr>
              <w:pStyle w:val="af0"/>
              <w:rPr>
                <w:rFonts w:asciiTheme="minorEastAsia" w:eastAsiaTheme="minorEastAsia" w:hAnsiTheme="minorEastAsia"/>
                <w:sz w:val="20"/>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原地貌土壤侵蚀模数[t/(km</w:t>
            </w:r>
            <w:r>
              <w:rPr>
                <w:rFonts w:asciiTheme="minorEastAsia" w:eastAsiaTheme="minorEastAsia" w:hAnsiTheme="minorEastAsia"/>
                <w:sz w:val="20"/>
                <w:vertAlign w:val="superscript"/>
              </w:rPr>
              <w:t>2</w:t>
            </w:r>
            <w:r>
              <w:rPr>
                <w:rFonts w:asciiTheme="minorEastAsia" w:eastAsiaTheme="minorEastAsia" w:hAnsiTheme="minorEastAsia"/>
                <w:sz w:val="20"/>
              </w:rPr>
              <w:t>·a）]</w:t>
            </w:r>
          </w:p>
        </w:tc>
        <w:tc>
          <w:tcPr>
            <w:tcW w:w="2251"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hint="eastAsia"/>
                <w:sz w:val="20"/>
              </w:rPr>
              <w:t>519</w:t>
            </w:r>
          </w:p>
        </w:tc>
        <w:tc>
          <w:tcPr>
            <w:tcW w:w="193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容许土壤流失量[t/(km</w:t>
            </w:r>
            <w:r>
              <w:rPr>
                <w:rFonts w:asciiTheme="minorEastAsia" w:eastAsiaTheme="minorEastAsia" w:hAnsiTheme="minorEastAsia"/>
                <w:sz w:val="20"/>
                <w:vertAlign w:val="superscript"/>
              </w:rPr>
              <w:t>2</w:t>
            </w:r>
            <w:r>
              <w:rPr>
                <w:rFonts w:asciiTheme="minorEastAsia" w:eastAsiaTheme="minorEastAsia" w:hAnsiTheme="minorEastAsia"/>
                <w:sz w:val="20"/>
              </w:rPr>
              <w:t>·a）]</w:t>
            </w:r>
          </w:p>
        </w:tc>
        <w:tc>
          <w:tcPr>
            <w:tcW w:w="112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500</w:t>
            </w:r>
          </w:p>
        </w:tc>
      </w:tr>
      <w:tr w:rsidR="006C378F">
        <w:trPr>
          <w:trHeight w:val="23"/>
        </w:trPr>
        <w:tc>
          <w:tcPr>
            <w:tcW w:w="114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项目选址（线）水土保持评价</w:t>
            </w:r>
          </w:p>
        </w:tc>
        <w:tc>
          <w:tcPr>
            <w:tcW w:w="7189" w:type="dxa"/>
            <w:gridSpan w:val="1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ind w:firstLineChars="200" w:firstLine="400"/>
              <w:jc w:val="both"/>
              <w:rPr>
                <w:rFonts w:asciiTheme="minorEastAsia" w:eastAsiaTheme="minorEastAsia" w:hAnsiTheme="minorEastAsia"/>
                <w:sz w:val="20"/>
              </w:rPr>
            </w:pPr>
            <w:r>
              <w:rPr>
                <w:rFonts w:asciiTheme="minorEastAsia" w:eastAsiaTheme="minorEastAsia" w:hAnsiTheme="minorEastAsia"/>
                <w:sz w:val="20"/>
                <w:lang w:val="zh-CN"/>
              </w:rPr>
              <w:t>本</w:t>
            </w:r>
            <w:r>
              <w:rPr>
                <w:rFonts w:asciiTheme="minorEastAsia" w:eastAsiaTheme="minorEastAsia" w:hAnsiTheme="minorEastAsia"/>
                <w:sz w:val="20"/>
              </w:rPr>
              <w:t>项目选址唯一</w:t>
            </w:r>
            <w:r>
              <w:rPr>
                <w:rFonts w:asciiTheme="minorEastAsia" w:eastAsiaTheme="minorEastAsia" w:hAnsiTheme="minorEastAsia"/>
                <w:sz w:val="20"/>
                <w:lang w:val="zh-CN"/>
              </w:rPr>
              <w:t>，无场址方案比选。本项目不在泥石流易发区、崩塌、滑坡危险区以及易引起严重水土流失和生态恶化的地区；本项目不在河流两岸、湖泊和水库周边的植物保护带范围内。本项目不属于全国水土保持监测网络中的水土保持监测站点、重点实验区及国家确定的水土保持长期定位观测站。本项目不存在绝对制约性因素。但</w:t>
            </w:r>
            <w:r>
              <w:rPr>
                <w:rFonts w:asciiTheme="minorEastAsia" w:eastAsiaTheme="minorEastAsia" w:hAnsiTheme="minorEastAsia"/>
                <w:sz w:val="20"/>
              </w:rPr>
              <w:t>本项目所在地</w:t>
            </w:r>
            <w:r>
              <w:rPr>
                <w:rFonts w:asciiTheme="minorEastAsia" w:eastAsiaTheme="minorEastAsia" w:hAnsiTheme="minorEastAsia" w:hint="eastAsia"/>
                <w:sz w:val="20"/>
              </w:rPr>
              <w:t>仪陇县</w:t>
            </w:r>
            <w:r>
              <w:rPr>
                <w:rFonts w:asciiTheme="minorEastAsia" w:eastAsiaTheme="minorEastAsia" w:hAnsiTheme="minorEastAsia"/>
                <w:sz w:val="20"/>
              </w:rPr>
              <w:t>属于</w:t>
            </w:r>
            <w:r>
              <w:rPr>
                <w:rFonts w:asciiTheme="minorEastAsia" w:eastAsiaTheme="minorEastAsia" w:hAnsiTheme="minorEastAsia" w:hint="eastAsia"/>
                <w:sz w:val="20"/>
              </w:rPr>
              <w:t>嘉陵江及沱江中下游国家级水土流失重点治理区</w:t>
            </w:r>
            <w:r>
              <w:rPr>
                <w:rFonts w:asciiTheme="minorEastAsia" w:eastAsiaTheme="minorEastAsia" w:hAnsiTheme="minorEastAsia"/>
                <w:sz w:val="20"/>
              </w:rPr>
              <w:t>且本项目属于未批先建项目，违反水土保持法，本方案为补报方案。因此，本项目水土流失防治标准执行西南</w:t>
            </w:r>
            <w:r>
              <w:rPr>
                <w:rFonts w:asciiTheme="minorEastAsia" w:eastAsiaTheme="minorEastAsia" w:hAnsiTheme="minorEastAsia" w:hint="eastAsia"/>
                <w:sz w:val="20"/>
              </w:rPr>
              <w:t>紫色土区</w:t>
            </w:r>
            <w:r>
              <w:rPr>
                <w:rFonts w:asciiTheme="minorEastAsia" w:eastAsiaTheme="minorEastAsia" w:hAnsiTheme="minorEastAsia"/>
                <w:sz w:val="20"/>
              </w:rPr>
              <w:t>一级标准。</w:t>
            </w:r>
          </w:p>
        </w:tc>
      </w:tr>
      <w:tr w:rsidR="006C378F">
        <w:trPr>
          <w:trHeight w:val="532"/>
        </w:trPr>
        <w:tc>
          <w:tcPr>
            <w:tcW w:w="114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预测水土流失总量</w:t>
            </w:r>
          </w:p>
        </w:tc>
        <w:tc>
          <w:tcPr>
            <w:tcW w:w="7189" w:type="dxa"/>
            <w:gridSpan w:val="1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本项目工程可能造成的水土流失总量为</w:t>
            </w:r>
            <w:r>
              <w:rPr>
                <w:rFonts w:asciiTheme="minorEastAsia" w:eastAsiaTheme="minorEastAsia" w:hAnsiTheme="minorEastAsia" w:hint="eastAsia"/>
                <w:sz w:val="20"/>
              </w:rPr>
              <w:t>2.24</w:t>
            </w:r>
            <w:r>
              <w:rPr>
                <w:rFonts w:asciiTheme="minorEastAsia" w:eastAsiaTheme="minorEastAsia" w:hAnsiTheme="minorEastAsia"/>
                <w:sz w:val="20"/>
              </w:rPr>
              <w:t>t，新增水土流失总量为</w:t>
            </w:r>
            <w:r>
              <w:rPr>
                <w:rFonts w:asciiTheme="minorEastAsia" w:eastAsiaTheme="minorEastAsia" w:hAnsiTheme="minorEastAsia" w:hint="eastAsia"/>
                <w:sz w:val="20"/>
              </w:rPr>
              <w:t>0.82</w:t>
            </w:r>
            <w:r>
              <w:rPr>
                <w:rFonts w:asciiTheme="minorEastAsia" w:eastAsiaTheme="minorEastAsia" w:hAnsiTheme="minorEastAsia"/>
                <w:sz w:val="20"/>
              </w:rPr>
              <w:t>t</w:t>
            </w:r>
            <w:r>
              <w:rPr>
                <w:rFonts w:asciiTheme="minorEastAsia" w:eastAsiaTheme="minorEastAsia" w:hAnsiTheme="minorEastAsia" w:hint="eastAsia"/>
                <w:sz w:val="20"/>
              </w:rPr>
              <w:t>。</w:t>
            </w:r>
          </w:p>
        </w:tc>
      </w:tr>
      <w:tr w:rsidR="006C378F">
        <w:trPr>
          <w:trHeight w:val="23"/>
        </w:trPr>
        <w:tc>
          <w:tcPr>
            <w:tcW w:w="114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防治责任范围（hm</w:t>
            </w:r>
            <w:r>
              <w:rPr>
                <w:rFonts w:asciiTheme="minorEastAsia" w:eastAsiaTheme="minorEastAsia" w:hAnsiTheme="minorEastAsia"/>
                <w:sz w:val="20"/>
                <w:vertAlign w:val="superscript"/>
              </w:rPr>
              <w:t>2</w:t>
            </w:r>
            <w:r>
              <w:rPr>
                <w:rFonts w:asciiTheme="minorEastAsia" w:eastAsiaTheme="minorEastAsia" w:hAnsiTheme="minorEastAsia"/>
                <w:sz w:val="20"/>
              </w:rPr>
              <w:t>）</w:t>
            </w:r>
          </w:p>
        </w:tc>
        <w:tc>
          <w:tcPr>
            <w:tcW w:w="7189" w:type="dxa"/>
            <w:gridSpan w:val="1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防治责任范围面积为0.80hm</w:t>
            </w:r>
            <w:r>
              <w:rPr>
                <w:rFonts w:asciiTheme="minorEastAsia" w:eastAsiaTheme="minorEastAsia" w:hAnsiTheme="minorEastAsia"/>
                <w:sz w:val="20"/>
                <w:vertAlign w:val="superscript"/>
              </w:rPr>
              <w:t>2</w:t>
            </w:r>
            <w:r>
              <w:rPr>
                <w:rFonts w:asciiTheme="minorEastAsia" w:eastAsiaTheme="minorEastAsia" w:hAnsiTheme="minorEastAsia" w:hint="eastAsia"/>
                <w:sz w:val="20"/>
              </w:rPr>
              <w:t>，分一个</w:t>
            </w:r>
            <w:r>
              <w:rPr>
                <w:rFonts w:asciiTheme="minorEastAsia" w:eastAsiaTheme="minorEastAsia" w:hAnsiTheme="minorEastAsia"/>
                <w:sz w:val="20"/>
              </w:rPr>
              <w:t>一级区，为</w:t>
            </w:r>
            <w:r>
              <w:rPr>
                <w:rFonts w:asciiTheme="minorEastAsia" w:eastAsiaTheme="minorEastAsia" w:hAnsiTheme="minorEastAsia" w:hint="eastAsia"/>
                <w:sz w:val="20"/>
              </w:rPr>
              <w:t>停车场区</w:t>
            </w:r>
            <w:r>
              <w:rPr>
                <w:rFonts w:asciiTheme="minorEastAsia" w:eastAsiaTheme="minorEastAsia" w:hAnsiTheme="minorEastAsia"/>
                <w:sz w:val="20"/>
              </w:rPr>
              <w:t>，面积为</w:t>
            </w:r>
            <w:r>
              <w:rPr>
                <w:rFonts w:asciiTheme="minorEastAsia" w:eastAsiaTheme="minorEastAsia" w:hAnsiTheme="minorEastAsia" w:hint="eastAsia"/>
                <w:sz w:val="20"/>
              </w:rPr>
              <w:t>0.80</w:t>
            </w:r>
            <w:r>
              <w:rPr>
                <w:rFonts w:asciiTheme="minorEastAsia" w:eastAsiaTheme="minorEastAsia" w:hAnsiTheme="minorEastAsia"/>
                <w:sz w:val="20"/>
              </w:rPr>
              <w:t>hm</w:t>
            </w:r>
            <w:r>
              <w:rPr>
                <w:rFonts w:asciiTheme="minorEastAsia" w:eastAsiaTheme="minorEastAsia" w:hAnsiTheme="minorEastAsia"/>
                <w:sz w:val="20"/>
                <w:vertAlign w:val="superscript"/>
              </w:rPr>
              <w:t>2</w:t>
            </w:r>
            <w:r>
              <w:rPr>
                <w:rFonts w:asciiTheme="minorEastAsia" w:eastAsiaTheme="minorEastAsia" w:hAnsiTheme="minorEastAsia" w:hint="eastAsia"/>
                <w:sz w:val="20"/>
              </w:rPr>
              <w:t>。</w:t>
            </w:r>
          </w:p>
        </w:tc>
      </w:tr>
      <w:tr w:rsidR="006C378F">
        <w:trPr>
          <w:trHeight w:val="23"/>
        </w:trPr>
        <w:tc>
          <w:tcPr>
            <w:tcW w:w="1147"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防治标准等级及目标</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水土流失治理度（%）</w:t>
            </w:r>
          </w:p>
        </w:tc>
        <w:tc>
          <w:tcPr>
            <w:tcW w:w="2251"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97</w:t>
            </w:r>
          </w:p>
        </w:tc>
        <w:tc>
          <w:tcPr>
            <w:tcW w:w="193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水土流失控制比</w:t>
            </w:r>
          </w:p>
        </w:tc>
        <w:tc>
          <w:tcPr>
            <w:tcW w:w="112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1.0</w:t>
            </w:r>
          </w:p>
        </w:tc>
      </w:tr>
      <w:tr w:rsidR="006C378F">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6C378F">
            <w:pPr>
              <w:pStyle w:val="af0"/>
              <w:rPr>
                <w:rFonts w:asciiTheme="minorEastAsia" w:eastAsiaTheme="minorEastAsia" w:hAnsiTheme="minorEastAsia"/>
                <w:sz w:val="20"/>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渣土防护率（%）</w:t>
            </w:r>
          </w:p>
        </w:tc>
        <w:tc>
          <w:tcPr>
            <w:tcW w:w="2251"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92</w:t>
            </w:r>
          </w:p>
        </w:tc>
        <w:tc>
          <w:tcPr>
            <w:tcW w:w="193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表土保护率（%）</w:t>
            </w:r>
          </w:p>
        </w:tc>
        <w:tc>
          <w:tcPr>
            <w:tcW w:w="112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92</w:t>
            </w:r>
          </w:p>
        </w:tc>
      </w:tr>
      <w:tr w:rsidR="006C378F">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6C378F">
            <w:pPr>
              <w:pStyle w:val="af0"/>
              <w:rPr>
                <w:rFonts w:asciiTheme="minorEastAsia" w:eastAsiaTheme="minorEastAsia" w:hAnsiTheme="minorEastAsia"/>
                <w:sz w:val="20"/>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林草植被恢复率（%）</w:t>
            </w:r>
          </w:p>
        </w:tc>
        <w:tc>
          <w:tcPr>
            <w:tcW w:w="2251"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97</w:t>
            </w:r>
          </w:p>
        </w:tc>
        <w:tc>
          <w:tcPr>
            <w:tcW w:w="193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林草覆盖率（%）</w:t>
            </w:r>
          </w:p>
        </w:tc>
        <w:tc>
          <w:tcPr>
            <w:tcW w:w="112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hint="eastAsia"/>
                <w:sz w:val="20"/>
              </w:rPr>
              <w:t>6</w:t>
            </w:r>
          </w:p>
        </w:tc>
      </w:tr>
      <w:tr w:rsidR="006C378F">
        <w:trPr>
          <w:trHeight w:val="23"/>
        </w:trPr>
        <w:tc>
          <w:tcPr>
            <w:tcW w:w="114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水土保持措施</w:t>
            </w:r>
          </w:p>
        </w:tc>
        <w:tc>
          <w:tcPr>
            <w:tcW w:w="7189" w:type="dxa"/>
            <w:gridSpan w:val="1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spacing w:line="360" w:lineRule="auto"/>
              <w:jc w:val="left"/>
              <w:rPr>
                <w:rFonts w:asciiTheme="minorEastAsia" w:eastAsiaTheme="minorEastAsia" w:hAnsiTheme="minorEastAsia"/>
                <w:sz w:val="20"/>
              </w:rPr>
            </w:pPr>
            <w:r>
              <w:rPr>
                <w:rFonts w:asciiTheme="minorEastAsia" w:eastAsiaTheme="minorEastAsia" w:hAnsiTheme="minorEastAsia"/>
                <w:sz w:val="20"/>
              </w:rPr>
              <w:t>主体在施工在进行了表土剥离120m</w:t>
            </w:r>
            <w:r>
              <w:rPr>
                <w:rFonts w:asciiTheme="minorEastAsia" w:eastAsiaTheme="minorEastAsia" w:hAnsiTheme="minorEastAsia"/>
                <w:sz w:val="20"/>
                <w:vertAlign w:val="superscript"/>
              </w:rPr>
              <w:t>3</w:t>
            </w:r>
            <w:r>
              <w:rPr>
                <w:rFonts w:asciiTheme="minorEastAsia" w:eastAsiaTheme="minorEastAsia" w:hAnsiTheme="minorEastAsia"/>
                <w:sz w:val="20"/>
              </w:rPr>
              <w:t>。修建排水沟共125m，</w:t>
            </w:r>
            <w:r>
              <w:rPr>
                <w:rFonts w:asciiTheme="minorEastAsia" w:eastAsiaTheme="minorEastAsia" w:hAnsiTheme="minorEastAsia" w:hint="eastAsia"/>
                <w:sz w:val="20"/>
              </w:rPr>
              <w:t>雨水管360</w:t>
            </w:r>
            <w:r>
              <w:rPr>
                <w:rFonts w:asciiTheme="minorEastAsia" w:eastAsiaTheme="minorEastAsia" w:hAnsiTheme="minorEastAsia"/>
                <w:sz w:val="20"/>
              </w:rPr>
              <w:t>m。施工结束后，在绿化区域进行覆土整治593m</w:t>
            </w:r>
            <w:r>
              <w:rPr>
                <w:rFonts w:asciiTheme="minorEastAsia" w:eastAsiaTheme="minorEastAsia" w:hAnsiTheme="minorEastAsia"/>
                <w:sz w:val="20"/>
                <w:vertAlign w:val="superscript"/>
              </w:rPr>
              <w:t>3</w:t>
            </w:r>
            <w:r>
              <w:rPr>
                <w:rFonts w:asciiTheme="minorEastAsia" w:eastAsiaTheme="minorEastAsia" w:hAnsiTheme="minorEastAsia"/>
                <w:sz w:val="20"/>
              </w:rPr>
              <w:t>。在植物绿化区域实施金叶女贞85株，结缕草1800m2。</w:t>
            </w:r>
          </w:p>
        </w:tc>
      </w:tr>
      <w:tr w:rsidR="006C378F">
        <w:trPr>
          <w:trHeight w:val="23"/>
        </w:trPr>
        <w:tc>
          <w:tcPr>
            <w:tcW w:w="1147"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水土保持</w:t>
            </w:r>
            <w:r>
              <w:rPr>
                <w:rFonts w:asciiTheme="minorEastAsia" w:eastAsiaTheme="minorEastAsia" w:hAnsiTheme="minorEastAsia" w:hint="eastAsia"/>
                <w:sz w:val="20"/>
              </w:rPr>
              <w:t>总</w:t>
            </w:r>
            <w:r>
              <w:rPr>
                <w:rFonts w:asciiTheme="minorEastAsia" w:eastAsiaTheme="minorEastAsia" w:hAnsiTheme="minorEastAsia"/>
                <w:sz w:val="20"/>
              </w:rPr>
              <w:t>投资（万元）</w:t>
            </w:r>
          </w:p>
        </w:tc>
        <w:tc>
          <w:tcPr>
            <w:tcW w:w="196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工程措施</w:t>
            </w:r>
          </w:p>
        </w:tc>
        <w:tc>
          <w:tcPr>
            <w:tcW w:w="2186"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hint="eastAsia"/>
                <w:sz w:val="20"/>
              </w:rPr>
              <w:t>2.84</w:t>
            </w:r>
          </w:p>
        </w:tc>
        <w:tc>
          <w:tcPr>
            <w:tcW w:w="192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植物措施</w:t>
            </w:r>
          </w:p>
        </w:tc>
        <w:tc>
          <w:tcPr>
            <w:tcW w:w="111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hint="eastAsia"/>
                <w:sz w:val="20"/>
              </w:rPr>
              <w:t>0.83</w:t>
            </w:r>
          </w:p>
        </w:tc>
      </w:tr>
      <w:tr w:rsidR="006C378F">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6C378F">
            <w:pPr>
              <w:pStyle w:val="af0"/>
              <w:rPr>
                <w:rFonts w:asciiTheme="minorEastAsia" w:eastAsiaTheme="minorEastAsia" w:hAnsiTheme="minorEastAsia"/>
                <w:sz w:val="20"/>
              </w:rPr>
            </w:pPr>
          </w:p>
        </w:tc>
        <w:tc>
          <w:tcPr>
            <w:tcW w:w="196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临时措施</w:t>
            </w:r>
          </w:p>
        </w:tc>
        <w:tc>
          <w:tcPr>
            <w:tcW w:w="2186"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hint="eastAsia"/>
                <w:sz w:val="20"/>
              </w:rPr>
              <w:t>0.2</w:t>
            </w:r>
          </w:p>
        </w:tc>
        <w:tc>
          <w:tcPr>
            <w:tcW w:w="192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水土保持补偿费</w:t>
            </w:r>
          </w:p>
        </w:tc>
        <w:tc>
          <w:tcPr>
            <w:tcW w:w="111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1.</w:t>
            </w:r>
            <w:r>
              <w:rPr>
                <w:rFonts w:asciiTheme="minorEastAsia" w:eastAsiaTheme="minorEastAsia" w:hAnsiTheme="minorEastAsia" w:hint="eastAsia"/>
                <w:sz w:val="20"/>
              </w:rPr>
              <w:t>04</w:t>
            </w:r>
          </w:p>
        </w:tc>
      </w:tr>
      <w:tr w:rsidR="006C378F">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6C378F">
            <w:pPr>
              <w:pStyle w:val="af0"/>
              <w:rPr>
                <w:rFonts w:asciiTheme="minorEastAsia" w:eastAsiaTheme="minorEastAsia" w:hAnsiTheme="minorEastAsia"/>
                <w:sz w:val="20"/>
              </w:rPr>
            </w:pPr>
          </w:p>
        </w:tc>
        <w:tc>
          <w:tcPr>
            <w:tcW w:w="1960" w:type="dxa"/>
            <w:gridSpan w:val="3"/>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独立费用</w:t>
            </w:r>
          </w:p>
        </w:tc>
        <w:tc>
          <w:tcPr>
            <w:tcW w:w="2153"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建设管理费</w:t>
            </w:r>
          </w:p>
        </w:tc>
        <w:tc>
          <w:tcPr>
            <w:tcW w:w="3076" w:type="dxa"/>
            <w:gridSpan w:val="8"/>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0</w:t>
            </w:r>
          </w:p>
        </w:tc>
      </w:tr>
      <w:tr w:rsidR="006C378F">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6C378F">
            <w:pPr>
              <w:pStyle w:val="af0"/>
              <w:rPr>
                <w:rFonts w:asciiTheme="minorEastAsia" w:eastAsiaTheme="minorEastAsia" w:hAnsiTheme="minorEastAsia"/>
                <w:sz w:val="20"/>
              </w:rPr>
            </w:pPr>
          </w:p>
        </w:tc>
        <w:tc>
          <w:tcPr>
            <w:tcW w:w="1960" w:type="dxa"/>
            <w:gridSpan w:val="3"/>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6C378F">
            <w:pPr>
              <w:pStyle w:val="af0"/>
              <w:rPr>
                <w:rFonts w:asciiTheme="minorEastAsia" w:eastAsiaTheme="minorEastAsia" w:hAnsiTheme="minorEastAsia"/>
                <w:sz w:val="20"/>
              </w:rPr>
            </w:pPr>
          </w:p>
        </w:tc>
        <w:tc>
          <w:tcPr>
            <w:tcW w:w="2153"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hint="eastAsia"/>
                <w:sz w:val="20"/>
              </w:rPr>
              <w:t>水土保持方案编制费</w:t>
            </w:r>
          </w:p>
        </w:tc>
        <w:tc>
          <w:tcPr>
            <w:tcW w:w="3076" w:type="dxa"/>
            <w:gridSpan w:val="8"/>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3</w:t>
            </w:r>
            <w:r>
              <w:rPr>
                <w:rFonts w:asciiTheme="minorEastAsia" w:eastAsiaTheme="minorEastAsia" w:hAnsiTheme="minorEastAsia" w:hint="eastAsia"/>
                <w:sz w:val="20"/>
              </w:rPr>
              <w:t>.5</w:t>
            </w:r>
          </w:p>
        </w:tc>
      </w:tr>
      <w:tr w:rsidR="006C378F">
        <w:trPr>
          <w:trHeight w:val="141"/>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6C378F">
            <w:pPr>
              <w:pStyle w:val="af0"/>
              <w:rPr>
                <w:rFonts w:asciiTheme="minorEastAsia" w:eastAsiaTheme="minorEastAsia" w:hAnsiTheme="minorEastAsia"/>
                <w:sz w:val="20"/>
              </w:rPr>
            </w:pPr>
          </w:p>
        </w:tc>
        <w:tc>
          <w:tcPr>
            <w:tcW w:w="1960" w:type="dxa"/>
            <w:gridSpan w:val="3"/>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6C378F">
            <w:pPr>
              <w:pStyle w:val="af0"/>
              <w:rPr>
                <w:rFonts w:asciiTheme="minorEastAsia" w:eastAsiaTheme="minorEastAsia" w:hAnsiTheme="minorEastAsia"/>
                <w:sz w:val="20"/>
              </w:rPr>
            </w:pPr>
          </w:p>
        </w:tc>
        <w:tc>
          <w:tcPr>
            <w:tcW w:w="2153"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jc w:val="both"/>
              <w:rPr>
                <w:rFonts w:asciiTheme="minorEastAsia" w:eastAsiaTheme="minorEastAsia" w:hAnsiTheme="minorEastAsia"/>
                <w:sz w:val="20"/>
              </w:rPr>
            </w:pPr>
            <w:r>
              <w:rPr>
                <w:rFonts w:asciiTheme="minorEastAsia" w:eastAsiaTheme="minorEastAsia" w:hAnsiTheme="minorEastAsia" w:hint="eastAsia"/>
                <w:sz w:val="20"/>
              </w:rPr>
              <w:t>水土保持竣工验收费</w:t>
            </w:r>
          </w:p>
        </w:tc>
        <w:tc>
          <w:tcPr>
            <w:tcW w:w="3076" w:type="dxa"/>
            <w:gridSpan w:val="8"/>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3</w:t>
            </w:r>
            <w:r>
              <w:rPr>
                <w:rFonts w:asciiTheme="minorEastAsia" w:eastAsiaTheme="minorEastAsia" w:hAnsiTheme="minorEastAsia" w:hint="eastAsia"/>
                <w:sz w:val="20"/>
              </w:rPr>
              <w:t>.8</w:t>
            </w:r>
          </w:p>
        </w:tc>
      </w:tr>
      <w:tr w:rsidR="006C378F">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6C378F">
            <w:pPr>
              <w:pStyle w:val="af0"/>
              <w:rPr>
                <w:rFonts w:asciiTheme="minorEastAsia" w:eastAsiaTheme="minorEastAsia" w:hAnsiTheme="minorEastAsia"/>
                <w:sz w:val="20"/>
              </w:rPr>
            </w:pPr>
          </w:p>
        </w:tc>
        <w:tc>
          <w:tcPr>
            <w:tcW w:w="196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hint="eastAsia"/>
                <w:sz w:val="20"/>
              </w:rPr>
              <w:t>预备费用</w:t>
            </w:r>
          </w:p>
        </w:tc>
        <w:tc>
          <w:tcPr>
            <w:tcW w:w="5229" w:type="dxa"/>
            <w:gridSpan w:val="1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hint="eastAsia"/>
                <w:sz w:val="20"/>
              </w:rPr>
              <w:t>0</w:t>
            </w:r>
          </w:p>
        </w:tc>
      </w:tr>
      <w:tr w:rsidR="006C378F">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6C378F">
            <w:pPr>
              <w:pStyle w:val="af0"/>
              <w:rPr>
                <w:rFonts w:asciiTheme="minorEastAsia" w:eastAsiaTheme="minorEastAsia" w:hAnsiTheme="minorEastAsia"/>
                <w:sz w:val="20"/>
              </w:rPr>
            </w:pPr>
          </w:p>
        </w:tc>
        <w:tc>
          <w:tcPr>
            <w:tcW w:w="196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总投资</w:t>
            </w:r>
          </w:p>
        </w:tc>
        <w:tc>
          <w:tcPr>
            <w:tcW w:w="5229" w:type="dxa"/>
            <w:gridSpan w:val="1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hint="eastAsia"/>
                <w:sz w:val="20"/>
              </w:rPr>
              <w:t>17.07</w:t>
            </w:r>
          </w:p>
        </w:tc>
      </w:tr>
      <w:tr w:rsidR="006C378F">
        <w:trPr>
          <w:trHeight w:val="23"/>
        </w:trPr>
        <w:tc>
          <w:tcPr>
            <w:tcW w:w="150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编制单位</w:t>
            </w:r>
          </w:p>
        </w:tc>
        <w:tc>
          <w:tcPr>
            <w:tcW w:w="2889"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AA47A7">
            <w:pPr>
              <w:pStyle w:val="af0"/>
              <w:rPr>
                <w:rFonts w:asciiTheme="minorEastAsia" w:eastAsiaTheme="minorEastAsia" w:hAnsiTheme="minorEastAsia"/>
                <w:sz w:val="20"/>
              </w:rPr>
            </w:pPr>
            <w:r w:rsidRPr="00AA47A7">
              <w:rPr>
                <w:rFonts w:asciiTheme="minorEastAsia" w:eastAsiaTheme="minorEastAsia" w:hAnsiTheme="minorEastAsia" w:hint="eastAsia"/>
                <w:sz w:val="20"/>
              </w:rPr>
              <w:t>四川恒越工程管理咨询有限公司</w:t>
            </w:r>
          </w:p>
        </w:tc>
        <w:tc>
          <w:tcPr>
            <w:tcW w:w="1290"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建设单位</w:t>
            </w:r>
          </w:p>
        </w:tc>
        <w:tc>
          <w:tcPr>
            <w:tcW w:w="264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hint="eastAsia"/>
                <w:sz w:val="20"/>
              </w:rPr>
              <w:t>仪陇县</w:t>
            </w:r>
            <w:r>
              <w:rPr>
                <w:rFonts w:asciiTheme="minorEastAsia" w:eastAsiaTheme="minorEastAsia" w:hAnsiTheme="minorEastAsia"/>
                <w:sz w:val="20"/>
              </w:rPr>
              <w:t>马鞍镇人民政府</w:t>
            </w:r>
          </w:p>
        </w:tc>
      </w:tr>
      <w:tr w:rsidR="006C378F">
        <w:trPr>
          <w:trHeight w:val="23"/>
        </w:trPr>
        <w:tc>
          <w:tcPr>
            <w:tcW w:w="150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法人代表</w:t>
            </w:r>
          </w:p>
        </w:tc>
        <w:tc>
          <w:tcPr>
            <w:tcW w:w="2889"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hint="eastAsia"/>
                <w:sz w:val="20"/>
              </w:rPr>
              <w:t>吴</w:t>
            </w:r>
            <w:r w:rsidR="00AA47A7">
              <w:rPr>
                <w:rFonts w:asciiTheme="minorEastAsia" w:eastAsiaTheme="minorEastAsia" w:hAnsiTheme="minorEastAsia" w:hint="eastAsia"/>
                <w:sz w:val="20"/>
              </w:rPr>
              <w:t>攀</w:t>
            </w:r>
          </w:p>
        </w:tc>
        <w:tc>
          <w:tcPr>
            <w:tcW w:w="1290"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法人代表</w:t>
            </w:r>
          </w:p>
        </w:tc>
        <w:tc>
          <w:tcPr>
            <w:tcW w:w="264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6C378F">
            <w:pPr>
              <w:pStyle w:val="af0"/>
              <w:rPr>
                <w:rFonts w:asciiTheme="minorEastAsia" w:eastAsiaTheme="minorEastAsia" w:hAnsiTheme="minorEastAsia"/>
                <w:sz w:val="20"/>
              </w:rPr>
            </w:pPr>
          </w:p>
        </w:tc>
      </w:tr>
      <w:tr w:rsidR="006C378F">
        <w:trPr>
          <w:trHeight w:val="23"/>
        </w:trPr>
        <w:tc>
          <w:tcPr>
            <w:tcW w:w="150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地址</w:t>
            </w:r>
          </w:p>
        </w:tc>
        <w:tc>
          <w:tcPr>
            <w:tcW w:w="2889"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Pr="003870A8" w:rsidRDefault="00AA47A7">
            <w:pPr>
              <w:pStyle w:val="af0"/>
              <w:rPr>
                <w:rFonts w:asciiTheme="minorEastAsia" w:eastAsiaTheme="minorEastAsia" w:hAnsiTheme="minorEastAsia"/>
                <w:sz w:val="20"/>
              </w:rPr>
            </w:pPr>
            <w:bookmarkStart w:id="0" w:name="_GoBack"/>
            <w:r w:rsidRPr="003870A8">
              <w:rPr>
                <w:rFonts w:asciiTheme="minorEastAsia" w:eastAsiaTheme="minorEastAsia" w:hAnsiTheme="minorEastAsia" w:hint="eastAsia"/>
                <w:kern w:val="0"/>
                <w:sz w:val="20"/>
                <w:lang w:bidi="ar"/>
              </w:rPr>
              <w:t>成都市金牛区蜀汉路235号4层38号</w:t>
            </w:r>
            <w:bookmarkEnd w:id="0"/>
          </w:p>
        </w:tc>
        <w:tc>
          <w:tcPr>
            <w:tcW w:w="1290"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地址</w:t>
            </w:r>
          </w:p>
        </w:tc>
        <w:tc>
          <w:tcPr>
            <w:tcW w:w="264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hint="eastAsia"/>
                <w:sz w:val="20"/>
              </w:rPr>
              <w:t>南充市仪陇县</w:t>
            </w:r>
            <w:r>
              <w:rPr>
                <w:rFonts w:asciiTheme="minorEastAsia" w:eastAsiaTheme="minorEastAsia" w:hAnsiTheme="minorEastAsia"/>
                <w:sz w:val="20"/>
              </w:rPr>
              <w:t>马鞍镇</w:t>
            </w:r>
          </w:p>
        </w:tc>
      </w:tr>
      <w:tr w:rsidR="006C378F">
        <w:trPr>
          <w:trHeight w:val="23"/>
        </w:trPr>
        <w:tc>
          <w:tcPr>
            <w:tcW w:w="150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邮编</w:t>
            </w:r>
          </w:p>
        </w:tc>
        <w:tc>
          <w:tcPr>
            <w:tcW w:w="2889"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630000</w:t>
            </w:r>
          </w:p>
        </w:tc>
        <w:tc>
          <w:tcPr>
            <w:tcW w:w="1290"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邮编</w:t>
            </w:r>
          </w:p>
        </w:tc>
        <w:tc>
          <w:tcPr>
            <w:tcW w:w="264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637000</w:t>
            </w:r>
          </w:p>
        </w:tc>
      </w:tr>
      <w:tr w:rsidR="006C378F">
        <w:trPr>
          <w:trHeight w:val="23"/>
        </w:trPr>
        <w:tc>
          <w:tcPr>
            <w:tcW w:w="150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联系人及电话</w:t>
            </w:r>
          </w:p>
        </w:tc>
        <w:tc>
          <w:tcPr>
            <w:tcW w:w="2889"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hint="eastAsia"/>
                <w:kern w:val="0"/>
                <w:sz w:val="20"/>
              </w:rPr>
              <w:t>吴韬</w:t>
            </w:r>
            <w:r>
              <w:rPr>
                <w:kern w:val="0"/>
                <w:sz w:val="20"/>
              </w:rPr>
              <w:t>/</w:t>
            </w:r>
            <w:r w:rsidR="00AA47A7" w:rsidRPr="00AA47A7">
              <w:rPr>
                <w:kern w:val="0"/>
                <w:sz w:val="20"/>
              </w:rPr>
              <w:t>18581506588</w:t>
            </w:r>
          </w:p>
        </w:tc>
        <w:tc>
          <w:tcPr>
            <w:tcW w:w="1290"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联系人及电话</w:t>
            </w:r>
          </w:p>
        </w:tc>
        <w:tc>
          <w:tcPr>
            <w:tcW w:w="264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hint="eastAsia"/>
                <w:sz w:val="20"/>
              </w:rPr>
              <w:t>鲜爱国</w:t>
            </w:r>
            <w:r>
              <w:rPr>
                <w:rFonts w:asciiTheme="minorEastAsia" w:eastAsiaTheme="minorEastAsia" w:hAnsiTheme="minorEastAsia"/>
                <w:sz w:val="20"/>
              </w:rPr>
              <w:t>/13909076899</w:t>
            </w:r>
          </w:p>
        </w:tc>
      </w:tr>
      <w:tr w:rsidR="006C378F">
        <w:trPr>
          <w:trHeight w:val="23"/>
        </w:trPr>
        <w:tc>
          <w:tcPr>
            <w:tcW w:w="150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电子邮箱</w:t>
            </w:r>
          </w:p>
        </w:tc>
        <w:tc>
          <w:tcPr>
            <w:tcW w:w="2889"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AA47A7">
            <w:pPr>
              <w:pStyle w:val="af0"/>
              <w:rPr>
                <w:rFonts w:asciiTheme="minorEastAsia" w:eastAsiaTheme="minorEastAsia" w:hAnsiTheme="minorEastAsia"/>
                <w:sz w:val="20"/>
              </w:rPr>
            </w:pPr>
            <w:r w:rsidRPr="00AA47A7">
              <w:rPr>
                <w:kern w:val="0"/>
                <w:sz w:val="20"/>
              </w:rPr>
              <w:t xml:space="preserve">wutaozx </w:t>
            </w:r>
            <w:r w:rsidR="00E12213">
              <w:rPr>
                <w:sz w:val="20"/>
              </w:rPr>
              <w:t>@qq.com</w:t>
            </w:r>
          </w:p>
        </w:tc>
        <w:tc>
          <w:tcPr>
            <w:tcW w:w="1290"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电子邮箱</w:t>
            </w:r>
          </w:p>
        </w:tc>
        <w:tc>
          <w:tcPr>
            <w:tcW w:w="264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pStyle w:val="af0"/>
              <w:rPr>
                <w:rFonts w:asciiTheme="minorEastAsia" w:eastAsiaTheme="minorEastAsia" w:hAnsiTheme="minorEastAsia"/>
                <w:sz w:val="20"/>
              </w:rPr>
            </w:pPr>
            <w:r>
              <w:rPr>
                <w:rFonts w:asciiTheme="minorEastAsia" w:eastAsiaTheme="minorEastAsia" w:hAnsiTheme="minorEastAsia"/>
                <w:sz w:val="20"/>
              </w:rPr>
              <w:t>——</w:t>
            </w:r>
          </w:p>
        </w:tc>
      </w:tr>
    </w:tbl>
    <w:sdt>
      <w:sdtPr>
        <w:rPr>
          <w:rFonts w:eastAsia="宋体"/>
          <w:b/>
          <w:bCs/>
          <w:sz w:val="21"/>
        </w:rPr>
        <w:id w:val="147459560"/>
        <w15:color w:val="DBDBDB"/>
        <w:docPartObj>
          <w:docPartGallery w:val="Table of Contents"/>
          <w:docPartUnique/>
        </w:docPartObj>
      </w:sdtPr>
      <w:sdtEndPr>
        <w:rPr>
          <w:rFonts w:eastAsia="仿宋_GB2312"/>
          <w:sz w:val="24"/>
          <w:szCs w:val="24"/>
        </w:rPr>
      </w:sdtEndPr>
      <w:sdtContent>
        <w:p w:rsidR="006C378F" w:rsidRDefault="00E12213">
          <w:pPr>
            <w:spacing w:line="360" w:lineRule="auto"/>
            <w:jc w:val="center"/>
            <w:rPr>
              <w:rStyle w:val="3Char"/>
              <w:b w:val="0"/>
              <w:spacing w:val="0"/>
              <w:sz w:val="24"/>
            </w:rPr>
          </w:pPr>
          <w:r>
            <w:rPr>
              <w:rStyle w:val="3Char"/>
            </w:rPr>
            <w:t>目录</w:t>
          </w:r>
        </w:p>
        <w:p w:rsidR="006C378F" w:rsidRDefault="00E12213">
          <w:pPr>
            <w:pStyle w:val="10"/>
            <w:tabs>
              <w:tab w:val="right" w:leader="dot" w:pos="8306"/>
            </w:tabs>
          </w:pPr>
          <w:r>
            <w:rPr>
              <w:szCs w:val="24"/>
            </w:rPr>
            <w:fldChar w:fldCharType="begin"/>
          </w:r>
          <w:r>
            <w:rPr>
              <w:szCs w:val="24"/>
            </w:rPr>
            <w:instrText xml:space="preserve">TOC \o "1-2" \h \u </w:instrText>
          </w:r>
          <w:r>
            <w:rPr>
              <w:szCs w:val="24"/>
            </w:rPr>
            <w:fldChar w:fldCharType="separate"/>
          </w:r>
          <w:hyperlink w:anchor="_Toc7764" w:history="1">
            <w:r>
              <w:t>1</w:t>
            </w:r>
            <w:r>
              <w:t>项目概况</w:t>
            </w:r>
            <w:r>
              <w:tab/>
            </w:r>
            <w:r>
              <w:fldChar w:fldCharType="begin"/>
            </w:r>
            <w:r>
              <w:instrText xml:space="preserve"> PAGEREF _Toc7764 \h </w:instrText>
            </w:r>
            <w:r>
              <w:fldChar w:fldCharType="separate"/>
            </w:r>
            <w:r>
              <w:t>5</w:t>
            </w:r>
            <w:r>
              <w:fldChar w:fldCharType="end"/>
            </w:r>
          </w:hyperlink>
        </w:p>
        <w:p w:rsidR="006C378F" w:rsidRDefault="00365CF8">
          <w:pPr>
            <w:pStyle w:val="20"/>
            <w:tabs>
              <w:tab w:val="right" w:leader="dot" w:pos="8306"/>
            </w:tabs>
            <w:ind w:left="480"/>
          </w:pPr>
          <w:hyperlink w:anchor="_Toc15591" w:history="1">
            <w:r w:rsidR="00E12213">
              <w:t>1.1</w:t>
            </w:r>
            <w:r w:rsidR="00E12213">
              <w:t>地理位置</w:t>
            </w:r>
            <w:r w:rsidR="00E12213">
              <w:tab/>
            </w:r>
            <w:r w:rsidR="00E12213">
              <w:fldChar w:fldCharType="begin"/>
            </w:r>
            <w:r w:rsidR="00E12213">
              <w:instrText xml:space="preserve"> PAGEREF _Toc15591 \h </w:instrText>
            </w:r>
            <w:r w:rsidR="00E12213">
              <w:fldChar w:fldCharType="separate"/>
            </w:r>
            <w:r w:rsidR="00E12213">
              <w:t>5</w:t>
            </w:r>
            <w:r w:rsidR="00E12213">
              <w:fldChar w:fldCharType="end"/>
            </w:r>
          </w:hyperlink>
        </w:p>
        <w:p w:rsidR="006C378F" w:rsidRDefault="00365CF8">
          <w:pPr>
            <w:pStyle w:val="20"/>
            <w:tabs>
              <w:tab w:val="right" w:leader="dot" w:pos="8306"/>
            </w:tabs>
            <w:ind w:left="480"/>
          </w:pPr>
          <w:hyperlink w:anchor="_Toc22350" w:history="1">
            <w:r w:rsidR="00E12213">
              <w:t>1.3</w:t>
            </w:r>
            <w:r w:rsidR="00E12213">
              <w:rPr>
                <w:rFonts w:hint="eastAsia"/>
              </w:rPr>
              <w:t>基本概况</w:t>
            </w:r>
            <w:r w:rsidR="00E12213">
              <w:tab/>
            </w:r>
            <w:r w:rsidR="00E12213">
              <w:fldChar w:fldCharType="begin"/>
            </w:r>
            <w:r w:rsidR="00E12213">
              <w:instrText xml:space="preserve"> PAGEREF _Toc22350 \h </w:instrText>
            </w:r>
            <w:r w:rsidR="00E12213">
              <w:fldChar w:fldCharType="separate"/>
            </w:r>
            <w:r w:rsidR="00E12213">
              <w:t>6</w:t>
            </w:r>
            <w:r w:rsidR="00E12213">
              <w:fldChar w:fldCharType="end"/>
            </w:r>
          </w:hyperlink>
        </w:p>
        <w:p w:rsidR="006C378F" w:rsidRDefault="00365CF8">
          <w:pPr>
            <w:pStyle w:val="20"/>
            <w:tabs>
              <w:tab w:val="right" w:leader="dot" w:pos="8306"/>
            </w:tabs>
            <w:ind w:left="480"/>
          </w:pPr>
          <w:hyperlink w:anchor="_Toc13671" w:history="1">
            <w:r w:rsidR="00E12213">
              <w:t>1.4</w:t>
            </w:r>
            <w:r w:rsidR="00E12213">
              <w:t>项目组成</w:t>
            </w:r>
            <w:r w:rsidR="00E12213">
              <w:rPr>
                <w:rFonts w:hint="eastAsia"/>
              </w:rPr>
              <w:t>及占地</w:t>
            </w:r>
            <w:r w:rsidR="00E12213">
              <w:tab/>
            </w:r>
            <w:r w:rsidR="00E12213">
              <w:fldChar w:fldCharType="begin"/>
            </w:r>
            <w:r w:rsidR="00E12213">
              <w:instrText xml:space="preserve"> PAGEREF _Toc13671 \h </w:instrText>
            </w:r>
            <w:r w:rsidR="00E12213">
              <w:fldChar w:fldCharType="separate"/>
            </w:r>
            <w:r w:rsidR="00E12213">
              <w:t>7</w:t>
            </w:r>
            <w:r w:rsidR="00E12213">
              <w:fldChar w:fldCharType="end"/>
            </w:r>
          </w:hyperlink>
        </w:p>
        <w:p w:rsidR="006C378F" w:rsidRDefault="00365CF8">
          <w:pPr>
            <w:pStyle w:val="20"/>
            <w:tabs>
              <w:tab w:val="right" w:leader="dot" w:pos="8306"/>
            </w:tabs>
            <w:ind w:left="480"/>
          </w:pPr>
          <w:hyperlink w:anchor="_Toc9247" w:history="1">
            <w:r w:rsidR="00E12213">
              <w:t>1.5</w:t>
            </w:r>
            <w:r w:rsidR="00E12213">
              <w:rPr>
                <w:rFonts w:hint="eastAsia"/>
              </w:rPr>
              <w:t>土石方平衡分析与评价</w:t>
            </w:r>
            <w:r w:rsidR="00E12213">
              <w:tab/>
            </w:r>
            <w:r w:rsidR="00E12213">
              <w:fldChar w:fldCharType="begin"/>
            </w:r>
            <w:r w:rsidR="00E12213">
              <w:instrText xml:space="preserve"> PAGEREF _Toc9247 \h </w:instrText>
            </w:r>
            <w:r w:rsidR="00E12213">
              <w:fldChar w:fldCharType="separate"/>
            </w:r>
            <w:r w:rsidR="00E12213">
              <w:t>7</w:t>
            </w:r>
            <w:r w:rsidR="00E12213">
              <w:fldChar w:fldCharType="end"/>
            </w:r>
          </w:hyperlink>
        </w:p>
        <w:p w:rsidR="006C378F" w:rsidRDefault="00365CF8">
          <w:pPr>
            <w:pStyle w:val="20"/>
            <w:tabs>
              <w:tab w:val="right" w:leader="dot" w:pos="8306"/>
            </w:tabs>
            <w:ind w:left="480"/>
          </w:pPr>
          <w:hyperlink w:anchor="_Toc18977" w:history="1">
            <w:r w:rsidR="00E12213">
              <w:t>1.</w:t>
            </w:r>
            <w:r w:rsidR="00E12213">
              <w:rPr>
                <w:rFonts w:hint="eastAsia"/>
              </w:rPr>
              <w:t>7</w:t>
            </w:r>
            <w:r w:rsidR="00E12213">
              <w:rPr>
                <w:rFonts w:hint="eastAsia"/>
              </w:rPr>
              <w:t>主体设计分析与评价</w:t>
            </w:r>
            <w:r w:rsidR="00E12213">
              <w:tab/>
            </w:r>
            <w:r w:rsidR="00E12213">
              <w:fldChar w:fldCharType="begin"/>
            </w:r>
            <w:r w:rsidR="00E12213">
              <w:instrText xml:space="preserve"> PAGEREF _Toc18977 \h </w:instrText>
            </w:r>
            <w:r w:rsidR="00E12213">
              <w:fldChar w:fldCharType="separate"/>
            </w:r>
            <w:r w:rsidR="00E12213">
              <w:t>8</w:t>
            </w:r>
            <w:r w:rsidR="00E12213">
              <w:fldChar w:fldCharType="end"/>
            </w:r>
          </w:hyperlink>
        </w:p>
        <w:p w:rsidR="006C378F" w:rsidRDefault="00365CF8">
          <w:pPr>
            <w:pStyle w:val="20"/>
            <w:tabs>
              <w:tab w:val="right" w:leader="dot" w:pos="8306"/>
            </w:tabs>
            <w:ind w:left="480"/>
          </w:pPr>
          <w:hyperlink w:anchor="_Toc6665" w:history="1">
            <w:r w:rsidR="00E12213">
              <w:t>1.</w:t>
            </w:r>
            <w:r w:rsidR="00E12213">
              <w:rPr>
                <w:rFonts w:hint="eastAsia"/>
              </w:rPr>
              <w:t>8</w:t>
            </w:r>
            <w:r w:rsidR="00E12213">
              <w:t>移民拆迁安置</w:t>
            </w:r>
            <w:r w:rsidR="00E12213">
              <w:tab/>
            </w:r>
            <w:r w:rsidR="00E12213">
              <w:fldChar w:fldCharType="begin"/>
            </w:r>
            <w:r w:rsidR="00E12213">
              <w:instrText xml:space="preserve"> PAGEREF _Toc6665 \h </w:instrText>
            </w:r>
            <w:r w:rsidR="00E12213">
              <w:fldChar w:fldCharType="separate"/>
            </w:r>
            <w:r w:rsidR="00E12213">
              <w:t>8</w:t>
            </w:r>
            <w:r w:rsidR="00E12213">
              <w:fldChar w:fldCharType="end"/>
            </w:r>
          </w:hyperlink>
        </w:p>
        <w:p w:rsidR="006C378F" w:rsidRDefault="00365CF8">
          <w:pPr>
            <w:pStyle w:val="20"/>
            <w:tabs>
              <w:tab w:val="right" w:leader="dot" w:pos="8306"/>
            </w:tabs>
            <w:ind w:left="480"/>
          </w:pPr>
          <w:hyperlink w:anchor="_Toc23351" w:history="1">
            <w:r w:rsidR="00E12213">
              <w:t>1.</w:t>
            </w:r>
            <w:r w:rsidR="00E12213">
              <w:rPr>
                <w:rFonts w:hint="eastAsia"/>
              </w:rPr>
              <w:t>9</w:t>
            </w:r>
            <w:r w:rsidR="00E12213">
              <w:t>施工组织设计</w:t>
            </w:r>
            <w:r w:rsidR="00E12213">
              <w:tab/>
            </w:r>
            <w:r w:rsidR="00E12213">
              <w:fldChar w:fldCharType="begin"/>
            </w:r>
            <w:r w:rsidR="00E12213">
              <w:instrText xml:space="preserve"> PAGEREF _Toc23351 \h </w:instrText>
            </w:r>
            <w:r w:rsidR="00E12213">
              <w:fldChar w:fldCharType="separate"/>
            </w:r>
            <w:r w:rsidR="00E12213">
              <w:t>8</w:t>
            </w:r>
            <w:r w:rsidR="00E12213">
              <w:fldChar w:fldCharType="end"/>
            </w:r>
          </w:hyperlink>
        </w:p>
        <w:p w:rsidR="006C378F" w:rsidRDefault="00365CF8">
          <w:pPr>
            <w:pStyle w:val="20"/>
            <w:tabs>
              <w:tab w:val="right" w:leader="dot" w:pos="8306"/>
            </w:tabs>
            <w:ind w:left="480"/>
          </w:pPr>
          <w:hyperlink w:anchor="_Toc24811" w:history="1">
            <w:r w:rsidR="00E12213">
              <w:t>1.</w:t>
            </w:r>
            <w:r w:rsidR="00E12213">
              <w:rPr>
                <w:rFonts w:hint="eastAsia"/>
              </w:rPr>
              <w:t>11</w:t>
            </w:r>
            <w:r w:rsidR="00E12213">
              <w:rPr>
                <w:rFonts w:hint="eastAsia"/>
              </w:rPr>
              <w:t>工程投资及进度安排</w:t>
            </w:r>
            <w:r w:rsidR="00E12213">
              <w:tab/>
            </w:r>
            <w:r w:rsidR="00E12213">
              <w:fldChar w:fldCharType="begin"/>
            </w:r>
            <w:r w:rsidR="00E12213">
              <w:instrText xml:space="preserve"> PAGEREF _Toc24811 \h </w:instrText>
            </w:r>
            <w:r w:rsidR="00E12213">
              <w:fldChar w:fldCharType="separate"/>
            </w:r>
            <w:r w:rsidR="00E12213">
              <w:t>9</w:t>
            </w:r>
            <w:r w:rsidR="00E12213">
              <w:fldChar w:fldCharType="end"/>
            </w:r>
          </w:hyperlink>
        </w:p>
        <w:p w:rsidR="006C378F" w:rsidRDefault="00365CF8">
          <w:pPr>
            <w:pStyle w:val="20"/>
            <w:tabs>
              <w:tab w:val="right" w:leader="dot" w:pos="8306"/>
            </w:tabs>
            <w:ind w:left="480"/>
          </w:pPr>
          <w:hyperlink w:anchor="_Toc8263" w:history="1">
            <w:r w:rsidR="00E12213">
              <w:t>1.1</w:t>
            </w:r>
            <w:r w:rsidR="00E12213">
              <w:rPr>
                <w:rFonts w:hint="eastAsia"/>
              </w:rPr>
              <w:t>2</w:t>
            </w:r>
            <w:r w:rsidR="00E12213">
              <w:t>水土流失防治的执行标准</w:t>
            </w:r>
            <w:r w:rsidR="00E12213">
              <w:tab/>
            </w:r>
            <w:r w:rsidR="00E12213">
              <w:fldChar w:fldCharType="begin"/>
            </w:r>
            <w:r w:rsidR="00E12213">
              <w:instrText xml:space="preserve"> PAGEREF _Toc8263 \h </w:instrText>
            </w:r>
            <w:r w:rsidR="00E12213">
              <w:fldChar w:fldCharType="separate"/>
            </w:r>
            <w:r w:rsidR="00E12213">
              <w:t>9</w:t>
            </w:r>
            <w:r w:rsidR="00E12213">
              <w:fldChar w:fldCharType="end"/>
            </w:r>
          </w:hyperlink>
        </w:p>
        <w:p w:rsidR="006C378F" w:rsidRDefault="00365CF8">
          <w:pPr>
            <w:pStyle w:val="20"/>
            <w:tabs>
              <w:tab w:val="right" w:leader="dot" w:pos="8306"/>
            </w:tabs>
            <w:ind w:left="480"/>
          </w:pPr>
          <w:hyperlink w:anchor="_Toc11323" w:history="1">
            <w:r w:rsidR="00E12213">
              <w:t>1.1</w:t>
            </w:r>
            <w:r w:rsidR="00E12213">
              <w:rPr>
                <w:rFonts w:hint="eastAsia"/>
              </w:rPr>
              <w:t>3</w:t>
            </w:r>
            <w:r w:rsidR="00E12213">
              <w:t>方案设计水平年</w:t>
            </w:r>
            <w:r w:rsidR="00E12213">
              <w:tab/>
            </w:r>
            <w:r w:rsidR="00E12213">
              <w:fldChar w:fldCharType="begin"/>
            </w:r>
            <w:r w:rsidR="00E12213">
              <w:instrText xml:space="preserve"> PAGEREF _Toc11323 \h </w:instrText>
            </w:r>
            <w:r w:rsidR="00E12213">
              <w:fldChar w:fldCharType="separate"/>
            </w:r>
            <w:r w:rsidR="00E12213">
              <w:t>10</w:t>
            </w:r>
            <w:r w:rsidR="00E12213">
              <w:fldChar w:fldCharType="end"/>
            </w:r>
          </w:hyperlink>
        </w:p>
        <w:p w:rsidR="006C378F" w:rsidRDefault="00365CF8">
          <w:pPr>
            <w:pStyle w:val="20"/>
            <w:tabs>
              <w:tab w:val="right" w:leader="dot" w:pos="8306"/>
            </w:tabs>
            <w:ind w:left="480"/>
          </w:pPr>
          <w:hyperlink w:anchor="_Toc14326" w:history="1">
            <w:r w:rsidR="00E12213">
              <w:t>1.2</w:t>
            </w:r>
            <w:r w:rsidR="00E12213">
              <w:t>编制依据</w:t>
            </w:r>
            <w:r w:rsidR="00E12213">
              <w:tab/>
            </w:r>
            <w:r w:rsidR="00E12213">
              <w:fldChar w:fldCharType="begin"/>
            </w:r>
            <w:r w:rsidR="00E12213">
              <w:instrText xml:space="preserve"> PAGEREF _Toc14326 \h </w:instrText>
            </w:r>
            <w:r w:rsidR="00E12213">
              <w:fldChar w:fldCharType="separate"/>
            </w:r>
            <w:r w:rsidR="00E12213">
              <w:t>10</w:t>
            </w:r>
            <w:r w:rsidR="00E12213">
              <w:fldChar w:fldCharType="end"/>
            </w:r>
          </w:hyperlink>
        </w:p>
        <w:p w:rsidR="006C378F" w:rsidRDefault="00365CF8">
          <w:pPr>
            <w:pStyle w:val="10"/>
            <w:tabs>
              <w:tab w:val="right" w:leader="dot" w:pos="8306"/>
            </w:tabs>
          </w:pPr>
          <w:hyperlink w:anchor="_Toc7403" w:history="1">
            <w:r w:rsidR="00E12213">
              <w:t>2</w:t>
            </w:r>
            <w:r w:rsidR="00E12213">
              <w:t>项目区概况</w:t>
            </w:r>
            <w:r w:rsidR="00E12213">
              <w:tab/>
            </w:r>
            <w:r w:rsidR="00E12213">
              <w:fldChar w:fldCharType="begin"/>
            </w:r>
            <w:r w:rsidR="00E12213">
              <w:instrText xml:space="preserve"> PAGEREF _Toc7403 \h </w:instrText>
            </w:r>
            <w:r w:rsidR="00E12213">
              <w:fldChar w:fldCharType="separate"/>
            </w:r>
            <w:r w:rsidR="00E12213">
              <w:t>12</w:t>
            </w:r>
            <w:r w:rsidR="00E12213">
              <w:fldChar w:fldCharType="end"/>
            </w:r>
          </w:hyperlink>
        </w:p>
        <w:p w:rsidR="006C378F" w:rsidRDefault="00365CF8">
          <w:pPr>
            <w:pStyle w:val="20"/>
            <w:tabs>
              <w:tab w:val="right" w:leader="dot" w:pos="8306"/>
            </w:tabs>
            <w:ind w:left="480"/>
          </w:pPr>
          <w:hyperlink w:anchor="_Toc20686" w:history="1">
            <w:r w:rsidR="00E12213">
              <w:t>2.1</w:t>
            </w:r>
            <w:r w:rsidR="00E12213">
              <w:rPr>
                <w:rFonts w:hint="eastAsia"/>
              </w:rPr>
              <w:t xml:space="preserve"> </w:t>
            </w:r>
            <w:r w:rsidR="00E12213">
              <w:t>地形地貌</w:t>
            </w:r>
            <w:r w:rsidR="00E12213">
              <w:tab/>
            </w:r>
            <w:r w:rsidR="00E12213">
              <w:fldChar w:fldCharType="begin"/>
            </w:r>
            <w:r w:rsidR="00E12213">
              <w:instrText xml:space="preserve"> PAGEREF _Toc20686 \h </w:instrText>
            </w:r>
            <w:r w:rsidR="00E12213">
              <w:fldChar w:fldCharType="separate"/>
            </w:r>
            <w:r w:rsidR="00E12213">
              <w:t>12</w:t>
            </w:r>
            <w:r w:rsidR="00E12213">
              <w:fldChar w:fldCharType="end"/>
            </w:r>
          </w:hyperlink>
        </w:p>
        <w:p w:rsidR="006C378F" w:rsidRDefault="00365CF8">
          <w:pPr>
            <w:pStyle w:val="20"/>
            <w:tabs>
              <w:tab w:val="right" w:leader="dot" w:pos="8306"/>
            </w:tabs>
            <w:ind w:left="480"/>
          </w:pPr>
          <w:hyperlink w:anchor="_Toc23378" w:history="1">
            <w:r w:rsidR="00E12213">
              <w:t>2.2</w:t>
            </w:r>
            <w:r w:rsidR="00E12213">
              <w:t>自然环境概况</w:t>
            </w:r>
            <w:r w:rsidR="00E12213">
              <w:tab/>
            </w:r>
            <w:r w:rsidR="00E12213">
              <w:fldChar w:fldCharType="begin"/>
            </w:r>
            <w:r w:rsidR="00E12213">
              <w:instrText xml:space="preserve"> PAGEREF _Toc23378 \h </w:instrText>
            </w:r>
            <w:r w:rsidR="00E12213">
              <w:fldChar w:fldCharType="separate"/>
            </w:r>
            <w:r w:rsidR="00E12213">
              <w:t>12</w:t>
            </w:r>
            <w:r w:rsidR="00E12213">
              <w:fldChar w:fldCharType="end"/>
            </w:r>
          </w:hyperlink>
        </w:p>
        <w:p w:rsidR="006C378F" w:rsidRDefault="00365CF8">
          <w:pPr>
            <w:pStyle w:val="20"/>
            <w:tabs>
              <w:tab w:val="right" w:leader="dot" w:pos="8306"/>
            </w:tabs>
            <w:ind w:left="480"/>
          </w:pPr>
          <w:hyperlink w:anchor="_Toc7660" w:history="1">
            <w:r w:rsidR="00E12213">
              <w:t>2.3</w:t>
            </w:r>
            <w:r w:rsidR="00E12213">
              <w:t>社会经济概况</w:t>
            </w:r>
            <w:r w:rsidR="00E12213">
              <w:tab/>
            </w:r>
            <w:r w:rsidR="00E12213">
              <w:fldChar w:fldCharType="begin"/>
            </w:r>
            <w:r w:rsidR="00E12213">
              <w:instrText xml:space="preserve"> PAGEREF _Toc7660 \h </w:instrText>
            </w:r>
            <w:r w:rsidR="00E12213">
              <w:fldChar w:fldCharType="separate"/>
            </w:r>
            <w:r w:rsidR="00E12213">
              <w:t>14</w:t>
            </w:r>
            <w:r w:rsidR="00E12213">
              <w:fldChar w:fldCharType="end"/>
            </w:r>
          </w:hyperlink>
        </w:p>
        <w:p w:rsidR="006C378F" w:rsidRDefault="00365CF8">
          <w:pPr>
            <w:pStyle w:val="20"/>
            <w:tabs>
              <w:tab w:val="right" w:leader="dot" w:pos="8306"/>
            </w:tabs>
            <w:ind w:left="480"/>
          </w:pPr>
          <w:hyperlink w:anchor="_Toc29079" w:history="1">
            <w:r w:rsidR="00E12213">
              <w:t>2.4</w:t>
            </w:r>
            <w:r w:rsidR="00E12213">
              <w:t>土地利用现状</w:t>
            </w:r>
            <w:r w:rsidR="00E12213">
              <w:tab/>
            </w:r>
            <w:r w:rsidR="00E12213">
              <w:fldChar w:fldCharType="begin"/>
            </w:r>
            <w:r w:rsidR="00E12213">
              <w:instrText xml:space="preserve"> PAGEREF _Toc29079 \h </w:instrText>
            </w:r>
            <w:r w:rsidR="00E12213">
              <w:fldChar w:fldCharType="separate"/>
            </w:r>
            <w:r w:rsidR="00E12213">
              <w:t>14</w:t>
            </w:r>
            <w:r w:rsidR="00E12213">
              <w:fldChar w:fldCharType="end"/>
            </w:r>
          </w:hyperlink>
        </w:p>
        <w:p w:rsidR="006C378F" w:rsidRDefault="00365CF8">
          <w:pPr>
            <w:pStyle w:val="20"/>
            <w:tabs>
              <w:tab w:val="right" w:leader="dot" w:pos="8306"/>
            </w:tabs>
            <w:ind w:left="480"/>
          </w:pPr>
          <w:hyperlink w:anchor="_Toc7773" w:history="1">
            <w:r w:rsidR="00E12213">
              <w:t>2.5</w:t>
            </w:r>
            <w:r w:rsidR="00E12213">
              <w:t>水土流失现状</w:t>
            </w:r>
            <w:r w:rsidR="00E12213">
              <w:tab/>
            </w:r>
            <w:r w:rsidR="00E12213">
              <w:fldChar w:fldCharType="begin"/>
            </w:r>
            <w:r w:rsidR="00E12213">
              <w:instrText xml:space="preserve"> PAGEREF _Toc7773 \h </w:instrText>
            </w:r>
            <w:r w:rsidR="00E12213">
              <w:fldChar w:fldCharType="separate"/>
            </w:r>
            <w:r w:rsidR="00E12213">
              <w:t>15</w:t>
            </w:r>
            <w:r w:rsidR="00E12213">
              <w:fldChar w:fldCharType="end"/>
            </w:r>
          </w:hyperlink>
        </w:p>
        <w:p w:rsidR="006C378F" w:rsidRDefault="00365CF8">
          <w:pPr>
            <w:pStyle w:val="20"/>
            <w:tabs>
              <w:tab w:val="right" w:leader="dot" w:pos="8306"/>
            </w:tabs>
            <w:ind w:left="480"/>
          </w:pPr>
          <w:hyperlink w:anchor="_Toc29227" w:history="1">
            <w:r w:rsidR="00E12213">
              <w:t>2.6</w:t>
            </w:r>
            <w:r w:rsidR="00E12213">
              <w:t>项目区水土保持现状</w:t>
            </w:r>
            <w:r w:rsidR="00E12213">
              <w:tab/>
            </w:r>
            <w:r w:rsidR="00E12213">
              <w:fldChar w:fldCharType="begin"/>
            </w:r>
            <w:r w:rsidR="00E12213">
              <w:instrText xml:space="preserve"> PAGEREF _Toc29227 \h </w:instrText>
            </w:r>
            <w:r w:rsidR="00E12213">
              <w:fldChar w:fldCharType="separate"/>
            </w:r>
            <w:r w:rsidR="00E12213">
              <w:t>16</w:t>
            </w:r>
            <w:r w:rsidR="00E12213">
              <w:fldChar w:fldCharType="end"/>
            </w:r>
          </w:hyperlink>
        </w:p>
        <w:p w:rsidR="006C378F" w:rsidRDefault="00365CF8">
          <w:pPr>
            <w:pStyle w:val="20"/>
            <w:tabs>
              <w:tab w:val="right" w:leader="dot" w:pos="8306"/>
            </w:tabs>
            <w:ind w:left="480"/>
          </w:pPr>
          <w:hyperlink w:anchor="_Toc4945" w:history="1">
            <w:r w:rsidR="00E12213">
              <w:t>2.7</w:t>
            </w:r>
            <w:r w:rsidR="00E12213">
              <w:t>水土流失防治经验</w:t>
            </w:r>
            <w:r w:rsidR="00E12213">
              <w:tab/>
            </w:r>
            <w:r w:rsidR="00E12213">
              <w:fldChar w:fldCharType="begin"/>
            </w:r>
            <w:r w:rsidR="00E12213">
              <w:instrText xml:space="preserve"> PAGEREF _Toc4945 \h </w:instrText>
            </w:r>
            <w:r w:rsidR="00E12213">
              <w:fldChar w:fldCharType="separate"/>
            </w:r>
            <w:r w:rsidR="00E12213">
              <w:t>17</w:t>
            </w:r>
            <w:r w:rsidR="00E12213">
              <w:fldChar w:fldCharType="end"/>
            </w:r>
          </w:hyperlink>
        </w:p>
        <w:p w:rsidR="006C378F" w:rsidRDefault="00365CF8">
          <w:pPr>
            <w:pStyle w:val="10"/>
            <w:tabs>
              <w:tab w:val="right" w:leader="dot" w:pos="8306"/>
            </w:tabs>
          </w:pPr>
          <w:hyperlink w:anchor="_Toc12254" w:history="1">
            <w:r w:rsidR="00E12213">
              <w:t>3</w:t>
            </w:r>
            <w:r w:rsidR="00E12213">
              <w:t>水土流失防治责任范围</w:t>
            </w:r>
            <w:r w:rsidR="00E12213">
              <w:rPr>
                <w:rFonts w:hint="eastAsia"/>
              </w:rPr>
              <w:t>及防治分区</w:t>
            </w:r>
            <w:r w:rsidR="00E12213">
              <w:tab/>
            </w:r>
            <w:r w:rsidR="00E12213">
              <w:fldChar w:fldCharType="begin"/>
            </w:r>
            <w:r w:rsidR="00E12213">
              <w:instrText xml:space="preserve"> PAGEREF _Toc12254 \h </w:instrText>
            </w:r>
            <w:r w:rsidR="00E12213">
              <w:fldChar w:fldCharType="separate"/>
            </w:r>
            <w:r w:rsidR="00E12213">
              <w:t>20</w:t>
            </w:r>
            <w:r w:rsidR="00E12213">
              <w:fldChar w:fldCharType="end"/>
            </w:r>
          </w:hyperlink>
        </w:p>
        <w:p w:rsidR="006C378F" w:rsidRDefault="00365CF8">
          <w:pPr>
            <w:pStyle w:val="20"/>
            <w:tabs>
              <w:tab w:val="right" w:leader="dot" w:pos="8306"/>
            </w:tabs>
            <w:ind w:left="480"/>
          </w:pPr>
          <w:hyperlink w:anchor="_Toc28628" w:history="1">
            <w:r w:rsidR="00E12213">
              <w:rPr>
                <w:rFonts w:hint="eastAsia"/>
                <w:szCs w:val="30"/>
              </w:rPr>
              <w:t>3</w:t>
            </w:r>
            <w:r w:rsidR="00E12213">
              <w:rPr>
                <w:szCs w:val="30"/>
              </w:rPr>
              <w:t>.1</w:t>
            </w:r>
            <w:r w:rsidR="00E12213">
              <w:rPr>
                <w:rFonts w:hint="eastAsia"/>
                <w:szCs w:val="30"/>
              </w:rPr>
              <w:t>水土流失防治责任范围</w:t>
            </w:r>
            <w:r w:rsidR="00E12213">
              <w:tab/>
            </w:r>
            <w:r w:rsidR="00E12213">
              <w:fldChar w:fldCharType="begin"/>
            </w:r>
            <w:r w:rsidR="00E12213">
              <w:instrText xml:space="preserve"> PAGEREF _Toc28628 \h </w:instrText>
            </w:r>
            <w:r w:rsidR="00E12213">
              <w:fldChar w:fldCharType="separate"/>
            </w:r>
            <w:r w:rsidR="00E12213">
              <w:t>20</w:t>
            </w:r>
            <w:r w:rsidR="00E12213">
              <w:fldChar w:fldCharType="end"/>
            </w:r>
          </w:hyperlink>
        </w:p>
        <w:p w:rsidR="006C378F" w:rsidRDefault="00365CF8">
          <w:pPr>
            <w:pStyle w:val="20"/>
            <w:tabs>
              <w:tab w:val="right" w:leader="dot" w:pos="8306"/>
            </w:tabs>
            <w:ind w:left="480"/>
          </w:pPr>
          <w:hyperlink w:anchor="_Toc25036" w:history="1">
            <w:r w:rsidR="00E12213">
              <w:rPr>
                <w:rFonts w:hint="eastAsia"/>
                <w:szCs w:val="30"/>
              </w:rPr>
              <w:t>3</w:t>
            </w:r>
            <w:r w:rsidR="00E12213">
              <w:rPr>
                <w:szCs w:val="30"/>
              </w:rPr>
              <w:t>.</w:t>
            </w:r>
            <w:r w:rsidR="00E12213">
              <w:rPr>
                <w:rFonts w:hint="eastAsia"/>
                <w:szCs w:val="30"/>
              </w:rPr>
              <w:t>2</w:t>
            </w:r>
            <w:r w:rsidR="00E12213">
              <w:rPr>
                <w:rFonts w:hint="eastAsia"/>
                <w:szCs w:val="30"/>
              </w:rPr>
              <w:t>水土流失防治分区</w:t>
            </w:r>
            <w:r w:rsidR="00E12213">
              <w:tab/>
            </w:r>
            <w:r w:rsidR="00E12213">
              <w:fldChar w:fldCharType="begin"/>
            </w:r>
            <w:r w:rsidR="00E12213">
              <w:instrText xml:space="preserve"> PAGEREF _Toc25036 \h </w:instrText>
            </w:r>
            <w:r w:rsidR="00E12213">
              <w:fldChar w:fldCharType="separate"/>
            </w:r>
            <w:r w:rsidR="00E12213">
              <w:t>20</w:t>
            </w:r>
            <w:r w:rsidR="00E12213">
              <w:fldChar w:fldCharType="end"/>
            </w:r>
          </w:hyperlink>
        </w:p>
        <w:p w:rsidR="006C378F" w:rsidRDefault="00365CF8">
          <w:pPr>
            <w:pStyle w:val="10"/>
            <w:tabs>
              <w:tab w:val="right" w:leader="dot" w:pos="8306"/>
            </w:tabs>
          </w:pPr>
          <w:hyperlink w:anchor="_Toc24137" w:history="1">
            <w:r w:rsidR="00E12213">
              <w:t>4</w:t>
            </w:r>
            <w:r w:rsidR="00E12213">
              <w:t>水土</w:t>
            </w:r>
            <w:r w:rsidR="00E12213">
              <w:rPr>
                <w:rFonts w:hint="eastAsia"/>
              </w:rPr>
              <w:t>流失的环节分析</w:t>
            </w:r>
            <w:r w:rsidR="00E12213">
              <w:tab/>
            </w:r>
            <w:r w:rsidR="00E12213">
              <w:fldChar w:fldCharType="begin"/>
            </w:r>
            <w:r w:rsidR="00E12213">
              <w:instrText xml:space="preserve"> PAGEREF _Toc24137 \h </w:instrText>
            </w:r>
            <w:r w:rsidR="00E12213">
              <w:fldChar w:fldCharType="separate"/>
            </w:r>
            <w:r w:rsidR="00E12213">
              <w:t>21</w:t>
            </w:r>
            <w:r w:rsidR="00E12213">
              <w:fldChar w:fldCharType="end"/>
            </w:r>
          </w:hyperlink>
        </w:p>
        <w:p w:rsidR="006C378F" w:rsidRDefault="00365CF8">
          <w:pPr>
            <w:pStyle w:val="20"/>
            <w:tabs>
              <w:tab w:val="right" w:leader="dot" w:pos="8306"/>
            </w:tabs>
            <w:ind w:left="480"/>
          </w:pPr>
          <w:hyperlink w:anchor="_Toc31190" w:history="1">
            <w:r w:rsidR="00E12213">
              <w:t>4.1</w:t>
            </w:r>
            <w:r w:rsidR="00E12213">
              <w:t>水土流失现状</w:t>
            </w:r>
            <w:r w:rsidR="00E12213">
              <w:tab/>
            </w:r>
            <w:r w:rsidR="00E12213">
              <w:fldChar w:fldCharType="begin"/>
            </w:r>
            <w:r w:rsidR="00E12213">
              <w:instrText xml:space="preserve"> PAGEREF _Toc31190 \h </w:instrText>
            </w:r>
            <w:r w:rsidR="00E12213">
              <w:fldChar w:fldCharType="separate"/>
            </w:r>
            <w:r w:rsidR="00E12213">
              <w:t>21</w:t>
            </w:r>
            <w:r w:rsidR="00E12213">
              <w:fldChar w:fldCharType="end"/>
            </w:r>
          </w:hyperlink>
        </w:p>
        <w:p w:rsidR="006C378F" w:rsidRDefault="00365CF8">
          <w:pPr>
            <w:pStyle w:val="20"/>
            <w:tabs>
              <w:tab w:val="right" w:leader="dot" w:pos="8306"/>
            </w:tabs>
            <w:ind w:left="480"/>
          </w:pPr>
          <w:hyperlink w:anchor="_Toc7062" w:history="1">
            <w:r w:rsidR="00E12213">
              <w:rPr>
                <w:position w:val="4"/>
                <w:szCs w:val="30"/>
              </w:rPr>
              <w:t>4.2</w:t>
            </w:r>
            <w:r w:rsidR="00E12213">
              <w:rPr>
                <w:position w:val="4"/>
                <w:szCs w:val="30"/>
              </w:rPr>
              <w:t>水土流失影响因素分析</w:t>
            </w:r>
            <w:r w:rsidR="00E12213">
              <w:tab/>
            </w:r>
            <w:r w:rsidR="00E12213">
              <w:fldChar w:fldCharType="begin"/>
            </w:r>
            <w:r w:rsidR="00E12213">
              <w:instrText xml:space="preserve"> PAGEREF _Toc7062 \h </w:instrText>
            </w:r>
            <w:r w:rsidR="00E12213">
              <w:fldChar w:fldCharType="separate"/>
            </w:r>
            <w:r w:rsidR="00E12213">
              <w:t>21</w:t>
            </w:r>
            <w:r w:rsidR="00E12213">
              <w:fldChar w:fldCharType="end"/>
            </w:r>
          </w:hyperlink>
        </w:p>
        <w:p w:rsidR="006C378F" w:rsidRDefault="00365CF8">
          <w:pPr>
            <w:pStyle w:val="20"/>
            <w:tabs>
              <w:tab w:val="right" w:leader="dot" w:pos="8306"/>
            </w:tabs>
            <w:ind w:left="480"/>
          </w:pPr>
          <w:hyperlink w:anchor="_Toc8912" w:history="1">
            <w:r w:rsidR="00E12213">
              <w:rPr>
                <w:rFonts w:hint="eastAsia"/>
              </w:rPr>
              <w:t>4</w:t>
            </w:r>
            <w:r w:rsidR="00E12213">
              <w:t>.3</w:t>
            </w:r>
            <w:r w:rsidR="00E12213">
              <w:t>土壤流失量</w:t>
            </w:r>
            <w:r w:rsidR="00E12213">
              <w:rPr>
                <w:rFonts w:hint="eastAsia"/>
              </w:rPr>
              <w:t>调查</w:t>
            </w:r>
            <w:r w:rsidR="00E12213">
              <w:tab/>
            </w:r>
            <w:r w:rsidR="00E12213">
              <w:fldChar w:fldCharType="begin"/>
            </w:r>
            <w:r w:rsidR="00E12213">
              <w:instrText xml:space="preserve"> PAGEREF _Toc8912 \h </w:instrText>
            </w:r>
            <w:r w:rsidR="00E12213">
              <w:fldChar w:fldCharType="separate"/>
            </w:r>
            <w:r w:rsidR="00E12213">
              <w:t>21</w:t>
            </w:r>
            <w:r w:rsidR="00E12213">
              <w:fldChar w:fldCharType="end"/>
            </w:r>
          </w:hyperlink>
        </w:p>
        <w:p w:rsidR="006C378F" w:rsidRDefault="00365CF8">
          <w:pPr>
            <w:pStyle w:val="10"/>
            <w:tabs>
              <w:tab w:val="right" w:leader="dot" w:pos="8306"/>
            </w:tabs>
          </w:pPr>
          <w:hyperlink w:anchor="_Toc10910" w:history="1">
            <w:r w:rsidR="00E12213">
              <w:t>5</w:t>
            </w:r>
            <w:r w:rsidR="00E12213">
              <w:t>水土保持措施</w:t>
            </w:r>
            <w:r w:rsidR="00E12213">
              <w:tab/>
            </w:r>
            <w:r w:rsidR="00E12213">
              <w:fldChar w:fldCharType="begin"/>
            </w:r>
            <w:r w:rsidR="00E12213">
              <w:instrText xml:space="preserve"> PAGEREF _Toc10910 \h </w:instrText>
            </w:r>
            <w:r w:rsidR="00E12213">
              <w:fldChar w:fldCharType="separate"/>
            </w:r>
            <w:r w:rsidR="00E12213">
              <w:t>25</w:t>
            </w:r>
            <w:r w:rsidR="00E12213">
              <w:fldChar w:fldCharType="end"/>
            </w:r>
          </w:hyperlink>
        </w:p>
        <w:p w:rsidR="006C378F" w:rsidRDefault="00365CF8">
          <w:pPr>
            <w:pStyle w:val="20"/>
            <w:tabs>
              <w:tab w:val="right" w:leader="dot" w:pos="8306"/>
            </w:tabs>
            <w:ind w:left="480"/>
          </w:pPr>
          <w:hyperlink w:anchor="_Toc20977" w:history="1">
            <w:r w:rsidR="00E12213">
              <w:rPr>
                <w:bCs/>
                <w:kern w:val="30"/>
                <w:szCs w:val="30"/>
              </w:rPr>
              <w:t>5.1</w:t>
            </w:r>
            <w:r w:rsidR="00E12213">
              <w:rPr>
                <w:bCs/>
                <w:kern w:val="30"/>
                <w:szCs w:val="30"/>
              </w:rPr>
              <w:t>防治区划分</w:t>
            </w:r>
            <w:r w:rsidR="00E12213">
              <w:tab/>
            </w:r>
            <w:r w:rsidR="00E12213">
              <w:fldChar w:fldCharType="begin"/>
            </w:r>
            <w:r w:rsidR="00E12213">
              <w:instrText xml:space="preserve"> PAGEREF _Toc20977 \h </w:instrText>
            </w:r>
            <w:r w:rsidR="00E12213">
              <w:fldChar w:fldCharType="separate"/>
            </w:r>
            <w:r w:rsidR="00E12213">
              <w:t>25</w:t>
            </w:r>
            <w:r w:rsidR="00E12213">
              <w:fldChar w:fldCharType="end"/>
            </w:r>
          </w:hyperlink>
        </w:p>
        <w:p w:rsidR="006C378F" w:rsidRDefault="00365CF8">
          <w:pPr>
            <w:pStyle w:val="20"/>
            <w:tabs>
              <w:tab w:val="right" w:leader="dot" w:pos="8306"/>
            </w:tabs>
            <w:ind w:left="480"/>
          </w:pPr>
          <w:hyperlink w:anchor="_Toc6707" w:history="1">
            <w:r w:rsidR="00E12213">
              <w:t>5.2</w:t>
            </w:r>
            <w:r w:rsidR="00E12213">
              <w:t>主体工程设计中具有水土保持措施界定与评价</w:t>
            </w:r>
            <w:r w:rsidR="00E12213">
              <w:tab/>
            </w:r>
            <w:r w:rsidR="00E12213">
              <w:fldChar w:fldCharType="begin"/>
            </w:r>
            <w:r w:rsidR="00E12213">
              <w:instrText xml:space="preserve"> PAGEREF _Toc6707 \h </w:instrText>
            </w:r>
            <w:r w:rsidR="00E12213">
              <w:fldChar w:fldCharType="separate"/>
            </w:r>
            <w:r w:rsidR="00E12213">
              <w:t>25</w:t>
            </w:r>
            <w:r w:rsidR="00E12213">
              <w:fldChar w:fldCharType="end"/>
            </w:r>
          </w:hyperlink>
        </w:p>
        <w:p w:rsidR="006C378F" w:rsidRDefault="00365CF8">
          <w:pPr>
            <w:pStyle w:val="20"/>
            <w:tabs>
              <w:tab w:val="right" w:leader="dot" w:pos="8306"/>
            </w:tabs>
            <w:ind w:left="480"/>
          </w:pPr>
          <w:hyperlink w:anchor="_Toc22377" w:history="1">
            <w:r w:rsidR="00E12213">
              <w:t>5.2</w:t>
            </w:r>
            <w:r w:rsidR="00E12213">
              <w:t>措施总体布局</w:t>
            </w:r>
            <w:r w:rsidR="00E12213">
              <w:tab/>
            </w:r>
            <w:r w:rsidR="00E12213">
              <w:fldChar w:fldCharType="begin"/>
            </w:r>
            <w:r w:rsidR="00E12213">
              <w:instrText xml:space="preserve"> PAGEREF _Toc22377 \h </w:instrText>
            </w:r>
            <w:r w:rsidR="00E12213">
              <w:fldChar w:fldCharType="separate"/>
            </w:r>
            <w:r w:rsidR="00E12213">
              <w:t>28</w:t>
            </w:r>
            <w:r w:rsidR="00E12213">
              <w:fldChar w:fldCharType="end"/>
            </w:r>
          </w:hyperlink>
        </w:p>
        <w:p w:rsidR="006C378F" w:rsidRDefault="00365CF8">
          <w:pPr>
            <w:pStyle w:val="20"/>
            <w:tabs>
              <w:tab w:val="right" w:leader="dot" w:pos="8306"/>
            </w:tabs>
            <w:ind w:left="480"/>
          </w:pPr>
          <w:hyperlink w:anchor="_Toc11206" w:history="1">
            <w:r w:rsidR="00E12213">
              <w:t>5.3</w:t>
            </w:r>
            <w:r w:rsidR="00E12213">
              <w:rPr>
                <w:lang w:val="zh-CN"/>
              </w:rPr>
              <w:t>分区措施布设</w:t>
            </w:r>
            <w:r w:rsidR="00E12213">
              <w:tab/>
            </w:r>
            <w:r w:rsidR="00E12213">
              <w:fldChar w:fldCharType="begin"/>
            </w:r>
            <w:r w:rsidR="00E12213">
              <w:instrText xml:space="preserve"> PAGEREF _Toc11206 \h </w:instrText>
            </w:r>
            <w:r w:rsidR="00E12213">
              <w:fldChar w:fldCharType="separate"/>
            </w:r>
            <w:r w:rsidR="00E12213">
              <w:t>28</w:t>
            </w:r>
            <w:r w:rsidR="00E12213">
              <w:fldChar w:fldCharType="end"/>
            </w:r>
          </w:hyperlink>
        </w:p>
        <w:p w:rsidR="006C378F" w:rsidRDefault="00365CF8">
          <w:pPr>
            <w:pStyle w:val="10"/>
            <w:tabs>
              <w:tab w:val="right" w:leader="dot" w:pos="8306"/>
            </w:tabs>
          </w:pPr>
          <w:hyperlink w:anchor="_Toc24802" w:history="1">
            <w:r w:rsidR="00E12213">
              <w:rPr>
                <w:rFonts w:hint="eastAsia"/>
                <w:szCs w:val="22"/>
              </w:rPr>
              <w:t>6</w:t>
            </w:r>
            <w:r w:rsidR="00E12213">
              <w:rPr>
                <w:rFonts w:hint="eastAsia"/>
                <w:szCs w:val="22"/>
              </w:rPr>
              <w:t>水土保持监测</w:t>
            </w:r>
            <w:r w:rsidR="00E12213">
              <w:tab/>
            </w:r>
            <w:r w:rsidR="00E12213">
              <w:fldChar w:fldCharType="begin"/>
            </w:r>
            <w:r w:rsidR="00E12213">
              <w:instrText xml:space="preserve"> PAGEREF _Toc24802 \h </w:instrText>
            </w:r>
            <w:r w:rsidR="00E12213">
              <w:fldChar w:fldCharType="separate"/>
            </w:r>
            <w:r w:rsidR="00E12213">
              <w:t>30</w:t>
            </w:r>
            <w:r w:rsidR="00E12213">
              <w:fldChar w:fldCharType="end"/>
            </w:r>
          </w:hyperlink>
        </w:p>
        <w:p w:rsidR="006C378F" w:rsidRDefault="00365CF8">
          <w:pPr>
            <w:pStyle w:val="20"/>
            <w:tabs>
              <w:tab w:val="right" w:leader="dot" w:pos="8306"/>
            </w:tabs>
            <w:ind w:left="480"/>
          </w:pPr>
          <w:hyperlink w:anchor="_Toc26732" w:history="1">
            <w:r w:rsidR="00E12213">
              <w:rPr>
                <w:rFonts w:hint="eastAsia"/>
                <w:szCs w:val="22"/>
              </w:rPr>
              <w:t>6.1</w:t>
            </w:r>
            <w:r w:rsidR="00E12213">
              <w:rPr>
                <w:rFonts w:hint="eastAsia"/>
                <w:szCs w:val="22"/>
              </w:rPr>
              <w:t>监测范围</w:t>
            </w:r>
            <w:r w:rsidR="00E12213">
              <w:tab/>
            </w:r>
            <w:r w:rsidR="00E12213">
              <w:fldChar w:fldCharType="begin"/>
            </w:r>
            <w:r w:rsidR="00E12213">
              <w:instrText xml:space="preserve"> PAGEREF _Toc26732 \h </w:instrText>
            </w:r>
            <w:r w:rsidR="00E12213">
              <w:fldChar w:fldCharType="separate"/>
            </w:r>
            <w:r w:rsidR="00E12213">
              <w:t>30</w:t>
            </w:r>
            <w:r w:rsidR="00E12213">
              <w:fldChar w:fldCharType="end"/>
            </w:r>
          </w:hyperlink>
        </w:p>
        <w:p w:rsidR="006C378F" w:rsidRDefault="00365CF8">
          <w:pPr>
            <w:pStyle w:val="20"/>
            <w:tabs>
              <w:tab w:val="right" w:leader="dot" w:pos="8306"/>
            </w:tabs>
            <w:ind w:left="480"/>
          </w:pPr>
          <w:hyperlink w:anchor="_Toc25826" w:history="1">
            <w:r w:rsidR="00E12213">
              <w:rPr>
                <w:rFonts w:hint="eastAsia"/>
                <w:szCs w:val="22"/>
              </w:rPr>
              <w:t>6.2</w:t>
            </w:r>
            <w:r w:rsidR="00E12213">
              <w:rPr>
                <w:rFonts w:hint="eastAsia"/>
                <w:szCs w:val="22"/>
                <w:lang w:val="zh-CN"/>
              </w:rPr>
              <w:t>监测内容</w:t>
            </w:r>
            <w:r w:rsidR="00E12213">
              <w:tab/>
            </w:r>
            <w:r w:rsidR="00E12213">
              <w:fldChar w:fldCharType="begin"/>
            </w:r>
            <w:r w:rsidR="00E12213">
              <w:instrText xml:space="preserve"> PAGEREF _Toc25826 \h </w:instrText>
            </w:r>
            <w:r w:rsidR="00E12213">
              <w:fldChar w:fldCharType="separate"/>
            </w:r>
            <w:r w:rsidR="00E12213">
              <w:t>30</w:t>
            </w:r>
            <w:r w:rsidR="00E12213">
              <w:fldChar w:fldCharType="end"/>
            </w:r>
          </w:hyperlink>
        </w:p>
        <w:p w:rsidR="006C378F" w:rsidRDefault="00365CF8">
          <w:pPr>
            <w:pStyle w:val="20"/>
            <w:tabs>
              <w:tab w:val="right" w:leader="dot" w:pos="8306"/>
            </w:tabs>
            <w:ind w:left="480"/>
          </w:pPr>
          <w:hyperlink w:anchor="_Toc24367" w:history="1">
            <w:r w:rsidR="00E12213">
              <w:rPr>
                <w:rFonts w:hint="eastAsia"/>
                <w:szCs w:val="22"/>
              </w:rPr>
              <w:t>6.3</w:t>
            </w:r>
            <w:r w:rsidR="00E12213">
              <w:rPr>
                <w:rFonts w:hint="eastAsia"/>
                <w:szCs w:val="22"/>
                <w:lang w:val="zh-CN"/>
              </w:rPr>
              <w:t>监测方法</w:t>
            </w:r>
            <w:r w:rsidR="00E12213">
              <w:tab/>
            </w:r>
            <w:r w:rsidR="00E12213">
              <w:fldChar w:fldCharType="begin"/>
            </w:r>
            <w:r w:rsidR="00E12213">
              <w:instrText xml:space="preserve"> PAGEREF _Toc24367 \h </w:instrText>
            </w:r>
            <w:r w:rsidR="00E12213">
              <w:fldChar w:fldCharType="separate"/>
            </w:r>
            <w:r w:rsidR="00E12213">
              <w:t>30</w:t>
            </w:r>
            <w:r w:rsidR="00E12213">
              <w:fldChar w:fldCharType="end"/>
            </w:r>
          </w:hyperlink>
        </w:p>
        <w:p w:rsidR="006C378F" w:rsidRDefault="00365CF8">
          <w:pPr>
            <w:pStyle w:val="10"/>
            <w:tabs>
              <w:tab w:val="right" w:leader="dot" w:pos="8306"/>
            </w:tabs>
          </w:pPr>
          <w:hyperlink w:anchor="_Toc26217" w:history="1">
            <w:r w:rsidR="00E12213">
              <w:t>7</w:t>
            </w:r>
            <w:r w:rsidR="00E12213">
              <w:t>水土保持投资概算</w:t>
            </w:r>
            <w:r w:rsidR="00E12213">
              <w:tab/>
            </w:r>
            <w:r w:rsidR="00E12213">
              <w:fldChar w:fldCharType="begin"/>
            </w:r>
            <w:r w:rsidR="00E12213">
              <w:instrText xml:space="preserve"> PAGEREF _Toc26217 \h </w:instrText>
            </w:r>
            <w:r w:rsidR="00E12213">
              <w:fldChar w:fldCharType="separate"/>
            </w:r>
            <w:r w:rsidR="00E12213">
              <w:t>32</w:t>
            </w:r>
            <w:r w:rsidR="00E12213">
              <w:fldChar w:fldCharType="end"/>
            </w:r>
          </w:hyperlink>
        </w:p>
        <w:p w:rsidR="006C378F" w:rsidRDefault="00365CF8">
          <w:pPr>
            <w:pStyle w:val="20"/>
            <w:tabs>
              <w:tab w:val="right" w:leader="dot" w:pos="8306"/>
            </w:tabs>
            <w:ind w:left="480"/>
          </w:pPr>
          <w:hyperlink w:anchor="_Toc24262" w:history="1">
            <w:r w:rsidR="00E12213">
              <w:t>7.1</w:t>
            </w:r>
            <w:r w:rsidR="00E12213">
              <w:t>编制原则及依据</w:t>
            </w:r>
            <w:r w:rsidR="00E12213">
              <w:tab/>
            </w:r>
            <w:r w:rsidR="00E12213">
              <w:fldChar w:fldCharType="begin"/>
            </w:r>
            <w:r w:rsidR="00E12213">
              <w:instrText xml:space="preserve"> PAGEREF _Toc24262 \h </w:instrText>
            </w:r>
            <w:r w:rsidR="00E12213">
              <w:fldChar w:fldCharType="separate"/>
            </w:r>
            <w:r w:rsidR="00E12213">
              <w:t>32</w:t>
            </w:r>
            <w:r w:rsidR="00E12213">
              <w:fldChar w:fldCharType="end"/>
            </w:r>
          </w:hyperlink>
        </w:p>
        <w:p w:rsidR="006C378F" w:rsidRDefault="00365CF8">
          <w:pPr>
            <w:pStyle w:val="20"/>
            <w:tabs>
              <w:tab w:val="right" w:leader="dot" w:pos="8306"/>
            </w:tabs>
            <w:ind w:left="480"/>
          </w:pPr>
          <w:hyperlink w:anchor="_Toc14908" w:history="1">
            <w:r w:rsidR="00E12213">
              <w:t>7.2</w:t>
            </w:r>
            <w:r w:rsidR="00E12213">
              <w:t>编制说明与概算成果</w:t>
            </w:r>
            <w:r w:rsidR="00E12213">
              <w:tab/>
            </w:r>
            <w:r w:rsidR="00E12213">
              <w:fldChar w:fldCharType="begin"/>
            </w:r>
            <w:r w:rsidR="00E12213">
              <w:instrText xml:space="preserve"> PAGEREF _Toc14908 \h </w:instrText>
            </w:r>
            <w:r w:rsidR="00E12213">
              <w:fldChar w:fldCharType="separate"/>
            </w:r>
            <w:r w:rsidR="00E12213">
              <w:t>35</w:t>
            </w:r>
            <w:r w:rsidR="00E12213">
              <w:fldChar w:fldCharType="end"/>
            </w:r>
          </w:hyperlink>
        </w:p>
        <w:p w:rsidR="006C378F" w:rsidRDefault="00365CF8">
          <w:pPr>
            <w:pStyle w:val="20"/>
            <w:tabs>
              <w:tab w:val="right" w:leader="dot" w:pos="8306"/>
            </w:tabs>
            <w:ind w:left="480"/>
          </w:pPr>
          <w:hyperlink w:anchor="_Toc20006" w:history="1">
            <w:r w:rsidR="00E12213">
              <w:t>7.3</w:t>
            </w:r>
            <w:r w:rsidR="00E12213">
              <w:rPr>
                <w:rFonts w:hint="eastAsia"/>
              </w:rPr>
              <w:t>效益分析</w:t>
            </w:r>
            <w:r w:rsidR="00E12213">
              <w:tab/>
            </w:r>
            <w:r w:rsidR="00E12213">
              <w:fldChar w:fldCharType="begin"/>
            </w:r>
            <w:r w:rsidR="00E12213">
              <w:instrText xml:space="preserve"> PAGEREF _Toc20006 \h </w:instrText>
            </w:r>
            <w:r w:rsidR="00E12213">
              <w:fldChar w:fldCharType="separate"/>
            </w:r>
            <w:r w:rsidR="00E12213">
              <w:t>36</w:t>
            </w:r>
            <w:r w:rsidR="00E12213">
              <w:fldChar w:fldCharType="end"/>
            </w:r>
          </w:hyperlink>
        </w:p>
        <w:p w:rsidR="006C378F" w:rsidRDefault="00365CF8">
          <w:pPr>
            <w:pStyle w:val="10"/>
            <w:tabs>
              <w:tab w:val="right" w:leader="dot" w:pos="8306"/>
            </w:tabs>
          </w:pPr>
          <w:hyperlink w:anchor="_Toc949" w:history="1">
            <w:r w:rsidR="00E12213">
              <w:t>9</w:t>
            </w:r>
            <w:r w:rsidR="00E12213">
              <w:t>结论及建议</w:t>
            </w:r>
            <w:r w:rsidR="00E12213">
              <w:tab/>
            </w:r>
            <w:r w:rsidR="00E12213">
              <w:fldChar w:fldCharType="begin"/>
            </w:r>
            <w:r w:rsidR="00E12213">
              <w:instrText xml:space="preserve"> PAGEREF _Toc949 \h </w:instrText>
            </w:r>
            <w:r w:rsidR="00E12213">
              <w:fldChar w:fldCharType="separate"/>
            </w:r>
            <w:r w:rsidR="00E12213">
              <w:t>38</w:t>
            </w:r>
            <w:r w:rsidR="00E12213">
              <w:fldChar w:fldCharType="end"/>
            </w:r>
          </w:hyperlink>
        </w:p>
        <w:p w:rsidR="006C378F" w:rsidRDefault="00365CF8">
          <w:pPr>
            <w:pStyle w:val="20"/>
            <w:tabs>
              <w:tab w:val="right" w:leader="dot" w:pos="8306"/>
            </w:tabs>
            <w:ind w:left="480"/>
          </w:pPr>
          <w:hyperlink w:anchor="_Toc8846" w:history="1">
            <w:r w:rsidR="00E12213">
              <w:t>9.1</w:t>
            </w:r>
            <w:r w:rsidR="00E12213">
              <w:t>结论</w:t>
            </w:r>
            <w:r w:rsidR="00E12213">
              <w:tab/>
            </w:r>
            <w:r w:rsidR="00E12213">
              <w:fldChar w:fldCharType="begin"/>
            </w:r>
            <w:r w:rsidR="00E12213">
              <w:instrText xml:space="preserve"> PAGEREF _Toc8846 \h </w:instrText>
            </w:r>
            <w:r w:rsidR="00E12213">
              <w:fldChar w:fldCharType="separate"/>
            </w:r>
            <w:r w:rsidR="00E12213">
              <w:t>38</w:t>
            </w:r>
            <w:r w:rsidR="00E12213">
              <w:fldChar w:fldCharType="end"/>
            </w:r>
          </w:hyperlink>
        </w:p>
        <w:p w:rsidR="006C378F" w:rsidRDefault="00365CF8">
          <w:pPr>
            <w:pStyle w:val="20"/>
            <w:tabs>
              <w:tab w:val="right" w:leader="dot" w:pos="8306"/>
            </w:tabs>
            <w:ind w:left="480"/>
          </w:pPr>
          <w:hyperlink w:anchor="_Toc3363" w:history="1">
            <w:r w:rsidR="00E12213">
              <w:t>9.2</w:t>
            </w:r>
            <w:r w:rsidR="00E12213">
              <w:rPr>
                <w:rFonts w:hint="eastAsia"/>
              </w:rPr>
              <w:t>建议</w:t>
            </w:r>
            <w:r w:rsidR="00E12213">
              <w:tab/>
            </w:r>
            <w:r w:rsidR="00E12213">
              <w:fldChar w:fldCharType="begin"/>
            </w:r>
            <w:r w:rsidR="00E12213">
              <w:instrText xml:space="preserve"> PAGEREF _Toc3363 \h </w:instrText>
            </w:r>
            <w:r w:rsidR="00E12213">
              <w:fldChar w:fldCharType="separate"/>
            </w:r>
            <w:r w:rsidR="00E12213">
              <w:t>38</w:t>
            </w:r>
            <w:r w:rsidR="00E12213">
              <w:fldChar w:fldCharType="end"/>
            </w:r>
          </w:hyperlink>
        </w:p>
        <w:p w:rsidR="006C378F" w:rsidRDefault="00E12213">
          <w:pPr>
            <w:pStyle w:val="af1"/>
            <w:ind w:firstLine="480"/>
            <w:rPr>
              <w:szCs w:val="24"/>
            </w:rPr>
            <w:sectPr w:rsidR="006C378F">
              <w:headerReference w:type="default" r:id="rId9"/>
              <w:pgSz w:w="11906" w:h="16838"/>
              <w:pgMar w:top="1440" w:right="1800" w:bottom="1440" w:left="1800" w:header="851" w:footer="992" w:gutter="0"/>
              <w:pgNumType w:fmt="upperRoman"/>
              <w:cols w:space="425"/>
              <w:titlePg/>
              <w:docGrid w:type="lines" w:linePitch="326"/>
            </w:sectPr>
          </w:pPr>
          <w:r>
            <w:rPr>
              <w:szCs w:val="24"/>
            </w:rPr>
            <w:fldChar w:fldCharType="end"/>
          </w:r>
        </w:p>
      </w:sdtContent>
    </w:sdt>
    <w:p w:rsidR="006C378F" w:rsidRDefault="00E12213">
      <w:pPr>
        <w:pStyle w:val="1"/>
        <w:jc w:val="center"/>
      </w:pPr>
      <w:bookmarkStart w:id="1" w:name="_Toc7764"/>
      <w:r>
        <w:lastRenderedPageBreak/>
        <w:t>1</w:t>
      </w:r>
      <w:r>
        <w:t>项目概况</w:t>
      </w:r>
      <w:bookmarkEnd w:id="1"/>
    </w:p>
    <w:p w:rsidR="006C378F" w:rsidRDefault="00E12213">
      <w:pPr>
        <w:pStyle w:val="2"/>
      </w:pPr>
      <w:bookmarkStart w:id="2" w:name="_Toc3664"/>
      <w:bookmarkStart w:id="3" w:name="_Toc15591"/>
      <w:r>
        <w:t>1.1</w:t>
      </w:r>
      <w:r>
        <w:t>地理位置</w:t>
      </w:r>
      <w:bookmarkEnd w:id="2"/>
      <w:bookmarkEnd w:id="3"/>
    </w:p>
    <w:p w:rsidR="006C378F" w:rsidRDefault="00E12213">
      <w:pPr>
        <w:pStyle w:val="af1"/>
        <w:ind w:firstLine="480"/>
        <w:jc w:val="left"/>
      </w:pPr>
      <w:r>
        <w:t>仪陇县马鞍镇（朝堂路）停车场工程位于</w:t>
      </w:r>
      <w:r>
        <w:rPr>
          <w:rFonts w:hint="eastAsia"/>
        </w:rPr>
        <w:t>仪陇县马鞍</w:t>
      </w:r>
      <w:r>
        <w:t>镇，项目建设区地理位置坐标为东经：</w:t>
      </w:r>
      <w:r>
        <w:t>106°37′25″~106°37′29″</w:t>
      </w:r>
      <w:r>
        <w:t>，北纬</w:t>
      </w:r>
      <w:r>
        <w:t>31°28′11″~31°28′16″</w:t>
      </w:r>
      <w:r>
        <w:t>。本项目</w:t>
      </w:r>
      <w:r>
        <w:rPr>
          <w:rFonts w:hint="eastAsia"/>
        </w:rPr>
        <w:t>东侧</w:t>
      </w:r>
      <w:r>
        <w:t>、南侧和西侧</w:t>
      </w:r>
      <w:r>
        <w:rPr>
          <w:rFonts w:hint="eastAsia"/>
        </w:rPr>
        <w:t>均</w:t>
      </w:r>
      <w:r>
        <w:t>有规划道路，</w:t>
      </w:r>
      <w:r>
        <w:rPr>
          <w:rFonts w:hint="eastAsia"/>
        </w:rPr>
        <w:t>东北</w:t>
      </w:r>
      <w:r>
        <w:t>面为山体。地理位置优越，交通极为便利，详见下图。</w:t>
      </w:r>
      <w:r>
        <w:rPr>
          <w:noProof/>
        </w:rPr>
        <w:drawing>
          <wp:inline distT="0" distB="0" distL="0" distR="0">
            <wp:extent cx="5734050" cy="3295650"/>
            <wp:effectExtent l="0" t="0" r="0" b="0"/>
            <wp:docPr id="1" name="图片 1" descr="E:\水保2020\南充水保方案\3朝堂路停车场\1仪陇县马鞍路（朝堂路）停车场工程水土保持报告表\03附图\卫星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E:\水保2020\南充水保方案\3朝堂路停车场\1仪陇县马鞍路（朝堂路）停车场工程水土保持报告表\03附图\卫星图.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734050" cy="3295650"/>
                    </a:xfrm>
                    <a:prstGeom prst="rect">
                      <a:avLst/>
                    </a:prstGeom>
                    <a:noFill/>
                    <a:ln>
                      <a:noFill/>
                    </a:ln>
                  </pic:spPr>
                </pic:pic>
              </a:graphicData>
            </a:graphic>
          </wp:inline>
        </w:drawing>
      </w:r>
    </w:p>
    <w:p w:rsidR="006C378F" w:rsidRDefault="00E12213">
      <w:pPr>
        <w:pStyle w:val="af1"/>
        <w:spacing w:line="240" w:lineRule="auto"/>
        <w:ind w:firstLine="422"/>
        <w:jc w:val="center"/>
        <w:rPr>
          <w:b/>
          <w:bCs/>
          <w:sz w:val="21"/>
          <w:szCs w:val="16"/>
        </w:rPr>
      </w:pPr>
      <w:r>
        <w:rPr>
          <w:b/>
          <w:bCs/>
          <w:sz w:val="21"/>
          <w:szCs w:val="16"/>
        </w:rPr>
        <w:t>图</w:t>
      </w:r>
      <w:r>
        <w:rPr>
          <w:b/>
          <w:bCs/>
          <w:sz w:val="21"/>
          <w:szCs w:val="16"/>
        </w:rPr>
        <w:t xml:space="preserve">1.1 </w:t>
      </w:r>
      <w:r>
        <w:rPr>
          <w:b/>
          <w:bCs/>
          <w:sz w:val="21"/>
          <w:szCs w:val="16"/>
        </w:rPr>
        <w:t>项目建设区卫星图</w:t>
      </w:r>
    </w:p>
    <w:p w:rsidR="006C378F" w:rsidRDefault="00E12213">
      <w:pPr>
        <w:pStyle w:val="af1"/>
        <w:spacing w:line="240" w:lineRule="auto"/>
        <w:ind w:firstLine="480"/>
        <w:jc w:val="center"/>
      </w:pPr>
      <w:r>
        <w:rPr>
          <w:noProof/>
        </w:rPr>
        <w:lastRenderedPageBreak/>
        <w:drawing>
          <wp:inline distT="0" distB="0" distL="0" distR="0">
            <wp:extent cx="2214880" cy="385635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2221135" cy="3867673"/>
                    </a:xfrm>
                    <a:prstGeom prst="rect">
                      <a:avLst/>
                    </a:prstGeom>
                  </pic:spPr>
                </pic:pic>
              </a:graphicData>
            </a:graphic>
          </wp:inline>
        </w:drawing>
      </w:r>
      <w:r>
        <w:t xml:space="preserve"> </w:t>
      </w:r>
      <w:r>
        <w:rPr>
          <w:noProof/>
        </w:rPr>
        <w:drawing>
          <wp:inline distT="0" distB="0" distL="0" distR="0">
            <wp:extent cx="2209800" cy="3843020"/>
            <wp:effectExtent l="0" t="0" r="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a:stretch>
                      <a:fillRect/>
                    </a:stretch>
                  </pic:blipFill>
                  <pic:spPr>
                    <a:xfrm>
                      <a:off x="0" y="0"/>
                      <a:ext cx="2218601" cy="3858634"/>
                    </a:xfrm>
                    <a:prstGeom prst="rect">
                      <a:avLst/>
                    </a:prstGeom>
                  </pic:spPr>
                </pic:pic>
              </a:graphicData>
            </a:graphic>
          </wp:inline>
        </w:drawing>
      </w:r>
    </w:p>
    <w:p w:rsidR="006C378F" w:rsidRDefault="00E12213">
      <w:pPr>
        <w:pStyle w:val="2"/>
      </w:pPr>
      <w:bookmarkStart w:id="4" w:name="_Toc14242"/>
      <w:bookmarkStart w:id="5" w:name="_Toc22350"/>
      <w:bookmarkStart w:id="6" w:name="_Toc3495"/>
      <w:r>
        <w:t>1.3</w:t>
      </w:r>
      <w:bookmarkEnd w:id="4"/>
      <w:r>
        <w:rPr>
          <w:rFonts w:hint="eastAsia"/>
        </w:rPr>
        <w:t>基本概况</w:t>
      </w:r>
      <w:bookmarkEnd w:id="5"/>
    </w:p>
    <w:p w:rsidR="006C378F" w:rsidRDefault="00E12213">
      <w:pPr>
        <w:pStyle w:val="af1"/>
        <w:widowControl/>
        <w:adjustRightInd/>
        <w:snapToGrid/>
        <w:ind w:leftChars="200" w:left="480" w:firstLineChars="0" w:firstLine="0"/>
      </w:pPr>
      <w:r>
        <w:t>●</w:t>
      </w:r>
      <w:r>
        <w:t>项目名称：仪陇县马鞍镇（朝堂路）停车场工程</w:t>
      </w:r>
      <w:r>
        <w:t xml:space="preserve"> </w:t>
      </w:r>
    </w:p>
    <w:p w:rsidR="006C378F" w:rsidRDefault="00E12213">
      <w:pPr>
        <w:pStyle w:val="af1"/>
        <w:widowControl/>
        <w:adjustRightInd/>
        <w:snapToGrid/>
        <w:ind w:leftChars="200" w:left="480" w:firstLineChars="0" w:firstLine="0"/>
      </w:pPr>
      <w:r>
        <w:t>●</w:t>
      </w:r>
      <w:r>
        <w:t>建设单位：</w:t>
      </w:r>
      <w:r>
        <w:rPr>
          <w:rFonts w:hint="eastAsia"/>
        </w:rPr>
        <w:t>仪陇县马鞍镇</w:t>
      </w:r>
      <w:r>
        <w:t>人民政府</w:t>
      </w:r>
    </w:p>
    <w:p w:rsidR="006C378F" w:rsidRDefault="00E12213">
      <w:pPr>
        <w:pStyle w:val="af1"/>
        <w:widowControl/>
        <w:adjustRightInd/>
        <w:snapToGrid/>
        <w:ind w:leftChars="200" w:left="480" w:firstLineChars="0" w:firstLine="0"/>
      </w:pPr>
      <w:r>
        <w:t>●</w:t>
      </w:r>
      <w:r>
        <w:t>建设地点：</w:t>
      </w:r>
      <w:r>
        <w:rPr>
          <w:rFonts w:hint="eastAsia"/>
        </w:rPr>
        <w:t>仪陇县马鞍镇</w:t>
      </w:r>
    </w:p>
    <w:p w:rsidR="006C378F" w:rsidRDefault="00E12213">
      <w:pPr>
        <w:pStyle w:val="af1"/>
        <w:widowControl/>
        <w:adjustRightInd/>
        <w:snapToGrid/>
        <w:ind w:leftChars="200" w:left="480" w:firstLineChars="0" w:firstLine="0"/>
      </w:pPr>
      <w:r>
        <w:t>●</w:t>
      </w:r>
      <w:r>
        <w:t>建设性质：新建</w:t>
      </w:r>
    </w:p>
    <w:p w:rsidR="006C378F" w:rsidRDefault="00E12213">
      <w:pPr>
        <w:pStyle w:val="af1"/>
        <w:ind w:firstLine="480"/>
      </w:pPr>
      <w:r>
        <w:t>●</w:t>
      </w:r>
      <w:r>
        <w:t>建设内容：</w:t>
      </w:r>
      <w:r>
        <w:rPr>
          <w:rFonts w:hint="eastAsia"/>
        </w:rPr>
        <w:t>在马鞍镇朝堂路新建停车场</w:t>
      </w:r>
      <w:r>
        <w:rPr>
          <w:rFonts w:hint="eastAsia"/>
        </w:rPr>
        <w:t>1</w:t>
      </w:r>
      <w:r>
        <w:rPr>
          <w:rFonts w:hint="eastAsia"/>
        </w:rPr>
        <w:t>处，停车位</w:t>
      </w:r>
      <w:r>
        <w:rPr>
          <w:rFonts w:hint="eastAsia"/>
        </w:rPr>
        <w:t>76</w:t>
      </w:r>
      <w:r>
        <w:rPr>
          <w:rFonts w:hint="eastAsia"/>
        </w:rPr>
        <w:t>个，占地面积</w:t>
      </w:r>
      <w:r>
        <w:rPr>
          <w:rFonts w:hint="eastAsia"/>
        </w:rPr>
        <w:t>8000</w:t>
      </w:r>
      <w:r>
        <w:rPr>
          <w:rFonts w:hint="eastAsia"/>
        </w:rPr>
        <w:t>平方米</w:t>
      </w:r>
      <w:r>
        <w:t>。</w:t>
      </w:r>
    </w:p>
    <w:p w:rsidR="006C378F" w:rsidRDefault="00E12213">
      <w:pPr>
        <w:pStyle w:val="af1"/>
        <w:ind w:firstLine="480"/>
      </w:pPr>
      <w:r>
        <w:t>●</w:t>
      </w:r>
      <w:r>
        <w:t>施工内容：机械开挖、场地平整、砌筑、道路平整、管道敷设、建筑物修建及场地美化等。</w:t>
      </w:r>
    </w:p>
    <w:p w:rsidR="006C378F" w:rsidRDefault="00E12213">
      <w:pPr>
        <w:pStyle w:val="af1"/>
        <w:ind w:firstLine="480"/>
      </w:pPr>
      <w:r>
        <w:t>●</w:t>
      </w:r>
      <w:r>
        <w:t>建设工期：本项目建设总工期</w:t>
      </w:r>
      <w:r>
        <w:t>3</w:t>
      </w:r>
      <w:r>
        <w:t>个月，即从</w:t>
      </w:r>
      <w:r>
        <w:t>2017</w:t>
      </w:r>
      <w:r>
        <w:t>年</w:t>
      </w:r>
      <w:r>
        <w:t>1</w:t>
      </w:r>
      <w:r>
        <w:t>月至</w:t>
      </w:r>
      <w:r>
        <w:t>2017</w:t>
      </w:r>
      <w:r>
        <w:t>年</w:t>
      </w:r>
      <w:r>
        <w:t>3</w:t>
      </w:r>
      <w:r>
        <w:t>月。</w:t>
      </w:r>
    </w:p>
    <w:p w:rsidR="006C378F" w:rsidRDefault="00E12213">
      <w:pPr>
        <w:pStyle w:val="af1"/>
        <w:ind w:firstLine="480"/>
      </w:pPr>
      <w:r>
        <w:t>●</w:t>
      </w:r>
      <w:r>
        <w:t>项目总投资及资金来源：总投资</w:t>
      </w:r>
      <w:r>
        <w:t>190</w:t>
      </w:r>
      <w:r>
        <w:t>万元，其中土建投资</w:t>
      </w:r>
      <w:r>
        <w:t>135</w:t>
      </w:r>
      <w:r>
        <w:t>万元，资金</w:t>
      </w:r>
      <w:r>
        <w:rPr>
          <w:rFonts w:hint="eastAsia"/>
        </w:rPr>
        <w:t>来源为</w:t>
      </w:r>
      <w:r>
        <w:t>县财政资金。</w:t>
      </w:r>
    </w:p>
    <w:p w:rsidR="006C378F" w:rsidRDefault="00E12213">
      <w:pPr>
        <w:jc w:val="center"/>
        <w:rPr>
          <w:b/>
          <w:bCs/>
          <w:kern w:val="0"/>
        </w:rPr>
      </w:pPr>
      <w:r>
        <w:rPr>
          <w:b/>
          <w:bCs/>
          <w:kern w:val="0"/>
          <w:sz w:val="22"/>
          <w:szCs w:val="18"/>
        </w:rPr>
        <w:t>表</w:t>
      </w:r>
      <w:r>
        <w:rPr>
          <w:b/>
          <w:bCs/>
          <w:kern w:val="0"/>
          <w:sz w:val="22"/>
          <w:szCs w:val="18"/>
        </w:rPr>
        <w:t xml:space="preserve">1-1     </w:t>
      </w:r>
      <w:r>
        <w:rPr>
          <w:b/>
          <w:bCs/>
          <w:kern w:val="0"/>
          <w:sz w:val="22"/>
          <w:szCs w:val="18"/>
        </w:rPr>
        <w:t>项目建设</w:t>
      </w:r>
      <w:r>
        <w:rPr>
          <w:rFonts w:hint="eastAsia"/>
          <w:b/>
          <w:bCs/>
          <w:kern w:val="0"/>
          <w:sz w:val="22"/>
          <w:szCs w:val="18"/>
        </w:rPr>
        <w:t>区</w:t>
      </w:r>
      <w:r>
        <w:rPr>
          <w:b/>
          <w:bCs/>
          <w:kern w:val="0"/>
          <w:sz w:val="22"/>
          <w:szCs w:val="18"/>
        </w:rPr>
        <w:t>工程特性表</w:t>
      </w:r>
    </w:p>
    <w:tbl>
      <w:tblPr>
        <w:tblW w:w="4999" w:type="pct"/>
        <w:jc w:val="center"/>
        <w:tblCellMar>
          <w:left w:w="0" w:type="dxa"/>
          <w:right w:w="0" w:type="dxa"/>
        </w:tblCellMar>
        <w:tblLook w:val="04A0" w:firstRow="1" w:lastRow="0" w:firstColumn="1" w:lastColumn="0" w:noHBand="0" w:noVBand="1"/>
      </w:tblPr>
      <w:tblGrid>
        <w:gridCol w:w="764"/>
        <w:gridCol w:w="871"/>
        <w:gridCol w:w="2304"/>
        <w:gridCol w:w="1451"/>
        <w:gridCol w:w="1019"/>
        <w:gridCol w:w="2669"/>
      </w:tblGrid>
      <w:tr w:rsidR="006C378F">
        <w:trPr>
          <w:trHeight w:val="283"/>
          <w:jc w:val="center"/>
        </w:trPr>
        <w:tc>
          <w:tcPr>
            <w:tcW w:w="901" w:type="pct"/>
            <w:gridSpan w:val="2"/>
            <w:tcBorders>
              <w:top w:val="single" w:sz="4" w:space="0" w:color="auto"/>
              <w:left w:val="single" w:sz="4" w:space="0" w:color="auto"/>
              <w:bottom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t>项目名称</w:t>
            </w:r>
          </w:p>
        </w:tc>
        <w:tc>
          <w:tcPr>
            <w:tcW w:w="4099" w:type="pct"/>
            <w:gridSpan w:val="4"/>
            <w:tcBorders>
              <w:top w:val="single" w:sz="4" w:space="0" w:color="auto"/>
              <w:left w:val="nil"/>
              <w:bottom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t>仪陇县马鞍镇（朝堂路）停车场工程</w:t>
            </w:r>
          </w:p>
        </w:tc>
      </w:tr>
      <w:tr w:rsidR="006C378F">
        <w:trPr>
          <w:trHeight w:val="283"/>
          <w:jc w:val="center"/>
        </w:trPr>
        <w:tc>
          <w:tcPr>
            <w:tcW w:w="901" w:type="pct"/>
            <w:gridSpan w:val="2"/>
            <w:tcBorders>
              <w:top w:val="single" w:sz="4" w:space="0" w:color="auto"/>
              <w:left w:val="single" w:sz="4" w:space="0" w:color="auto"/>
              <w:bottom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t>建设单位</w:t>
            </w:r>
          </w:p>
        </w:tc>
        <w:tc>
          <w:tcPr>
            <w:tcW w:w="4099" w:type="pct"/>
            <w:gridSpan w:val="4"/>
            <w:tcBorders>
              <w:top w:val="single" w:sz="4" w:space="0" w:color="auto"/>
              <w:left w:val="nil"/>
              <w:bottom w:val="single" w:sz="4" w:space="0" w:color="auto"/>
              <w:right w:val="single" w:sz="4" w:space="0" w:color="auto"/>
            </w:tcBorders>
            <w:vAlign w:val="center"/>
          </w:tcPr>
          <w:p w:rsidR="006C378F" w:rsidRDefault="00E12213">
            <w:pPr>
              <w:widowControl/>
              <w:jc w:val="center"/>
              <w:rPr>
                <w:kern w:val="0"/>
                <w:sz w:val="21"/>
                <w:szCs w:val="21"/>
              </w:rPr>
            </w:pPr>
            <w:r>
              <w:rPr>
                <w:rFonts w:hint="eastAsia"/>
                <w:kern w:val="0"/>
                <w:sz w:val="21"/>
                <w:szCs w:val="21"/>
              </w:rPr>
              <w:t>仪陇县马鞍镇</w:t>
            </w:r>
            <w:r>
              <w:rPr>
                <w:kern w:val="0"/>
                <w:sz w:val="21"/>
                <w:szCs w:val="21"/>
              </w:rPr>
              <w:t>人民</w:t>
            </w:r>
            <w:r>
              <w:rPr>
                <w:rFonts w:hint="eastAsia"/>
                <w:kern w:val="0"/>
                <w:sz w:val="21"/>
                <w:szCs w:val="21"/>
              </w:rPr>
              <w:t>政府</w:t>
            </w:r>
          </w:p>
        </w:tc>
      </w:tr>
      <w:tr w:rsidR="006C378F">
        <w:trPr>
          <w:trHeight w:val="283"/>
          <w:jc w:val="center"/>
        </w:trPr>
        <w:tc>
          <w:tcPr>
            <w:tcW w:w="901" w:type="pct"/>
            <w:gridSpan w:val="2"/>
            <w:tcBorders>
              <w:top w:val="single" w:sz="4" w:space="0" w:color="auto"/>
              <w:left w:val="single" w:sz="4" w:space="0" w:color="auto"/>
              <w:bottom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t>建设地点</w:t>
            </w:r>
          </w:p>
        </w:tc>
        <w:tc>
          <w:tcPr>
            <w:tcW w:w="4099" w:type="pct"/>
            <w:gridSpan w:val="4"/>
            <w:tcBorders>
              <w:top w:val="single" w:sz="4" w:space="0" w:color="auto"/>
              <w:left w:val="nil"/>
              <w:bottom w:val="single" w:sz="4" w:space="0" w:color="auto"/>
              <w:right w:val="single" w:sz="4" w:space="0" w:color="auto"/>
            </w:tcBorders>
            <w:vAlign w:val="center"/>
          </w:tcPr>
          <w:p w:rsidR="006C378F" w:rsidRDefault="00E12213">
            <w:pPr>
              <w:widowControl/>
              <w:jc w:val="center"/>
              <w:rPr>
                <w:kern w:val="0"/>
                <w:sz w:val="21"/>
                <w:szCs w:val="21"/>
              </w:rPr>
            </w:pPr>
            <w:r>
              <w:rPr>
                <w:rFonts w:hint="eastAsia"/>
                <w:sz w:val="21"/>
                <w:szCs w:val="21"/>
              </w:rPr>
              <w:t>仪陇县马鞍</w:t>
            </w:r>
            <w:r>
              <w:rPr>
                <w:sz w:val="21"/>
                <w:szCs w:val="21"/>
              </w:rPr>
              <w:t>镇</w:t>
            </w:r>
          </w:p>
        </w:tc>
      </w:tr>
      <w:tr w:rsidR="006C378F">
        <w:trPr>
          <w:trHeight w:val="283"/>
          <w:jc w:val="center"/>
        </w:trPr>
        <w:tc>
          <w:tcPr>
            <w:tcW w:w="421" w:type="pct"/>
            <w:vMerge w:val="restart"/>
            <w:tcBorders>
              <w:left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t>建设工程</w:t>
            </w:r>
          </w:p>
        </w:tc>
        <w:tc>
          <w:tcPr>
            <w:tcW w:w="479" w:type="pct"/>
            <w:tcBorders>
              <w:top w:val="single" w:sz="4" w:space="0" w:color="auto"/>
              <w:left w:val="single" w:sz="4" w:space="0" w:color="auto"/>
              <w:bottom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t>供水</w:t>
            </w:r>
          </w:p>
        </w:tc>
        <w:tc>
          <w:tcPr>
            <w:tcW w:w="1269" w:type="pct"/>
            <w:tcBorders>
              <w:top w:val="single" w:sz="4" w:space="0" w:color="auto"/>
              <w:left w:val="nil"/>
              <w:bottom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t>供水水源</w:t>
            </w:r>
          </w:p>
        </w:tc>
        <w:tc>
          <w:tcPr>
            <w:tcW w:w="2830" w:type="pct"/>
            <w:gridSpan w:val="3"/>
            <w:tcBorders>
              <w:top w:val="single" w:sz="4" w:space="0" w:color="auto"/>
              <w:left w:val="nil"/>
              <w:bottom w:val="single" w:sz="4" w:space="0" w:color="auto"/>
              <w:right w:val="single" w:sz="4" w:space="0" w:color="auto"/>
            </w:tcBorders>
            <w:vAlign w:val="center"/>
          </w:tcPr>
          <w:p w:rsidR="006C378F" w:rsidRDefault="00E12213">
            <w:pPr>
              <w:widowControl/>
              <w:jc w:val="center"/>
              <w:rPr>
                <w:kern w:val="0"/>
                <w:sz w:val="21"/>
                <w:szCs w:val="21"/>
              </w:rPr>
            </w:pPr>
            <w:r>
              <w:rPr>
                <w:bCs/>
                <w:sz w:val="21"/>
                <w:szCs w:val="21"/>
              </w:rPr>
              <w:t>水源由城市供水管网，经规划区内给水管提供</w:t>
            </w:r>
          </w:p>
        </w:tc>
      </w:tr>
      <w:tr w:rsidR="006C378F">
        <w:trPr>
          <w:trHeight w:val="283"/>
          <w:jc w:val="center"/>
        </w:trPr>
        <w:tc>
          <w:tcPr>
            <w:tcW w:w="421" w:type="pct"/>
            <w:vMerge/>
            <w:tcBorders>
              <w:left w:val="single" w:sz="4" w:space="0" w:color="auto"/>
              <w:bottom w:val="single" w:sz="4" w:space="0" w:color="auto"/>
              <w:right w:val="single" w:sz="4" w:space="0" w:color="auto"/>
            </w:tcBorders>
            <w:vAlign w:val="center"/>
          </w:tcPr>
          <w:p w:rsidR="006C378F" w:rsidRDefault="006C378F">
            <w:pPr>
              <w:widowControl/>
              <w:jc w:val="center"/>
              <w:rPr>
                <w:kern w:val="0"/>
                <w:sz w:val="21"/>
                <w:szCs w:val="21"/>
              </w:rPr>
            </w:pPr>
          </w:p>
        </w:tc>
        <w:tc>
          <w:tcPr>
            <w:tcW w:w="479" w:type="pct"/>
            <w:tcBorders>
              <w:top w:val="single" w:sz="4" w:space="0" w:color="auto"/>
              <w:left w:val="single" w:sz="4" w:space="0" w:color="auto"/>
              <w:bottom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t>供电</w:t>
            </w:r>
          </w:p>
        </w:tc>
        <w:tc>
          <w:tcPr>
            <w:tcW w:w="1269" w:type="pct"/>
            <w:tcBorders>
              <w:top w:val="nil"/>
              <w:left w:val="nil"/>
              <w:bottom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t>供电电源</w:t>
            </w:r>
          </w:p>
        </w:tc>
        <w:tc>
          <w:tcPr>
            <w:tcW w:w="2830" w:type="pct"/>
            <w:gridSpan w:val="3"/>
            <w:tcBorders>
              <w:top w:val="single" w:sz="4" w:space="0" w:color="auto"/>
              <w:left w:val="nil"/>
              <w:bottom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t>从旁经过的市政电网接入</w:t>
            </w:r>
          </w:p>
        </w:tc>
      </w:tr>
      <w:tr w:rsidR="006C378F">
        <w:trPr>
          <w:trHeight w:val="283"/>
          <w:jc w:val="center"/>
        </w:trPr>
        <w:tc>
          <w:tcPr>
            <w:tcW w:w="901" w:type="pct"/>
            <w:gridSpan w:val="2"/>
            <w:vMerge w:val="restart"/>
            <w:tcBorders>
              <w:top w:val="single" w:sz="4" w:space="0" w:color="auto"/>
              <w:left w:val="single" w:sz="4" w:space="0" w:color="auto"/>
              <w:bottom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t>工程建设区</w:t>
            </w:r>
          </w:p>
        </w:tc>
        <w:tc>
          <w:tcPr>
            <w:tcW w:w="1269" w:type="pct"/>
            <w:tcBorders>
              <w:top w:val="nil"/>
              <w:left w:val="nil"/>
              <w:bottom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t>永久占地</w:t>
            </w:r>
          </w:p>
        </w:tc>
        <w:tc>
          <w:tcPr>
            <w:tcW w:w="1360" w:type="pct"/>
            <w:gridSpan w:val="2"/>
            <w:tcBorders>
              <w:top w:val="nil"/>
              <w:left w:val="nil"/>
              <w:bottom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t>hm</w:t>
            </w:r>
            <w:r>
              <w:rPr>
                <w:kern w:val="0"/>
                <w:sz w:val="21"/>
                <w:szCs w:val="21"/>
                <w:vertAlign w:val="superscript"/>
              </w:rPr>
              <w:t>2</w:t>
            </w:r>
          </w:p>
        </w:tc>
        <w:tc>
          <w:tcPr>
            <w:tcW w:w="1470" w:type="pct"/>
            <w:tcBorders>
              <w:top w:val="nil"/>
              <w:left w:val="nil"/>
              <w:bottom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t>0.80</w:t>
            </w:r>
          </w:p>
        </w:tc>
      </w:tr>
      <w:tr w:rsidR="006C378F">
        <w:trPr>
          <w:trHeight w:val="283"/>
          <w:jc w:val="center"/>
        </w:trPr>
        <w:tc>
          <w:tcPr>
            <w:tcW w:w="901" w:type="pct"/>
            <w:gridSpan w:val="2"/>
            <w:vMerge/>
            <w:tcBorders>
              <w:top w:val="single" w:sz="4" w:space="0" w:color="auto"/>
              <w:left w:val="single" w:sz="4" w:space="0" w:color="auto"/>
              <w:bottom w:val="single" w:sz="4" w:space="0" w:color="auto"/>
              <w:right w:val="single" w:sz="4" w:space="0" w:color="auto"/>
            </w:tcBorders>
            <w:vAlign w:val="center"/>
          </w:tcPr>
          <w:p w:rsidR="006C378F" w:rsidRDefault="006C378F">
            <w:pPr>
              <w:widowControl/>
              <w:jc w:val="center"/>
              <w:rPr>
                <w:kern w:val="0"/>
                <w:sz w:val="21"/>
                <w:szCs w:val="21"/>
              </w:rPr>
            </w:pPr>
          </w:p>
        </w:tc>
        <w:tc>
          <w:tcPr>
            <w:tcW w:w="1269" w:type="pct"/>
            <w:tcBorders>
              <w:top w:val="nil"/>
              <w:left w:val="nil"/>
              <w:bottom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t>临时占地</w:t>
            </w:r>
          </w:p>
        </w:tc>
        <w:tc>
          <w:tcPr>
            <w:tcW w:w="1360" w:type="pct"/>
            <w:gridSpan w:val="2"/>
            <w:tcBorders>
              <w:top w:val="nil"/>
              <w:left w:val="nil"/>
              <w:bottom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t>hm</w:t>
            </w:r>
            <w:r>
              <w:rPr>
                <w:kern w:val="0"/>
                <w:sz w:val="21"/>
                <w:szCs w:val="21"/>
                <w:vertAlign w:val="superscript"/>
              </w:rPr>
              <w:t>2</w:t>
            </w:r>
          </w:p>
        </w:tc>
        <w:tc>
          <w:tcPr>
            <w:tcW w:w="1470" w:type="pct"/>
            <w:tcBorders>
              <w:top w:val="nil"/>
              <w:left w:val="nil"/>
              <w:bottom w:val="single" w:sz="4" w:space="0" w:color="auto"/>
              <w:right w:val="single" w:sz="4" w:space="0" w:color="auto"/>
            </w:tcBorders>
            <w:vAlign w:val="center"/>
          </w:tcPr>
          <w:p w:rsidR="006C378F" w:rsidRDefault="00E12213">
            <w:pPr>
              <w:widowControl/>
              <w:jc w:val="center"/>
              <w:rPr>
                <w:rFonts w:eastAsia="宋体"/>
                <w:kern w:val="0"/>
                <w:sz w:val="21"/>
                <w:szCs w:val="21"/>
              </w:rPr>
            </w:pPr>
            <w:r>
              <w:rPr>
                <w:kern w:val="0"/>
                <w:sz w:val="21"/>
                <w:szCs w:val="21"/>
              </w:rPr>
              <w:t>0</w:t>
            </w:r>
          </w:p>
        </w:tc>
      </w:tr>
      <w:tr w:rsidR="006C378F">
        <w:trPr>
          <w:trHeight w:val="283"/>
          <w:jc w:val="center"/>
        </w:trPr>
        <w:tc>
          <w:tcPr>
            <w:tcW w:w="901" w:type="pct"/>
            <w:gridSpan w:val="2"/>
            <w:vMerge w:val="restart"/>
            <w:tcBorders>
              <w:top w:val="single" w:sz="4" w:space="0" w:color="auto"/>
              <w:left w:val="single" w:sz="4" w:space="0" w:color="auto"/>
              <w:bottom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lastRenderedPageBreak/>
              <w:t>土石方开挖</w:t>
            </w:r>
          </w:p>
        </w:tc>
        <w:tc>
          <w:tcPr>
            <w:tcW w:w="1269" w:type="pct"/>
            <w:tcBorders>
              <w:top w:val="nil"/>
              <w:left w:val="nil"/>
              <w:bottom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t>土石方开挖量</w:t>
            </w:r>
          </w:p>
        </w:tc>
        <w:tc>
          <w:tcPr>
            <w:tcW w:w="1360" w:type="pct"/>
            <w:gridSpan w:val="2"/>
            <w:tcBorders>
              <w:top w:val="nil"/>
              <w:left w:val="nil"/>
              <w:bottom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t>m</w:t>
            </w:r>
            <w:r>
              <w:rPr>
                <w:kern w:val="0"/>
                <w:sz w:val="21"/>
                <w:szCs w:val="21"/>
                <w:vertAlign w:val="superscript"/>
              </w:rPr>
              <w:t>3</w:t>
            </w:r>
          </w:p>
        </w:tc>
        <w:tc>
          <w:tcPr>
            <w:tcW w:w="1470" w:type="pct"/>
            <w:tcBorders>
              <w:top w:val="nil"/>
              <w:left w:val="nil"/>
              <w:bottom w:val="single" w:sz="4" w:space="0" w:color="auto"/>
              <w:right w:val="single" w:sz="4" w:space="0" w:color="auto"/>
            </w:tcBorders>
            <w:vAlign w:val="center"/>
          </w:tcPr>
          <w:p w:rsidR="006C378F" w:rsidRDefault="00E12213">
            <w:pPr>
              <w:widowControl/>
              <w:jc w:val="center"/>
              <w:rPr>
                <w:rFonts w:eastAsia="宋体"/>
                <w:kern w:val="0"/>
                <w:sz w:val="21"/>
                <w:szCs w:val="21"/>
              </w:rPr>
            </w:pPr>
            <w:r>
              <w:rPr>
                <w:kern w:val="0"/>
                <w:sz w:val="21"/>
                <w:szCs w:val="21"/>
              </w:rPr>
              <w:t>12</w:t>
            </w:r>
            <w:r>
              <w:rPr>
                <w:rFonts w:hint="eastAsia"/>
                <w:kern w:val="0"/>
                <w:sz w:val="21"/>
                <w:szCs w:val="21"/>
              </w:rPr>
              <w:t>6</w:t>
            </w:r>
            <w:r>
              <w:rPr>
                <w:kern w:val="0"/>
                <w:sz w:val="21"/>
                <w:szCs w:val="21"/>
              </w:rPr>
              <w:t>9</w:t>
            </w:r>
          </w:p>
        </w:tc>
      </w:tr>
      <w:tr w:rsidR="006C378F">
        <w:trPr>
          <w:trHeight w:val="283"/>
          <w:jc w:val="center"/>
        </w:trPr>
        <w:tc>
          <w:tcPr>
            <w:tcW w:w="901" w:type="pct"/>
            <w:gridSpan w:val="2"/>
            <w:vMerge/>
            <w:tcBorders>
              <w:top w:val="single" w:sz="4" w:space="0" w:color="auto"/>
              <w:left w:val="single" w:sz="4" w:space="0" w:color="auto"/>
              <w:bottom w:val="single" w:sz="4" w:space="0" w:color="auto"/>
              <w:right w:val="single" w:sz="4" w:space="0" w:color="auto"/>
            </w:tcBorders>
            <w:vAlign w:val="center"/>
          </w:tcPr>
          <w:p w:rsidR="006C378F" w:rsidRDefault="006C378F">
            <w:pPr>
              <w:widowControl/>
              <w:jc w:val="center"/>
              <w:rPr>
                <w:kern w:val="0"/>
                <w:sz w:val="21"/>
                <w:szCs w:val="21"/>
              </w:rPr>
            </w:pPr>
          </w:p>
        </w:tc>
        <w:tc>
          <w:tcPr>
            <w:tcW w:w="1269" w:type="pct"/>
            <w:tcBorders>
              <w:top w:val="nil"/>
              <w:left w:val="nil"/>
              <w:bottom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t>土石方回填量</w:t>
            </w:r>
          </w:p>
        </w:tc>
        <w:tc>
          <w:tcPr>
            <w:tcW w:w="1360" w:type="pct"/>
            <w:gridSpan w:val="2"/>
            <w:tcBorders>
              <w:top w:val="nil"/>
              <w:left w:val="nil"/>
              <w:bottom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t>m</w:t>
            </w:r>
            <w:r>
              <w:rPr>
                <w:kern w:val="0"/>
                <w:sz w:val="21"/>
                <w:szCs w:val="21"/>
                <w:vertAlign w:val="superscript"/>
              </w:rPr>
              <w:t>3</w:t>
            </w:r>
          </w:p>
        </w:tc>
        <w:tc>
          <w:tcPr>
            <w:tcW w:w="1470" w:type="pct"/>
            <w:tcBorders>
              <w:top w:val="nil"/>
              <w:left w:val="nil"/>
              <w:bottom w:val="single" w:sz="4" w:space="0" w:color="auto"/>
              <w:right w:val="single" w:sz="4" w:space="0" w:color="auto"/>
            </w:tcBorders>
            <w:vAlign w:val="center"/>
          </w:tcPr>
          <w:p w:rsidR="006C378F" w:rsidRDefault="00E12213">
            <w:pPr>
              <w:widowControl/>
              <w:jc w:val="center"/>
              <w:rPr>
                <w:rFonts w:eastAsia="宋体"/>
                <w:kern w:val="0"/>
                <w:sz w:val="21"/>
                <w:szCs w:val="21"/>
              </w:rPr>
            </w:pPr>
            <w:r>
              <w:rPr>
                <w:kern w:val="0"/>
                <w:sz w:val="21"/>
                <w:szCs w:val="21"/>
              </w:rPr>
              <w:t>12</w:t>
            </w:r>
            <w:r>
              <w:rPr>
                <w:rFonts w:hint="eastAsia"/>
                <w:kern w:val="0"/>
                <w:sz w:val="21"/>
                <w:szCs w:val="21"/>
              </w:rPr>
              <w:t>6</w:t>
            </w:r>
            <w:r>
              <w:rPr>
                <w:kern w:val="0"/>
                <w:sz w:val="21"/>
                <w:szCs w:val="21"/>
              </w:rPr>
              <w:t>9</w:t>
            </w:r>
          </w:p>
        </w:tc>
      </w:tr>
      <w:tr w:rsidR="006C378F">
        <w:trPr>
          <w:trHeight w:val="283"/>
          <w:jc w:val="center"/>
        </w:trPr>
        <w:tc>
          <w:tcPr>
            <w:tcW w:w="901" w:type="pct"/>
            <w:gridSpan w:val="2"/>
            <w:vMerge/>
            <w:tcBorders>
              <w:top w:val="single" w:sz="4" w:space="0" w:color="auto"/>
              <w:left w:val="single" w:sz="4" w:space="0" w:color="auto"/>
              <w:bottom w:val="single" w:sz="8" w:space="0" w:color="auto"/>
              <w:right w:val="single" w:sz="4" w:space="0" w:color="auto"/>
            </w:tcBorders>
            <w:vAlign w:val="center"/>
          </w:tcPr>
          <w:p w:rsidR="006C378F" w:rsidRDefault="006C378F">
            <w:pPr>
              <w:widowControl/>
              <w:jc w:val="center"/>
              <w:rPr>
                <w:kern w:val="0"/>
                <w:sz w:val="21"/>
                <w:szCs w:val="21"/>
              </w:rPr>
            </w:pPr>
          </w:p>
        </w:tc>
        <w:tc>
          <w:tcPr>
            <w:tcW w:w="1269" w:type="pct"/>
            <w:tcBorders>
              <w:top w:val="nil"/>
              <w:left w:val="nil"/>
              <w:bottom w:val="single" w:sz="8" w:space="0" w:color="auto"/>
              <w:right w:val="single" w:sz="4" w:space="0" w:color="auto"/>
            </w:tcBorders>
            <w:vAlign w:val="center"/>
          </w:tcPr>
          <w:p w:rsidR="006C378F" w:rsidRDefault="00E12213">
            <w:pPr>
              <w:widowControl/>
              <w:jc w:val="center"/>
              <w:rPr>
                <w:kern w:val="0"/>
                <w:sz w:val="21"/>
                <w:szCs w:val="21"/>
              </w:rPr>
            </w:pPr>
            <w:r>
              <w:rPr>
                <w:kern w:val="0"/>
                <w:sz w:val="21"/>
                <w:szCs w:val="21"/>
              </w:rPr>
              <w:t>外借方</w:t>
            </w:r>
          </w:p>
        </w:tc>
        <w:tc>
          <w:tcPr>
            <w:tcW w:w="1360" w:type="pct"/>
            <w:gridSpan w:val="2"/>
            <w:tcBorders>
              <w:top w:val="nil"/>
              <w:left w:val="nil"/>
              <w:bottom w:val="single" w:sz="8" w:space="0" w:color="auto"/>
              <w:right w:val="single" w:sz="4" w:space="0" w:color="auto"/>
            </w:tcBorders>
            <w:vAlign w:val="center"/>
          </w:tcPr>
          <w:p w:rsidR="006C378F" w:rsidRDefault="00E12213">
            <w:pPr>
              <w:widowControl/>
              <w:jc w:val="center"/>
              <w:rPr>
                <w:kern w:val="0"/>
                <w:sz w:val="21"/>
                <w:szCs w:val="21"/>
              </w:rPr>
            </w:pPr>
            <w:r>
              <w:rPr>
                <w:kern w:val="0"/>
                <w:sz w:val="21"/>
                <w:szCs w:val="21"/>
              </w:rPr>
              <w:t>m</w:t>
            </w:r>
            <w:r>
              <w:rPr>
                <w:kern w:val="0"/>
                <w:sz w:val="21"/>
                <w:szCs w:val="21"/>
                <w:vertAlign w:val="superscript"/>
              </w:rPr>
              <w:t>3</w:t>
            </w:r>
          </w:p>
        </w:tc>
        <w:tc>
          <w:tcPr>
            <w:tcW w:w="1470" w:type="pct"/>
            <w:tcBorders>
              <w:top w:val="nil"/>
              <w:left w:val="nil"/>
              <w:bottom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t>0</w:t>
            </w:r>
          </w:p>
        </w:tc>
      </w:tr>
      <w:tr w:rsidR="006C378F">
        <w:trPr>
          <w:trHeight w:val="283"/>
          <w:jc w:val="center"/>
        </w:trPr>
        <w:tc>
          <w:tcPr>
            <w:tcW w:w="901" w:type="pct"/>
            <w:gridSpan w:val="2"/>
            <w:tcBorders>
              <w:top w:val="single" w:sz="8" w:space="0" w:color="auto"/>
              <w:left w:val="single" w:sz="4" w:space="0" w:color="auto"/>
              <w:bottom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t>建设工期</w:t>
            </w:r>
          </w:p>
        </w:tc>
        <w:tc>
          <w:tcPr>
            <w:tcW w:w="4099" w:type="pct"/>
            <w:gridSpan w:val="4"/>
            <w:tcBorders>
              <w:top w:val="single" w:sz="4" w:space="0" w:color="auto"/>
              <w:left w:val="nil"/>
              <w:bottom w:val="single" w:sz="4" w:space="0" w:color="auto"/>
              <w:right w:val="single" w:sz="4" w:space="0" w:color="auto"/>
            </w:tcBorders>
            <w:vAlign w:val="center"/>
          </w:tcPr>
          <w:p w:rsidR="006C378F" w:rsidRDefault="00E12213">
            <w:pPr>
              <w:widowControl/>
              <w:ind w:firstLineChars="400" w:firstLine="840"/>
              <w:rPr>
                <w:kern w:val="0"/>
                <w:sz w:val="21"/>
                <w:szCs w:val="21"/>
              </w:rPr>
            </w:pPr>
            <w:r>
              <w:rPr>
                <w:kern w:val="0"/>
                <w:sz w:val="21"/>
                <w:szCs w:val="21"/>
              </w:rPr>
              <w:t>建设总工期</w:t>
            </w:r>
            <w:r>
              <w:rPr>
                <w:kern w:val="0"/>
                <w:sz w:val="21"/>
                <w:szCs w:val="21"/>
              </w:rPr>
              <w:t>3</w:t>
            </w:r>
            <w:r>
              <w:rPr>
                <w:kern w:val="0"/>
                <w:sz w:val="21"/>
                <w:szCs w:val="21"/>
              </w:rPr>
              <w:t>个月，即</w:t>
            </w:r>
            <w:r>
              <w:rPr>
                <w:kern w:val="0"/>
                <w:sz w:val="21"/>
                <w:szCs w:val="21"/>
              </w:rPr>
              <w:t>2017</w:t>
            </w:r>
            <w:r>
              <w:rPr>
                <w:kern w:val="0"/>
                <w:sz w:val="21"/>
                <w:szCs w:val="21"/>
              </w:rPr>
              <w:t>年</w:t>
            </w:r>
            <w:r>
              <w:rPr>
                <w:kern w:val="0"/>
                <w:sz w:val="21"/>
                <w:szCs w:val="21"/>
              </w:rPr>
              <w:t>1</w:t>
            </w:r>
            <w:r>
              <w:rPr>
                <w:kern w:val="0"/>
                <w:sz w:val="21"/>
                <w:szCs w:val="21"/>
              </w:rPr>
              <w:t>月～</w:t>
            </w:r>
            <w:r>
              <w:rPr>
                <w:kern w:val="0"/>
                <w:sz w:val="21"/>
                <w:szCs w:val="21"/>
              </w:rPr>
              <w:t>2017</w:t>
            </w:r>
            <w:r>
              <w:rPr>
                <w:kern w:val="0"/>
                <w:sz w:val="21"/>
                <w:szCs w:val="21"/>
              </w:rPr>
              <w:t>年</w:t>
            </w:r>
            <w:r>
              <w:rPr>
                <w:kern w:val="0"/>
                <w:sz w:val="21"/>
                <w:szCs w:val="21"/>
              </w:rPr>
              <w:t>3</w:t>
            </w:r>
            <w:r>
              <w:rPr>
                <w:kern w:val="0"/>
                <w:sz w:val="21"/>
                <w:szCs w:val="21"/>
              </w:rPr>
              <w:t>月</w:t>
            </w:r>
          </w:p>
        </w:tc>
      </w:tr>
      <w:tr w:rsidR="006C378F">
        <w:trPr>
          <w:trHeight w:val="283"/>
          <w:jc w:val="center"/>
        </w:trPr>
        <w:tc>
          <w:tcPr>
            <w:tcW w:w="901" w:type="pct"/>
            <w:gridSpan w:val="2"/>
            <w:vMerge w:val="restart"/>
            <w:tcBorders>
              <w:top w:val="single" w:sz="4" w:space="0" w:color="auto"/>
              <w:left w:val="single" w:sz="4" w:space="0" w:color="auto"/>
              <w:bottom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t>工程投资</w:t>
            </w:r>
          </w:p>
        </w:tc>
        <w:tc>
          <w:tcPr>
            <w:tcW w:w="2068" w:type="pct"/>
            <w:gridSpan w:val="2"/>
            <w:tcBorders>
              <w:top w:val="nil"/>
              <w:left w:val="nil"/>
              <w:bottom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t>工程总投资</w:t>
            </w:r>
          </w:p>
        </w:tc>
        <w:tc>
          <w:tcPr>
            <w:tcW w:w="2031" w:type="pct"/>
            <w:gridSpan w:val="2"/>
            <w:tcBorders>
              <w:top w:val="single" w:sz="4" w:space="0" w:color="auto"/>
              <w:left w:val="nil"/>
              <w:bottom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t>190</w:t>
            </w:r>
            <w:r>
              <w:rPr>
                <w:kern w:val="0"/>
                <w:sz w:val="21"/>
                <w:szCs w:val="21"/>
              </w:rPr>
              <w:t>万元</w:t>
            </w:r>
          </w:p>
        </w:tc>
      </w:tr>
      <w:tr w:rsidR="006C378F">
        <w:trPr>
          <w:trHeight w:val="283"/>
          <w:jc w:val="center"/>
        </w:trPr>
        <w:tc>
          <w:tcPr>
            <w:tcW w:w="901" w:type="pct"/>
            <w:gridSpan w:val="2"/>
            <w:vMerge/>
            <w:tcBorders>
              <w:top w:val="single" w:sz="4" w:space="0" w:color="auto"/>
              <w:left w:val="single" w:sz="4" w:space="0" w:color="auto"/>
              <w:bottom w:val="single" w:sz="4" w:space="0" w:color="auto"/>
              <w:right w:val="single" w:sz="4" w:space="0" w:color="auto"/>
            </w:tcBorders>
            <w:vAlign w:val="center"/>
          </w:tcPr>
          <w:p w:rsidR="006C378F" w:rsidRDefault="006C378F">
            <w:pPr>
              <w:widowControl/>
              <w:jc w:val="center"/>
              <w:rPr>
                <w:kern w:val="0"/>
                <w:sz w:val="21"/>
                <w:szCs w:val="21"/>
              </w:rPr>
            </w:pPr>
          </w:p>
        </w:tc>
        <w:tc>
          <w:tcPr>
            <w:tcW w:w="2068" w:type="pct"/>
            <w:gridSpan w:val="2"/>
            <w:tcBorders>
              <w:top w:val="nil"/>
              <w:left w:val="nil"/>
              <w:bottom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t>土建投资</w:t>
            </w:r>
          </w:p>
        </w:tc>
        <w:tc>
          <w:tcPr>
            <w:tcW w:w="2031" w:type="pct"/>
            <w:gridSpan w:val="2"/>
            <w:tcBorders>
              <w:top w:val="single" w:sz="4" w:space="0" w:color="auto"/>
              <w:left w:val="nil"/>
              <w:bottom w:val="single" w:sz="4" w:space="0" w:color="auto"/>
              <w:right w:val="single" w:sz="4" w:space="0" w:color="auto"/>
            </w:tcBorders>
            <w:vAlign w:val="center"/>
          </w:tcPr>
          <w:p w:rsidR="006C378F" w:rsidRDefault="00E12213">
            <w:pPr>
              <w:widowControl/>
              <w:jc w:val="center"/>
              <w:rPr>
                <w:kern w:val="0"/>
                <w:sz w:val="21"/>
                <w:szCs w:val="21"/>
              </w:rPr>
            </w:pPr>
            <w:r>
              <w:rPr>
                <w:kern w:val="0"/>
                <w:sz w:val="21"/>
                <w:szCs w:val="21"/>
              </w:rPr>
              <w:t>135</w:t>
            </w:r>
            <w:r>
              <w:rPr>
                <w:kern w:val="0"/>
                <w:sz w:val="21"/>
                <w:szCs w:val="21"/>
              </w:rPr>
              <w:t>万元</w:t>
            </w:r>
          </w:p>
        </w:tc>
      </w:tr>
    </w:tbl>
    <w:p w:rsidR="006C378F" w:rsidRDefault="00E12213">
      <w:pPr>
        <w:pStyle w:val="2"/>
        <w:spacing w:beforeLines="50" w:before="120"/>
      </w:pPr>
      <w:bookmarkStart w:id="7" w:name="_Toc13671"/>
      <w:r>
        <w:t>1.4</w:t>
      </w:r>
      <w:r>
        <w:t>项目组成</w:t>
      </w:r>
      <w:bookmarkEnd w:id="6"/>
      <w:r>
        <w:rPr>
          <w:rFonts w:hint="eastAsia"/>
        </w:rPr>
        <w:t>及占地</w:t>
      </w:r>
      <w:bookmarkEnd w:id="7"/>
    </w:p>
    <w:p w:rsidR="006C378F" w:rsidRDefault="00E12213">
      <w:pPr>
        <w:pStyle w:val="BZDL1"/>
        <w:spacing w:beforeLines="0" w:before="0" w:afterLines="0" w:after="0" w:line="360" w:lineRule="auto"/>
        <w:ind w:firstLine="480"/>
        <w:rPr>
          <w:rFonts w:ascii="Times New Roman"/>
        </w:rPr>
      </w:pPr>
      <w:bookmarkStart w:id="8" w:name="_Toc22126"/>
      <w:bookmarkStart w:id="9" w:name="_Toc2775"/>
      <w:r>
        <w:rPr>
          <w:rFonts w:ascii="Times New Roman"/>
          <w:sz w:val="24"/>
          <w:szCs w:val="24"/>
        </w:rPr>
        <w:t>根据主体设计资料，本项目由</w:t>
      </w:r>
      <w:r>
        <w:rPr>
          <w:rFonts w:ascii="Times New Roman" w:hint="eastAsia"/>
          <w:sz w:val="24"/>
          <w:szCs w:val="24"/>
        </w:rPr>
        <w:t>停车场</w:t>
      </w:r>
      <w:r>
        <w:rPr>
          <w:rFonts w:ascii="Times New Roman"/>
          <w:sz w:val="24"/>
          <w:szCs w:val="24"/>
        </w:rPr>
        <w:t>区</w:t>
      </w:r>
      <w:r>
        <w:rPr>
          <w:rFonts w:ascii="Times New Roman"/>
          <w:sz w:val="24"/>
          <w:szCs w:val="24"/>
        </w:rPr>
        <w:t>1</w:t>
      </w:r>
      <w:r>
        <w:rPr>
          <w:rFonts w:ascii="Times New Roman"/>
          <w:sz w:val="24"/>
          <w:szCs w:val="24"/>
        </w:rPr>
        <w:t>部分组成。</w:t>
      </w:r>
    </w:p>
    <w:bookmarkEnd w:id="8"/>
    <w:bookmarkEnd w:id="9"/>
    <w:p w:rsidR="006C378F" w:rsidRDefault="00E12213">
      <w:pPr>
        <w:pStyle w:val="af1"/>
        <w:ind w:firstLine="480"/>
      </w:pPr>
      <w:r>
        <w:rPr>
          <w:rFonts w:hint="eastAsia"/>
        </w:rPr>
        <w:t>停车场</w:t>
      </w:r>
      <w:r>
        <w:t>区主要包括</w:t>
      </w:r>
      <w:r>
        <w:rPr>
          <w:rFonts w:hint="eastAsia"/>
        </w:rPr>
        <w:t>管理用房</w:t>
      </w:r>
      <w:r>
        <w:t>、停车位、</w:t>
      </w:r>
      <w:r>
        <w:rPr>
          <w:rFonts w:hint="eastAsia"/>
        </w:rPr>
        <w:t>场内道路及相应</w:t>
      </w:r>
      <w:r>
        <w:t>附属系统设施等；总占地面积</w:t>
      </w:r>
      <w:r>
        <w:t>0.80hm</w:t>
      </w:r>
      <w:r>
        <w:rPr>
          <w:vertAlign w:val="superscript"/>
        </w:rPr>
        <w:t>2</w:t>
      </w:r>
      <w:r>
        <w:t>。</w:t>
      </w:r>
      <w:r>
        <w:rPr>
          <w:rFonts w:hint="eastAsia"/>
        </w:rPr>
        <w:t>管理用房</w:t>
      </w:r>
      <w:r>
        <w:t>位于项目建设区</w:t>
      </w:r>
      <w:r>
        <w:rPr>
          <w:rFonts w:hint="eastAsia"/>
        </w:rPr>
        <w:t>西</w:t>
      </w:r>
      <w:r>
        <w:t>北侧，</w:t>
      </w:r>
      <w:r>
        <w:rPr>
          <w:rFonts w:hint="eastAsia"/>
        </w:rPr>
        <w:t>靠近市政道路</w:t>
      </w:r>
      <w:r>
        <w:t>，占地面积</w:t>
      </w:r>
      <w:r>
        <w:t>1004.46m</w:t>
      </w:r>
      <w:r>
        <w:rPr>
          <w:vertAlign w:val="superscript"/>
        </w:rPr>
        <w:t>2</w:t>
      </w:r>
      <w:r>
        <w:t>。门卫室位于项目建设区南侧，占地面积</w:t>
      </w:r>
      <w:r>
        <w:t>28m</w:t>
      </w:r>
      <w:r>
        <w:rPr>
          <w:vertAlign w:val="superscript"/>
        </w:rPr>
        <w:t>2</w:t>
      </w:r>
      <w:r>
        <w:t>。车棚位于项目建设区东侧，占地面积</w:t>
      </w:r>
      <w:r>
        <w:t>231m</w:t>
      </w:r>
      <w:r>
        <w:rPr>
          <w:vertAlign w:val="superscript"/>
        </w:rPr>
        <w:t>2</w:t>
      </w:r>
      <w:r>
        <w:t>。停车位位于项目建设区北侧，业务楼东侧，占地面积</w:t>
      </w:r>
      <w:r>
        <w:t>1124m</w:t>
      </w:r>
      <w:r>
        <w:rPr>
          <w:vertAlign w:val="superscript"/>
        </w:rPr>
        <w:t>2</w:t>
      </w:r>
      <w:r>
        <w:t>。道路贯穿整个停车场区域，联络各个部分，道路平均宽度</w:t>
      </w:r>
      <w:r>
        <w:t>4m</w:t>
      </w:r>
      <w:r>
        <w:t>，能满足本区运输消防要求；本区绿化面积占地</w:t>
      </w:r>
      <w:r>
        <w:t>1977m</w:t>
      </w:r>
      <w:r>
        <w:rPr>
          <w:vertAlign w:val="superscript"/>
        </w:rPr>
        <w:t>2</w:t>
      </w:r>
      <w:r>
        <w:t>，主要种植结缕草和金叶女贞。本区原始标高为</w:t>
      </w:r>
      <w:r>
        <w:t>+1363.7~+1368.11m</w:t>
      </w:r>
      <w:r>
        <w:t>，设计标高</w:t>
      </w:r>
      <w:r>
        <w:t>+1365.4~+1365.58m</w:t>
      </w:r>
      <w:r>
        <w:t>，本区建设开挖土石方量为</w:t>
      </w:r>
      <w:r>
        <w:t>1269m</w:t>
      </w:r>
      <w:r>
        <w:rPr>
          <w:vertAlign w:val="superscript"/>
        </w:rPr>
        <w:t>3</w:t>
      </w:r>
      <w:r>
        <w:t>，回填土石方量为</w:t>
      </w:r>
      <w:r>
        <w:t>1269m</w:t>
      </w:r>
      <w:r>
        <w:rPr>
          <w:vertAlign w:val="superscript"/>
        </w:rPr>
        <w:t>3</w:t>
      </w:r>
      <w:r>
        <w:t>。</w:t>
      </w:r>
    </w:p>
    <w:p w:rsidR="006C378F" w:rsidRDefault="00E12213">
      <w:pPr>
        <w:spacing w:line="360" w:lineRule="auto"/>
        <w:ind w:firstLine="480"/>
      </w:pPr>
      <w:r>
        <w:t>本项目本项目总占地面积为</w:t>
      </w:r>
      <w:r>
        <w:t>0.80hm2</w:t>
      </w:r>
      <w:r>
        <w:t>，其中停车场区占地面积为</w:t>
      </w:r>
      <w:r>
        <w:t>0.80hm2</w:t>
      </w:r>
      <w:r>
        <w:t>，均为永久占地。</w:t>
      </w:r>
    </w:p>
    <w:p w:rsidR="006C378F" w:rsidRDefault="00E12213">
      <w:pPr>
        <w:jc w:val="center"/>
        <w:rPr>
          <w:b/>
          <w:bCs/>
          <w:kern w:val="0"/>
          <w:sz w:val="22"/>
          <w:szCs w:val="22"/>
          <w:vertAlign w:val="superscript"/>
          <w:lang w:bidi="ar"/>
        </w:rPr>
      </w:pPr>
      <w:r>
        <w:rPr>
          <w:b/>
          <w:bCs/>
          <w:sz w:val="22"/>
          <w:szCs w:val="22"/>
        </w:rPr>
        <w:t>表</w:t>
      </w:r>
      <w:r>
        <w:rPr>
          <w:b/>
          <w:bCs/>
          <w:sz w:val="22"/>
          <w:szCs w:val="22"/>
        </w:rPr>
        <w:t xml:space="preserve">1-2 </w:t>
      </w:r>
      <w:r>
        <w:rPr>
          <w:b/>
          <w:bCs/>
          <w:sz w:val="22"/>
          <w:szCs w:val="22"/>
        </w:rPr>
        <w:t>工程占地面积表</w:t>
      </w:r>
      <w:r>
        <w:rPr>
          <w:b/>
          <w:bCs/>
          <w:sz w:val="22"/>
          <w:szCs w:val="22"/>
        </w:rPr>
        <w:t xml:space="preserve">      </w:t>
      </w:r>
      <w:r>
        <w:rPr>
          <w:b/>
          <w:bCs/>
          <w:sz w:val="22"/>
          <w:szCs w:val="22"/>
        </w:rPr>
        <w:t>单位：</w:t>
      </w:r>
      <w:r>
        <w:rPr>
          <w:b/>
          <w:bCs/>
          <w:sz w:val="22"/>
          <w:szCs w:val="22"/>
        </w:rPr>
        <w:t>h</w:t>
      </w:r>
      <w:r>
        <w:rPr>
          <w:b/>
          <w:bCs/>
          <w:kern w:val="0"/>
          <w:sz w:val="22"/>
          <w:szCs w:val="22"/>
          <w:lang w:bidi="ar"/>
        </w:rPr>
        <w:t>m</w:t>
      </w:r>
      <w:r>
        <w:rPr>
          <w:b/>
          <w:bCs/>
          <w:kern w:val="0"/>
          <w:sz w:val="22"/>
          <w:szCs w:val="22"/>
          <w:vertAlign w:val="superscript"/>
          <w:lang w:bidi="ar"/>
        </w:rPr>
        <w:t>2</w:t>
      </w:r>
    </w:p>
    <w:tbl>
      <w:tblPr>
        <w:tblW w:w="86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33"/>
        <w:gridCol w:w="1855"/>
        <w:gridCol w:w="1855"/>
        <w:gridCol w:w="1856"/>
      </w:tblGrid>
      <w:tr w:rsidR="006C378F">
        <w:trPr>
          <w:trHeight w:hRule="exact" w:val="283"/>
          <w:jc w:val="center"/>
        </w:trPr>
        <w:tc>
          <w:tcPr>
            <w:tcW w:w="3133" w:type="dxa"/>
            <w:tcBorders>
              <w:tl2br w:val="nil"/>
              <w:tr2bl w:val="nil"/>
            </w:tcBorders>
            <w:shd w:val="clear" w:color="auto" w:fill="auto"/>
            <w:noWrap/>
            <w:tcMar>
              <w:top w:w="15" w:type="dxa"/>
              <w:left w:w="15" w:type="dxa"/>
              <w:right w:w="15" w:type="dxa"/>
            </w:tcMar>
            <w:vAlign w:val="center"/>
          </w:tcPr>
          <w:p w:rsidR="006C378F" w:rsidRDefault="00E12213">
            <w:pPr>
              <w:spacing w:line="360" w:lineRule="auto"/>
              <w:jc w:val="center"/>
              <w:rPr>
                <w:bCs/>
                <w:kern w:val="0"/>
                <w:sz w:val="21"/>
                <w:szCs w:val="21"/>
              </w:rPr>
            </w:pPr>
            <w:r>
              <w:rPr>
                <w:bCs/>
                <w:kern w:val="0"/>
                <w:sz w:val="21"/>
                <w:szCs w:val="21"/>
              </w:rPr>
              <w:t>项目组成</w:t>
            </w:r>
          </w:p>
        </w:tc>
        <w:tc>
          <w:tcPr>
            <w:tcW w:w="1855" w:type="dxa"/>
            <w:tcBorders>
              <w:tl2br w:val="nil"/>
              <w:tr2bl w:val="nil"/>
            </w:tcBorders>
            <w:shd w:val="clear" w:color="auto" w:fill="auto"/>
            <w:tcMar>
              <w:top w:w="15" w:type="dxa"/>
              <w:left w:w="15" w:type="dxa"/>
              <w:right w:w="15" w:type="dxa"/>
            </w:tcMar>
            <w:vAlign w:val="center"/>
          </w:tcPr>
          <w:p w:rsidR="006C378F" w:rsidRDefault="00E12213">
            <w:pPr>
              <w:spacing w:line="360" w:lineRule="auto"/>
              <w:jc w:val="center"/>
              <w:rPr>
                <w:bCs/>
                <w:kern w:val="0"/>
                <w:sz w:val="21"/>
                <w:szCs w:val="21"/>
              </w:rPr>
            </w:pPr>
            <w:r>
              <w:rPr>
                <w:bCs/>
                <w:kern w:val="0"/>
                <w:sz w:val="21"/>
                <w:szCs w:val="21"/>
              </w:rPr>
              <w:t>合计</w:t>
            </w:r>
          </w:p>
        </w:tc>
        <w:tc>
          <w:tcPr>
            <w:tcW w:w="1855" w:type="dxa"/>
            <w:tcBorders>
              <w:tl2br w:val="nil"/>
              <w:tr2bl w:val="nil"/>
            </w:tcBorders>
            <w:shd w:val="clear" w:color="auto" w:fill="auto"/>
            <w:tcMar>
              <w:top w:w="15" w:type="dxa"/>
              <w:left w:w="15" w:type="dxa"/>
              <w:right w:w="15" w:type="dxa"/>
            </w:tcMar>
            <w:vAlign w:val="center"/>
          </w:tcPr>
          <w:p w:rsidR="006C378F" w:rsidRDefault="00E12213">
            <w:pPr>
              <w:spacing w:line="360" w:lineRule="auto"/>
              <w:jc w:val="center"/>
              <w:rPr>
                <w:bCs/>
                <w:kern w:val="0"/>
                <w:sz w:val="21"/>
                <w:szCs w:val="21"/>
              </w:rPr>
            </w:pPr>
            <w:r>
              <w:rPr>
                <w:bCs/>
                <w:kern w:val="0"/>
                <w:sz w:val="21"/>
                <w:szCs w:val="21"/>
              </w:rPr>
              <w:t>永久占地</w:t>
            </w:r>
          </w:p>
        </w:tc>
        <w:tc>
          <w:tcPr>
            <w:tcW w:w="1856" w:type="dxa"/>
            <w:tcBorders>
              <w:tl2br w:val="nil"/>
              <w:tr2bl w:val="nil"/>
            </w:tcBorders>
            <w:shd w:val="clear" w:color="auto" w:fill="auto"/>
            <w:tcMar>
              <w:top w:w="15" w:type="dxa"/>
              <w:left w:w="15" w:type="dxa"/>
              <w:right w:w="15" w:type="dxa"/>
            </w:tcMar>
            <w:vAlign w:val="center"/>
          </w:tcPr>
          <w:p w:rsidR="006C378F" w:rsidRDefault="00E12213">
            <w:pPr>
              <w:spacing w:line="360" w:lineRule="auto"/>
              <w:jc w:val="center"/>
              <w:rPr>
                <w:bCs/>
                <w:kern w:val="0"/>
                <w:sz w:val="21"/>
                <w:szCs w:val="21"/>
              </w:rPr>
            </w:pPr>
            <w:r>
              <w:rPr>
                <w:bCs/>
                <w:kern w:val="0"/>
                <w:sz w:val="21"/>
                <w:szCs w:val="21"/>
              </w:rPr>
              <w:t>临时占地</w:t>
            </w:r>
          </w:p>
        </w:tc>
      </w:tr>
      <w:tr w:rsidR="006C378F">
        <w:trPr>
          <w:trHeight w:hRule="exact" w:val="278"/>
          <w:jc w:val="center"/>
        </w:trPr>
        <w:tc>
          <w:tcPr>
            <w:tcW w:w="3133" w:type="dxa"/>
            <w:tcBorders>
              <w:tl2br w:val="nil"/>
              <w:tr2bl w:val="nil"/>
            </w:tcBorders>
            <w:shd w:val="clear" w:color="auto" w:fill="auto"/>
            <w:noWrap/>
            <w:tcMar>
              <w:top w:w="15" w:type="dxa"/>
              <w:left w:w="15" w:type="dxa"/>
              <w:right w:w="15" w:type="dxa"/>
            </w:tcMar>
            <w:vAlign w:val="center"/>
          </w:tcPr>
          <w:p w:rsidR="006C378F" w:rsidRDefault="00E12213">
            <w:pPr>
              <w:spacing w:line="360" w:lineRule="auto"/>
              <w:jc w:val="center"/>
              <w:rPr>
                <w:bCs/>
                <w:kern w:val="0"/>
                <w:sz w:val="21"/>
                <w:szCs w:val="21"/>
              </w:rPr>
            </w:pPr>
            <w:r>
              <w:rPr>
                <w:rFonts w:hint="eastAsia"/>
                <w:bCs/>
                <w:kern w:val="0"/>
                <w:sz w:val="21"/>
                <w:szCs w:val="21"/>
              </w:rPr>
              <w:t>停车场</w:t>
            </w:r>
            <w:r>
              <w:rPr>
                <w:bCs/>
                <w:kern w:val="0"/>
                <w:sz w:val="21"/>
                <w:szCs w:val="21"/>
              </w:rPr>
              <w:t>区</w:t>
            </w:r>
          </w:p>
        </w:tc>
        <w:tc>
          <w:tcPr>
            <w:tcW w:w="1855" w:type="dxa"/>
            <w:tcBorders>
              <w:tl2br w:val="nil"/>
              <w:tr2bl w:val="nil"/>
            </w:tcBorders>
            <w:shd w:val="clear" w:color="auto" w:fill="auto"/>
            <w:tcMar>
              <w:top w:w="15" w:type="dxa"/>
              <w:left w:w="15" w:type="dxa"/>
              <w:right w:w="15" w:type="dxa"/>
            </w:tcMar>
            <w:vAlign w:val="center"/>
          </w:tcPr>
          <w:p w:rsidR="006C378F" w:rsidRDefault="00E12213">
            <w:pPr>
              <w:spacing w:line="360" w:lineRule="auto"/>
              <w:jc w:val="center"/>
              <w:rPr>
                <w:bCs/>
                <w:kern w:val="0"/>
                <w:sz w:val="21"/>
                <w:szCs w:val="21"/>
              </w:rPr>
            </w:pPr>
            <w:r>
              <w:rPr>
                <w:bCs/>
                <w:kern w:val="0"/>
                <w:sz w:val="21"/>
                <w:szCs w:val="21"/>
              </w:rPr>
              <w:t>0.80</w:t>
            </w:r>
          </w:p>
        </w:tc>
        <w:tc>
          <w:tcPr>
            <w:tcW w:w="1855" w:type="dxa"/>
            <w:tcBorders>
              <w:tl2br w:val="nil"/>
              <w:tr2bl w:val="nil"/>
            </w:tcBorders>
            <w:shd w:val="clear" w:color="auto" w:fill="auto"/>
            <w:tcMar>
              <w:top w:w="15" w:type="dxa"/>
              <w:left w:w="15" w:type="dxa"/>
              <w:right w:w="15" w:type="dxa"/>
            </w:tcMar>
            <w:vAlign w:val="center"/>
          </w:tcPr>
          <w:p w:rsidR="006C378F" w:rsidRDefault="00E12213">
            <w:pPr>
              <w:spacing w:line="360" w:lineRule="auto"/>
              <w:jc w:val="center"/>
              <w:rPr>
                <w:bCs/>
                <w:kern w:val="0"/>
                <w:sz w:val="21"/>
                <w:szCs w:val="21"/>
              </w:rPr>
            </w:pPr>
            <w:r>
              <w:rPr>
                <w:bCs/>
                <w:kern w:val="0"/>
                <w:sz w:val="21"/>
                <w:szCs w:val="21"/>
              </w:rPr>
              <w:t>0.80</w:t>
            </w:r>
          </w:p>
        </w:tc>
        <w:tc>
          <w:tcPr>
            <w:tcW w:w="1856" w:type="dxa"/>
            <w:tcBorders>
              <w:tl2br w:val="nil"/>
              <w:tr2bl w:val="nil"/>
            </w:tcBorders>
            <w:shd w:val="clear" w:color="auto" w:fill="auto"/>
            <w:tcMar>
              <w:top w:w="15" w:type="dxa"/>
              <w:left w:w="15" w:type="dxa"/>
              <w:right w:w="15" w:type="dxa"/>
            </w:tcMar>
            <w:vAlign w:val="center"/>
          </w:tcPr>
          <w:p w:rsidR="006C378F" w:rsidRDefault="00E12213">
            <w:pPr>
              <w:spacing w:line="360" w:lineRule="auto"/>
              <w:jc w:val="center"/>
              <w:rPr>
                <w:bCs/>
                <w:kern w:val="0"/>
                <w:sz w:val="21"/>
                <w:szCs w:val="21"/>
              </w:rPr>
            </w:pPr>
            <w:r>
              <w:rPr>
                <w:bCs/>
                <w:kern w:val="0"/>
                <w:sz w:val="21"/>
                <w:szCs w:val="21"/>
              </w:rPr>
              <w:t>0</w:t>
            </w:r>
          </w:p>
        </w:tc>
      </w:tr>
      <w:tr w:rsidR="006C378F">
        <w:trPr>
          <w:trHeight w:hRule="exact" w:val="283"/>
          <w:jc w:val="center"/>
        </w:trPr>
        <w:tc>
          <w:tcPr>
            <w:tcW w:w="3133" w:type="dxa"/>
            <w:tcBorders>
              <w:tl2br w:val="nil"/>
              <w:tr2bl w:val="nil"/>
            </w:tcBorders>
            <w:shd w:val="clear" w:color="auto" w:fill="auto"/>
            <w:noWrap/>
            <w:tcMar>
              <w:top w:w="15" w:type="dxa"/>
              <w:left w:w="15" w:type="dxa"/>
              <w:right w:w="15" w:type="dxa"/>
            </w:tcMar>
            <w:vAlign w:val="center"/>
          </w:tcPr>
          <w:p w:rsidR="006C378F" w:rsidRDefault="00E12213">
            <w:pPr>
              <w:spacing w:line="360" w:lineRule="auto"/>
              <w:jc w:val="center"/>
              <w:rPr>
                <w:bCs/>
                <w:kern w:val="0"/>
                <w:sz w:val="21"/>
                <w:szCs w:val="21"/>
              </w:rPr>
            </w:pPr>
            <w:r>
              <w:rPr>
                <w:bCs/>
                <w:kern w:val="0"/>
                <w:sz w:val="21"/>
                <w:szCs w:val="21"/>
              </w:rPr>
              <w:t>合计</w:t>
            </w:r>
          </w:p>
        </w:tc>
        <w:tc>
          <w:tcPr>
            <w:tcW w:w="1855" w:type="dxa"/>
            <w:tcBorders>
              <w:tl2br w:val="nil"/>
              <w:tr2bl w:val="nil"/>
            </w:tcBorders>
            <w:shd w:val="clear" w:color="auto" w:fill="auto"/>
            <w:tcMar>
              <w:top w:w="15" w:type="dxa"/>
              <w:left w:w="15" w:type="dxa"/>
              <w:right w:w="15" w:type="dxa"/>
            </w:tcMar>
            <w:vAlign w:val="center"/>
          </w:tcPr>
          <w:p w:rsidR="006C378F" w:rsidRDefault="00E12213">
            <w:pPr>
              <w:spacing w:line="360" w:lineRule="auto"/>
              <w:jc w:val="center"/>
              <w:rPr>
                <w:bCs/>
                <w:kern w:val="0"/>
                <w:sz w:val="21"/>
                <w:szCs w:val="21"/>
              </w:rPr>
            </w:pPr>
            <w:r>
              <w:rPr>
                <w:bCs/>
                <w:kern w:val="0"/>
                <w:sz w:val="21"/>
                <w:szCs w:val="21"/>
              </w:rPr>
              <w:t>0.80</w:t>
            </w:r>
          </w:p>
        </w:tc>
        <w:tc>
          <w:tcPr>
            <w:tcW w:w="1855" w:type="dxa"/>
            <w:tcBorders>
              <w:tl2br w:val="nil"/>
              <w:tr2bl w:val="nil"/>
            </w:tcBorders>
            <w:shd w:val="clear" w:color="auto" w:fill="auto"/>
            <w:noWrap/>
            <w:tcMar>
              <w:top w:w="15" w:type="dxa"/>
              <w:left w:w="15" w:type="dxa"/>
              <w:right w:w="15" w:type="dxa"/>
            </w:tcMar>
            <w:vAlign w:val="center"/>
          </w:tcPr>
          <w:p w:rsidR="006C378F" w:rsidRDefault="00E12213">
            <w:pPr>
              <w:spacing w:line="360" w:lineRule="auto"/>
              <w:jc w:val="center"/>
              <w:rPr>
                <w:bCs/>
                <w:kern w:val="0"/>
                <w:sz w:val="21"/>
                <w:szCs w:val="21"/>
              </w:rPr>
            </w:pPr>
            <w:r>
              <w:rPr>
                <w:bCs/>
                <w:kern w:val="0"/>
                <w:sz w:val="21"/>
                <w:szCs w:val="21"/>
              </w:rPr>
              <w:t>0.80</w:t>
            </w:r>
          </w:p>
        </w:tc>
        <w:tc>
          <w:tcPr>
            <w:tcW w:w="1856" w:type="dxa"/>
            <w:tcBorders>
              <w:tl2br w:val="nil"/>
              <w:tr2bl w:val="nil"/>
            </w:tcBorders>
            <w:shd w:val="clear" w:color="auto" w:fill="auto"/>
            <w:noWrap/>
            <w:tcMar>
              <w:top w:w="15" w:type="dxa"/>
              <w:left w:w="15" w:type="dxa"/>
              <w:right w:w="15" w:type="dxa"/>
            </w:tcMar>
            <w:vAlign w:val="center"/>
          </w:tcPr>
          <w:p w:rsidR="006C378F" w:rsidRDefault="00E12213">
            <w:pPr>
              <w:spacing w:line="360" w:lineRule="auto"/>
              <w:jc w:val="center"/>
              <w:rPr>
                <w:bCs/>
                <w:kern w:val="0"/>
                <w:sz w:val="21"/>
                <w:szCs w:val="21"/>
              </w:rPr>
            </w:pPr>
            <w:r>
              <w:rPr>
                <w:bCs/>
                <w:kern w:val="0"/>
                <w:sz w:val="21"/>
                <w:szCs w:val="21"/>
              </w:rPr>
              <w:t>0</w:t>
            </w:r>
          </w:p>
        </w:tc>
      </w:tr>
    </w:tbl>
    <w:p w:rsidR="006C378F" w:rsidRDefault="00E12213">
      <w:pPr>
        <w:pStyle w:val="2"/>
        <w:spacing w:beforeLines="50" w:before="120"/>
      </w:pPr>
      <w:bookmarkStart w:id="10" w:name="_Toc9247"/>
      <w:r>
        <w:t>1.5</w:t>
      </w:r>
      <w:r>
        <w:rPr>
          <w:rFonts w:hint="eastAsia"/>
        </w:rPr>
        <w:t>土石方平衡分析与评价</w:t>
      </w:r>
      <w:bookmarkEnd w:id="10"/>
    </w:p>
    <w:p w:rsidR="006C378F" w:rsidRDefault="00E12213">
      <w:pPr>
        <w:pStyle w:val="BZDL1"/>
        <w:spacing w:beforeLines="0" w:before="0" w:afterLines="0" w:after="0" w:line="360" w:lineRule="auto"/>
        <w:ind w:firstLine="480"/>
        <w:rPr>
          <w:rFonts w:ascii="Times New Roman"/>
          <w:sz w:val="24"/>
          <w:szCs w:val="24"/>
        </w:rPr>
      </w:pPr>
      <w:r>
        <w:rPr>
          <w:rFonts w:ascii="Times New Roman"/>
          <w:sz w:val="24"/>
          <w:szCs w:val="24"/>
        </w:rPr>
        <w:t>截至本项目编报水土保持方案，项目</w:t>
      </w:r>
      <w:r>
        <w:rPr>
          <w:rFonts w:ascii="Times New Roman" w:hint="eastAsia"/>
          <w:sz w:val="24"/>
          <w:szCs w:val="24"/>
        </w:rPr>
        <w:t>已</w:t>
      </w:r>
      <w:r>
        <w:rPr>
          <w:rFonts w:ascii="Times New Roman"/>
          <w:sz w:val="24"/>
          <w:szCs w:val="24"/>
        </w:rPr>
        <w:t>建设完成</w:t>
      </w:r>
      <w:r>
        <w:rPr>
          <w:rFonts w:ascii="Times New Roman" w:hint="eastAsia"/>
          <w:sz w:val="24"/>
          <w:szCs w:val="24"/>
        </w:rPr>
        <w:t>并</w:t>
      </w:r>
      <w:r>
        <w:rPr>
          <w:rFonts w:ascii="Times New Roman"/>
          <w:sz w:val="24"/>
          <w:szCs w:val="24"/>
        </w:rPr>
        <w:t>投入使用，根据项目组查阅项目竣工资料及现场勘查，场平期间已剥离表土</w:t>
      </w:r>
      <w:r>
        <w:rPr>
          <w:rFonts w:ascii="Times New Roman"/>
          <w:sz w:val="24"/>
          <w:szCs w:val="24"/>
        </w:rPr>
        <w:t>120m3</w:t>
      </w:r>
      <w:r>
        <w:rPr>
          <w:rFonts w:ascii="Times New Roman"/>
          <w:sz w:val="24"/>
          <w:szCs w:val="24"/>
        </w:rPr>
        <w:t>，剥离表土已用于项目建设区绿化覆土。表土平衡表见表</w:t>
      </w:r>
      <w:r>
        <w:rPr>
          <w:rFonts w:ascii="Times New Roman"/>
          <w:sz w:val="24"/>
          <w:szCs w:val="24"/>
        </w:rPr>
        <w:t>1-2</w:t>
      </w:r>
      <w:r>
        <w:rPr>
          <w:rFonts w:ascii="Times New Roman"/>
          <w:sz w:val="24"/>
          <w:szCs w:val="24"/>
        </w:rPr>
        <w:t>。</w:t>
      </w:r>
    </w:p>
    <w:p w:rsidR="006C378F" w:rsidRDefault="00E12213">
      <w:pPr>
        <w:pStyle w:val="BZDL1"/>
        <w:spacing w:beforeLines="0" w:before="0" w:afterLines="0" w:after="0" w:line="360" w:lineRule="auto"/>
        <w:ind w:firstLine="480"/>
        <w:rPr>
          <w:rFonts w:ascii="Times New Roman"/>
          <w:sz w:val="24"/>
          <w:szCs w:val="24"/>
        </w:rPr>
      </w:pPr>
      <w:r>
        <w:rPr>
          <w:rFonts w:ascii="Times New Roman"/>
          <w:sz w:val="24"/>
          <w:szCs w:val="24"/>
        </w:rPr>
        <w:t>本项目建设期开挖土石方量</w:t>
      </w:r>
      <w:r>
        <w:rPr>
          <w:rFonts w:ascii="Times New Roman"/>
          <w:sz w:val="24"/>
          <w:szCs w:val="24"/>
        </w:rPr>
        <w:t>1269m3</w:t>
      </w:r>
      <w:r>
        <w:rPr>
          <w:rFonts w:ascii="Times New Roman" w:hint="eastAsia"/>
          <w:sz w:val="24"/>
          <w:szCs w:val="24"/>
        </w:rPr>
        <w:t>（</w:t>
      </w:r>
      <w:r>
        <w:rPr>
          <w:rFonts w:ascii="Times New Roman"/>
          <w:sz w:val="24"/>
          <w:szCs w:val="24"/>
        </w:rPr>
        <w:t>其中土方</w:t>
      </w:r>
      <w:r>
        <w:rPr>
          <w:rFonts w:ascii="Times New Roman"/>
          <w:sz w:val="24"/>
          <w:szCs w:val="24"/>
        </w:rPr>
        <w:t>761m3</w:t>
      </w:r>
      <w:r>
        <w:rPr>
          <w:rFonts w:ascii="Times New Roman"/>
          <w:sz w:val="24"/>
          <w:szCs w:val="24"/>
        </w:rPr>
        <w:t>，石方</w:t>
      </w:r>
      <w:r>
        <w:rPr>
          <w:rFonts w:ascii="Times New Roman"/>
          <w:sz w:val="24"/>
          <w:szCs w:val="24"/>
        </w:rPr>
        <w:t>388m3</w:t>
      </w:r>
      <w:r>
        <w:rPr>
          <w:rFonts w:ascii="Times New Roman" w:hint="eastAsia"/>
          <w:sz w:val="24"/>
          <w:szCs w:val="24"/>
        </w:rPr>
        <w:t>，表土</w:t>
      </w:r>
      <w:r>
        <w:rPr>
          <w:rFonts w:ascii="Times New Roman" w:hint="eastAsia"/>
          <w:sz w:val="24"/>
          <w:szCs w:val="24"/>
        </w:rPr>
        <w:t>120</w:t>
      </w:r>
      <w:r>
        <w:rPr>
          <w:rFonts w:ascii="Times New Roman"/>
          <w:sz w:val="24"/>
          <w:szCs w:val="24"/>
        </w:rPr>
        <w:t>m3</w:t>
      </w:r>
      <w:r>
        <w:rPr>
          <w:rFonts w:ascii="Times New Roman" w:hint="eastAsia"/>
          <w:sz w:val="24"/>
          <w:szCs w:val="24"/>
        </w:rPr>
        <w:t>）</w:t>
      </w:r>
      <w:r>
        <w:rPr>
          <w:rFonts w:ascii="Times New Roman"/>
          <w:sz w:val="24"/>
          <w:szCs w:val="24"/>
        </w:rPr>
        <w:t>回填土石方量</w:t>
      </w:r>
      <w:r>
        <w:rPr>
          <w:rFonts w:ascii="Times New Roman"/>
          <w:sz w:val="24"/>
          <w:szCs w:val="24"/>
        </w:rPr>
        <w:t>1269m3</w:t>
      </w:r>
      <w:r>
        <w:rPr>
          <w:rFonts w:ascii="Times New Roman"/>
          <w:sz w:val="24"/>
          <w:szCs w:val="24"/>
        </w:rPr>
        <w:t>（其中土方</w:t>
      </w:r>
      <w:r>
        <w:rPr>
          <w:rFonts w:ascii="Times New Roman"/>
          <w:sz w:val="24"/>
          <w:szCs w:val="24"/>
        </w:rPr>
        <w:t>761m3</w:t>
      </w:r>
      <w:r>
        <w:rPr>
          <w:rFonts w:ascii="Times New Roman"/>
          <w:sz w:val="24"/>
          <w:szCs w:val="24"/>
        </w:rPr>
        <w:t>，石方</w:t>
      </w:r>
      <w:r>
        <w:rPr>
          <w:rFonts w:ascii="Times New Roman"/>
          <w:sz w:val="24"/>
          <w:szCs w:val="24"/>
        </w:rPr>
        <w:t>388m3</w:t>
      </w:r>
      <w:r>
        <w:rPr>
          <w:rFonts w:ascii="Times New Roman" w:hint="eastAsia"/>
          <w:sz w:val="24"/>
          <w:szCs w:val="24"/>
        </w:rPr>
        <w:t>，表土</w:t>
      </w:r>
      <w:r>
        <w:rPr>
          <w:rFonts w:ascii="Times New Roman" w:hint="eastAsia"/>
          <w:sz w:val="24"/>
          <w:szCs w:val="24"/>
        </w:rPr>
        <w:t>120</w:t>
      </w:r>
      <w:r>
        <w:rPr>
          <w:rFonts w:ascii="Times New Roman"/>
          <w:sz w:val="24"/>
          <w:szCs w:val="24"/>
        </w:rPr>
        <w:t>m3</w:t>
      </w:r>
      <w:r>
        <w:rPr>
          <w:rFonts w:ascii="Times New Roman"/>
          <w:sz w:val="24"/>
          <w:szCs w:val="24"/>
        </w:rPr>
        <w:t>），无废弃土石方产生。土石方调配平衡情况详见表</w:t>
      </w:r>
      <w:r>
        <w:rPr>
          <w:rFonts w:ascii="Times New Roman"/>
          <w:sz w:val="24"/>
          <w:szCs w:val="24"/>
        </w:rPr>
        <w:t>1-3</w:t>
      </w:r>
      <w:r>
        <w:rPr>
          <w:rFonts w:ascii="Times New Roman"/>
          <w:sz w:val="24"/>
          <w:szCs w:val="24"/>
        </w:rPr>
        <w:t>。</w:t>
      </w:r>
    </w:p>
    <w:p w:rsidR="006C378F" w:rsidRDefault="00E12213">
      <w:pPr>
        <w:jc w:val="center"/>
        <w:rPr>
          <w:b/>
          <w:sz w:val="22"/>
          <w:szCs w:val="22"/>
        </w:rPr>
      </w:pPr>
      <w:r>
        <w:rPr>
          <w:b/>
          <w:sz w:val="22"/>
          <w:szCs w:val="22"/>
        </w:rPr>
        <w:t>表</w:t>
      </w:r>
      <w:r>
        <w:rPr>
          <w:b/>
          <w:sz w:val="22"/>
          <w:szCs w:val="22"/>
        </w:rPr>
        <w:t xml:space="preserve">1-3  </w:t>
      </w:r>
      <w:r>
        <w:rPr>
          <w:b/>
          <w:sz w:val="22"/>
          <w:szCs w:val="22"/>
        </w:rPr>
        <w:t>表土平衡表</w:t>
      </w:r>
      <w:r>
        <w:rPr>
          <w:b/>
          <w:sz w:val="22"/>
          <w:szCs w:val="22"/>
        </w:rPr>
        <w:t xml:space="preserve">  </w:t>
      </w:r>
      <w:r>
        <w:rPr>
          <w:b/>
          <w:sz w:val="22"/>
          <w:szCs w:val="22"/>
        </w:rPr>
        <w:t>单位：</w:t>
      </w:r>
      <w:r>
        <w:rPr>
          <w:b/>
          <w:sz w:val="22"/>
          <w:szCs w:val="22"/>
        </w:rPr>
        <w:t>m³</w:t>
      </w:r>
    </w:p>
    <w:tbl>
      <w:tblPr>
        <w:tblW w:w="5000" w:type="pct"/>
        <w:tblLook w:val="04A0" w:firstRow="1" w:lastRow="0" w:firstColumn="1" w:lastColumn="0" w:noHBand="0" w:noVBand="1"/>
      </w:tblPr>
      <w:tblGrid>
        <w:gridCol w:w="2724"/>
        <w:gridCol w:w="1640"/>
        <w:gridCol w:w="1642"/>
        <w:gridCol w:w="1640"/>
        <w:gridCol w:w="1640"/>
      </w:tblGrid>
      <w:tr w:rsidR="006C378F">
        <w:trPr>
          <w:trHeight w:val="285"/>
        </w:trPr>
        <w:tc>
          <w:tcPr>
            <w:tcW w:w="146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项目组成</w:t>
            </w:r>
          </w:p>
        </w:tc>
        <w:tc>
          <w:tcPr>
            <w:tcW w:w="1767" w:type="pct"/>
            <w:gridSpan w:val="2"/>
            <w:tcBorders>
              <w:top w:val="single" w:sz="4" w:space="0" w:color="auto"/>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表土剥离</w:t>
            </w:r>
          </w:p>
        </w:tc>
        <w:tc>
          <w:tcPr>
            <w:tcW w:w="1767" w:type="pct"/>
            <w:gridSpan w:val="2"/>
            <w:tcBorders>
              <w:top w:val="single" w:sz="4" w:space="0" w:color="auto"/>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覆土回填</w:t>
            </w:r>
          </w:p>
        </w:tc>
      </w:tr>
      <w:tr w:rsidR="006C378F">
        <w:trPr>
          <w:trHeight w:val="285"/>
        </w:trPr>
        <w:tc>
          <w:tcPr>
            <w:tcW w:w="1467" w:type="pct"/>
            <w:vMerge/>
            <w:tcBorders>
              <w:top w:val="single" w:sz="4" w:space="0" w:color="auto"/>
              <w:left w:val="single" w:sz="4" w:space="0" w:color="auto"/>
              <w:bottom w:val="single" w:sz="4" w:space="0" w:color="auto"/>
              <w:right w:val="single" w:sz="4" w:space="0" w:color="auto"/>
            </w:tcBorders>
            <w:vAlign w:val="center"/>
          </w:tcPr>
          <w:p w:rsidR="006C378F" w:rsidRDefault="006C378F">
            <w:pPr>
              <w:widowControl/>
              <w:adjustRightInd/>
              <w:snapToGrid/>
              <w:jc w:val="left"/>
              <w:rPr>
                <w:rFonts w:ascii="仿宋_GB2312" w:hAnsi="等线" w:cs="宋体"/>
                <w:kern w:val="0"/>
                <w:sz w:val="21"/>
                <w:szCs w:val="21"/>
              </w:rPr>
            </w:pPr>
          </w:p>
        </w:tc>
        <w:tc>
          <w:tcPr>
            <w:tcW w:w="883"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小计</w:t>
            </w:r>
          </w:p>
        </w:tc>
        <w:tc>
          <w:tcPr>
            <w:tcW w:w="883"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表土</w:t>
            </w:r>
          </w:p>
        </w:tc>
        <w:tc>
          <w:tcPr>
            <w:tcW w:w="883"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小计</w:t>
            </w:r>
          </w:p>
        </w:tc>
        <w:tc>
          <w:tcPr>
            <w:tcW w:w="883"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表土</w:t>
            </w:r>
          </w:p>
        </w:tc>
      </w:tr>
      <w:tr w:rsidR="006C378F">
        <w:trPr>
          <w:trHeight w:val="285"/>
        </w:trPr>
        <w:tc>
          <w:tcPr>
            <w:tcW w:w="1467" w:type="pct"/>
            <w:tcBorders>
              <w:top w:val="nil"/>
              <w:left w:val="single" w:sz="4" w:space="0" w:color="auto"/>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停车场区</w:t>
            </w:r>
          </w:p>
        </w:tc>
        <w:tc>
          <w:tcPr>
            <w:tcW w:w="883"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120</w:t>
            </w:r>
          </w:p>
        </w:tc>
        <w:tc>
          <w:tcPr>
            <w:tcW w:w="883"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120</w:t>
            </w:r>
          </w:p>
        </w:tc>
        <w:tc>
          <w:tcPr>
            <w:tcW w:w="883"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120</w:t>
            </w:r>
          </w:p>
        </w:tc>
        <w:tc>
          <w:tcPr>
            <w:tcW w:w="883"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120</w:t>
            </w:r>
          </w:p>
        </w:tc>
      </w:tr>
      <w:tr w:rsidR="006C378F">
        <w:trPr>
          <w:trHeight w:val="285"/>
        </w:trPr>
        <w:tc>
          <w:tcPr>
            <w:tcW w:w="1467" w:type="pct"/>
            <w:tcBorders>
              <w:top w:val="nil"/>
              <w:left w:val="single" w:sz="4" w:space="0" w:color="auto"/>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合计</w:t>
            </w:r>
          </w:p>
        </w:tc>
        <w:tc>
          <w:tcPr>
            <w:tcW w:w="883"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120</w:t>
            </w:r>
          </w:p>
        </w:tc>
        <w:tc>
          <w:tcPr>
            <w:tcW w:w="883"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120</w:t>
            </w:r>
          </w:p>
        </w:tc>
        <w:tc>
          <w:tcPr>
            <w:tcW w:w="883"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120</w:t>
            </w:r>
          </w:p>
        </w:tc>
        <w:tc>
          <w:tcPr>
            <w:tcW w:w="883"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120</w:t>
            </w:r>
          </w:p>
        </w:tc>
      </w:tr>
    </w:tbl>
    <w:p w:rsidR="006C378F" w:rsidRDefault="00E12213">
      <w:pPr>
        <w:widowControl/>
        <w:spacing w:beforeLines="50" w:before="120" w:line="240" w:lineRule="exact"/>
        <w:jc w:val="center"/>
        <w:textAlignment w:val="center"/>
        <w:rPr>
          <w:b/>
          <w:bCs/>
          <w:kern w:val="0"/>
          <w:sz w:val="22"/>
          <w:szCs w:val="22"/>
          <w:lang w:bidi="ar"/>
        </w:rPr>
      </w:pPr>
      <w:r>
        <w:rPr>
          <w:b/>
          <w:bCs/>
          <w:kern w:val="0"/>
          <w:sz w:val="22"/>
          <w:szCs w:val="22"/>
          <w:lang w:bidi="ar"/>
        </w:rPr>
        <w:t>表</w:t>
      </w:r>
      <w:r>
        <w:rPr>
          <w:b/>
          <w:bCs/>
          <w:kern w:val="0"/>
          <w:sz w:val="22"/>
          <w:szCs w:val="22"/>
          <w:lang w:bidi="ar"/>
        </w:rPr>
        <w:t xml:space="preserve">1-4 </w:t>
      </w:r>
      <w:r>
        <w:rPr>
          <w:b/>
          <w:bCs/>
          <w:kern w:val="0"/>
          <w:sz w:val="22"/>
          <w:szCs w:val="22"/>
          <w:lang w:bidi="ar"/>
        </w:rPr>
        <w:t>建设期土石方量及调配表</w:t>
      </w:r>
    </w:p>
    <w:tbl>
      <w:tblPr>
        <w:tblW w:w="5000" w:type="pct"/>
        <w:tblLook w:val="04A0" w:firstRow="1" w:lastRow="0" w:firstColumn="1" w:lastColumn="0" w:noHBand="0" w:noVBand="1"/>
      </w:tblPr>
      <w:tblGrid>
        <w:gridCol w:w="1216"/>
        <w:gridCol w:w="732"/>
        <w:gridCol w:w="732"/>
        <w:gridCol w:w="732"/>
        <w:gridCol w:w="734"/>
        <w:gridCol w:w="732"/>
        <w:gridCol w:w="732"/>
        <w:gridCol w:w="732"/>
        <w:gridCol w:w="734"/>
        <w:gridCol w:w="2210"/>
      </w:tblGrid>
      <w:tr w:rsidR="006C378F">
        <w:trPr>
          <w:trHeight w:val="345"/>
        </w:trPr>
        <w:tc>
          <w:tcPr>
            <w:tcW w:w="655" w:type="pct"/>
            <w:vMerge w:val="restart"/>
            <w:tcBorders>
              <w:top w:val="single" w:sz="8" w:space="0" w:color="000000"/>
              <w:left w:val="single" w:sz="8" w:space="0" w:color="000000"/>
              <w:bottom w:val="single" w:sz="8" w:space="0" w:color="000000"/>
              <w:right w:val="single" w:sz="8" w:space="0" w:color="000000"/>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项目组成</w:t>
            </w:r>
          </w:p>
        </w:tc>
        <w:tc>
          <w:tcPr>
            <w:tcW w:w="1577" w:type="pct"/>
            <w:gridSpan w:val="4"/>
            <w:tcBorders>
              <w:top w:val="single" w:sz="8" w:space="0" w:color="000000"/>
              <w:left w:val="nil"/>
              <w:bottom w:val="single" w:sz="8" w:space="0" w:color="000000"/>
              <w:right w:val="single" w:sz="8" w:space="0" w:color="000000"/>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挖</w:t>
            </w:r>
            <w:r>
              <w:rPr>
                <w:kern w:val="0"/>
                <w:sz w:val="21"/>
                <w:szCs w:val="21"/>
              </w:rPr>
              <w:t xml:space="preserve"> </w:t>
            </w:r>
            <w:r>
              <w:rPr>
                <w:rFonts w:ascii="仿宋_GB2312" w:hAnsi="等线" w:cs="宋体" w:hint="eastAsia"/>
                <w:kern w:val="0"/>
                <w:sz w:val="21"/>
                <w:szCs w:val="21"/>
              </w:rPr>
              <w:t>方（</w:t>
            </w:r>
            <w:r>
              <w:rPr>
                <w:kern w:val="0"/>
                <w:sz w:val="21"/>
                <w:szCs w:val="21"/>
              </w:rPr>
              <w:t>m</w:t>
            </w:r>
            <w:r>
              <w:rPr>
                <w:kern w:val="0"/>
                <w:sz w:val="21"/>
                <w:szCs w:val="21"/>
                <w:vertAlign w:val="superscript"/>
              </w:rPr>
              <w:t>3</w:t>
            </w:r>
            <w:r>
              <w:rPr>
                <w:rFonts w:ascii="仿宋_GB2312" w:hAnsi="等线" w:cs="宋体" w:hint="eastAsia"/>
                <w:kern w:val="0"/>
                <w:sz w:val="21"/>
                <w:szCs w:val="21"/>
              </w:rPr>
              <w:t>）</w:t>
            </w:r>
          </w:p>
        </w:tc>
        <w:tc>
          <w:tcPr>
            <w:tcW w:w="1577" w:type="pct"/>
            <w:gridSpan w:val="4"/>
            <w:tcBorders>
              <w:top w:val="single" w:sz="8" w:space="0" w:color="000000"/>
              <w:left w:val="nil"/>
              <w:bottom w:val="single" w:sz="8" w:space="0" w:color="000000"/>
              <w:right w:val="single" w:sz="8" w:space="0" w:color="000000"/>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填</w:t>
            </w:r>
            <w:r>
              <w:rPr>
                <w:kern w:val="0"/>
                <w:sz w:val="21"/>
                <w:szCs w:val="21"/>
              </w:rPr>
              <w:t xml:space="preserve"> </w:t>
            </w:r>
            <w:r>
              <w:rPr>
                <w:rFonts w:ascii="仿宋_GB2312" w:hAnsi="等线" w:cs="宋体" w:hint="eastAsia"/>
                <w:kern w:val="0"/>
                <w:sz w:val="21"/>
                <w:szCs w:val="21"/>
              </w:rPr>
              <w:t>方（</w:t>
            </w:r>
            <w:r>
              <w:rPr>
                <w:kern w:val="0"/>
                <w:sz w:val="21"/>
                <w:szCs w:val="21"/>
              </w:rPr>
              <w:t>m</w:t>
            </w:r>
            <w:r>
              <w:rPr>
                <w:kern w:val="0"/>
                <w:sz w:val="21"/>
                <w:szCs w:val="21"/>
                <w:vertAlign w:val="superscript"/>
              </w:rPr>
              <w:t>3</w:t>
            </w:r>
            <w:r>
              <w:rPr>
                <w:rFonts w:ascii="仿宋_GB2312" w:hAnsi="等线" w:cs="宋体" w:hint="eastAsia"/>
                <w:kern w:val="0"/>
                <w:sz w:val="21"/>
                <w:szCs w:val="21"/>
              </w:rPr>
              <w:t>）</w:t>
            </w:r>
          </w:p>
        </w:tc>
        <w:tc>
          <w:tcPr>
            <w:tcW w:w="1190" w:type="pct"/>
            <w:vMerge w:val="restart"/>
            <w:tcBorders>
              <w:top w:val="single" w:sz="8" w:space="0" w:color="000000"/>
              <w:left w:val="single" w:sz="8" w:space="0" w:color="000000"/>
              <w:bottom w:val="single" w:sz="8" w:space="0" w:color="000000"/>
              <w:right w:val="single" w:sz="8" w:space="0" w:color="000000"/>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废弃土石方（</w:t>
            </w:r>
            <w:r>
              <w:rPr>
                <w:kern w:val="0"/>
                <w:sz w:val="21"/>
                <w:szCs w:val="21"/>
              </w:rPr>
              <w:t>m</w:t>
            </w:r>
            <w:r>
              <w:rPr>
                <w:kern w:val="0"/>
                <w:sz w:val="21"/>
                <w:szCs w:val="21"/>
                <w:vertAlign w:val="superscript"/>
              </w:rPr>
              <w:t>3</w:t>
            </w:r>
            <w:r>
              <w:rPr>
                <w:rFonts w:ascii="仿宋_GB2312" w:hAnsi="等线" w:cs="宋体" w:hint="eastAsia"/>
                <w:kern w:val="0"/>
                <w:sz w:val="21"/>
                <w:szCs w:val="21"/>
              </w:rPr>
              <w:t>）</w:t>
            </w:r>
          </w:p>
        </w:tc>
      </w:tr>
      <w:tr w:rsidR="006C378F">
        <w:trPr>
          <w:trHeight w:val="300"/>
        </w:trPr>
        <w:tc>
          <w:tcPr>
            <w:tcW w:w="655" w:type="pct"/>
            <w:vMerge/>
            <w:tcBorders>
              <w:top w:val="single" w:sz="8" w:space="0" w:color="000000"/>
              <w:left w:val="single" w:sz="8" w:space="0" w:color="000000"/>
              <w:bottom w:val="single" w:sz="8" w:space="0" w:color="000000"/>
              <w:right w:val="single" w:sz="8" w:space="0" w:color="000000"/>
            </w:tcBorders>
            <w:vAlign w:val="center"/>
          </w:tcPr>
          <w:p w:rsidR="006C378F" w:rsidRDefault="006C378F">
            <w:pPr>
              <w:widowControl/>
              <w:adjustRightInd/>
              <w:snapToGrid/>
              <w:jc w:val="left"/>
              <w:rPr>
                <w:rFonts w:ascii="仿宋_GB2312" w:hAnsi="等线" w:cs="宋体"/>
                <w:kern w:val="0"/>
                <w:sz w:val="21"/>
                <w:szCs w:val="21"/>
              </w:rPr>
            </w:pPr>
          </w:p>
        </w:tc>
        <w:tc>
          <w:tcPr>
            <w:tcW w:w="394" w:type="pct"/>
            <w:tcBorders>
              <w:top w:val="nil"/>
              <w:left w:val="nil"/>
              <w:bottom w:val="single" w:sz="8" w:space="0" w:color="000000"/>
              <w:right w:val="single" w:sz="8" w:space="0" w:color="000000"/>
            </w:tcBorders>
            <w:shd w:val="clear" w:color="auto" w:fill="auto"/>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小计</w:t>
            </w:r>
          </w:p>
        </w:tc>
        <w:tc>
          <w:tcPr>
            <w:tcW w:w="394" w:type="pct"/>
            <w:tcBorders>
              <w:top w:val="nil"/>
              <w:left w:val="nil"/>
              <w:bottom w:val="single" w:sz="8" w:space="0" w:color="000000"/>
              <w:right w:val="single" w:sz="8" w:space="0" w:color="000000"/>
            </w:tcBorders>
            <w:shd w:val="clear" w:color="auto" w:fill="auto"/>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土方</w:t>
            </w:r>
          </w:p>
        </w:tc>
        <w:tc>
          <w:tcPr>
            <w:tcW w:w="394" w:type="pct"/>
            <w:tcBorders>
              <w:top w:val="nil"/>
              <w:left w:val="nil"/>
              <w:bottom w:val="single" w:sz="8" w:space="0" w:color="000000"/>
              <w:right w:val="single" w:sz="8" w:space="0" w:color="000000"/>
            </w:tcBorders>
            <w:shd w:val="clear" w:color="auto" w:fill="auto"/>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石方</w:t>
            </w:r>
          </w:p>
        </w:tc>
        <w:tc>
          <w:tcPr>
            <w:tcW w:w="394" w:type="pct"/>
            <w:tcBorders>
              <w:top w:val="nil"/>
              <w:left w:val="nil"/>
              <w:bottom w:val="single" w:sz="8" w:space="0" w:color="000000"/>
              <w:right w:val="single" w:sz="8" w:space="0" w:color="000000"/>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表土</w:t>
            </w:r>
          </w:p>
        </w:tc>
        <w:tc>
          <w:tcPr>
            <w:tcW w:w="394" w:type="pct"/>
            <w:tcBorders>
              <w:top w:val="nil"/>
              <w:left w:val="nil"/>
              <w:bottom w:val="single" w:sz="8" w:space="0" w:color="000000"/>
              <w:right w:val="single" w:sz="8" w:space="0" w:color="000000"/>
            </w:tcBorders>
            <w:shd w:val="clear" w:color="auto" w:fill="auto"/>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小计</w:t>
            </w:r>
          </w:p>
        </w:tc>
        <w:tc>
          <w:tcPr>
            <w:tcW w:w="394" w:type="pct"/>
            <w:tcBorders>
              <w:top w:val="nil"/>
              <w:left w:val="nil"/>
              <w:bottom w:val="single" w:sz="8" w:space="0" w:color="000000"/>
              <w:right w:val="single" w:sz="8" w:space="0" w:color="000000"/>
            </w:tcBorders>
            <w:shd w:val="clear" w:color="auto" w:fill="auto"/>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土方</w:t>
            </w:r>
          </w:p>
        </w:tc>
        <w:tc>
          <w:tcPr>
            <w:tcW w:w="394" w:type="pct"/>
            <w:tcBorders>
              <w:top w:val="nil"/>
              <w:left w:val="nil"/>
              <w:bottom w:val="single" w:sz="8" w:space="0" w:color="000000"/>
              <w:right w:val="single" w:sz="8" w:space="0" w:color="000000"/>
            </w:tcBorders>
            <w:shd w:val="clear" w:color="auto" w:fill="auto"/>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石方</w:t>
            </w:r>
          </w:p>
        </w:tc>
        <w:tc>
          <w:tcPr>
            <w:tcW w:w="394" w:type="pct"/>
            <w:tcBorders>
              <w:top w:val="nil"/>
              <w:left w:val="nil"/>
              <w:bottom w:val="single" w:sz="8" w:space="0" w:color="000000"/>
              <w:right w:val="single" w:sz="8" w:space="0" w:color="000000"/>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表土</w:t>
            </w:r>
          </w:p>
        </w:tc>
        <w:tc>
          <w:tcPr>
            <w:tcW w:w="1190" w:type="pct"/>
            <w:vMerge/>
            <w:tcBorders>
              <w:top w:val="single" w:sz="8" w:space="0" w:color="000000"/>
              <w:left w:val="single" w:sz="8" w:space="0" w:color="000000"/>
              <w:bottom w:val="single" w:sz="8" w:space="0" w:color="000000"/>
              <w:right w:val="single" w:sz="8" w:space="0" w:color="000000"/>
            </w:tcBorders>
            <w:vAlign w:val="center"/>
          </w:tcPr>
          <w:p w:rsidR="006C378F" w:rsidRDefault="006C378F">
            <w:pPr>
              <w:widowControl/>
              <w:adjustRightInd/>
              <w:snapToGrid/>
              <w:jc w:val="left"/>
              <w:rPr>
                <w:rFonts w:ascii="仿宋_GB2312" w:hAnsi="等线" w:cs="宋体"/>
                <w:kern w:val="0"/>
                <w:sz w:val="21"/>
                <w:szCs w:val="21"/>
              </w:rPr>
            </w:pPr>
          </w:p>
        </w:tc>
      </w:tr>
      <w:tr w:rsidR="006C378F">
        <w:trPr>
          <w:trHeight w:val="300"/>
        </w:trPr>
        <w:tc>
          <w:tcPr>
            <w:tcW w:w="655" w:type="pct"/>
            <w:tcBorders>
              <w:top w:val="single" w:sz="4" w:space="0" w:color="auto"/>
              <w:left w:val="single" w:sz="4" w:space="0" w:color="auto"/>
              <w:bottom w:val="single" w:sz="4" w:space="0" w:color="auto"/>
              <w:right w:val="single" w:sz="4" w:space="0" w:color="auto"/>
            </w:tcBorders>
            <w:shd w:val="clear" w:color="auto" w:fill="auto"/>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lastRenderedPageBreak/>
              <w:t>停车场区</w:t>
            </w:r>
          </w:p>
        </w:tc>
        <w:tc>
          <w:tcPr>
            <w:tcW w:w="394" w:type="pct"/>
            <w:tcBorders>
              <w:top w:val="single" w:sz="4" w:space="0" w:color="auto"/>
              <w:left w:val="nil"/>
              <w:bottom w:val="single" w:sz="4" w:space="0" w:color="auto"/>
              <w:right w:val="single" w:sz="4" w:space="0" w:color="auto"/>
            </w:tcBorders>
            <w:shd w:val="clear" w:color="auto" w:fill="auto"/>
            <w:vAlign w:val="center"/>
          </w:tcPr>
          <w:p w:rsidR="006C378F" w:rsidRDefault="00E12213">
            <w:pPr>
              <w:widowControl/>
              <w:adjustRightInd/>
              <w:snapToGrid/>
              <w:jc w:val="center"/>
              <w:rPr>
                <w:rFonts w:eastAsia="等线"/>
                <w:kern w:val="0"/>
                <w:sz w:val="21"/>
                <w:szCs w:val="21"/>
              </w:rPr>
            </w:pPr>
            <w:r>
              <w:rPr>
                <w:rFonts w:eastAsia="等线"/>
                <w:kern w:val="0"/>
                <w:sz w:val="21"/>
                <w:szCs w:val="21"/>
              </w:rPr>
              <w:t>1269</w:t>
            </w:r>
          </w:p>
        </w:tc>
        <w:tc>
          <w:tcPr>
            <w:tcW w:w="394" w:type="pct"/>
            <w:tcBorders>
              <w:top w:val="single" w:sz="4" w:space="0" w:color="auto"/>
              <w:left w:val="nil"/>
              <w:bottom w:val="single" w:sz="4" w:space="0" w:color="auto"/>
              <w:right w:val="single" w:sz="4" w:space="0" w:color="auto"/>
            </w:tcBorders>
            <w:shd w:val="clear" w:color="auto" w:fill="auto"/>
            <w:vAlign w:val="center"/>
          </w:tcPr>
          <w:p w:rsidR="006C378F" w:rsidRDefault="00E12213">
            <w:pPr>
              <w:widowControl/>
              <w:adjustRightInd/>
              <w:snapToGrid/>
              <w:jc w:val="center"/>
              <w:rPr>
                <w:rFonts w:eastAsia="等线"/>
                <w:kern w:val="0"/>
                <w:sz w:val="21"/>
                <w:szCs w:val="21"/>
              </w:rPr>
            </w:pPr>
            <w:r>
              <w:rPr>
                <w:rFonts w:eastAsia="等线"/>
                <w:kern w:val="0"/>
                <w:sz w:val="21"/>
                <w:szCs w:val="21"/>
              </w:rPr>
              <w:t>761</w:t>
            </w:r>
          </w:p>
        </w:tc>
        <w:tc>
          <w:tcPr>
            <w:tcW w:w="394" w:type="pct"/>
            <w:tcBorders>
              <w:top w:val="nil"/>
              <w:left w:val="nil"/>
              <w:bottom w:val="single" w:sz="8" w:space="0" w:color="000000"/>
              <w:right w:val="single" w:sz="8" w:space="0" w:color="000000"/>
            </w:tcBorders>
            <w:shd w:val="clear" w:color="auto" w:fill="auto"/>
            <w:vAlign w:val="center"/>
          </w:tcPr>
          <w:p w:rsidR="006C378F" w:rsidRDefault="00E12213">
            <w:pPr>
              <w:widowControl/>
              <w:adjustRightInd/>
              <w:snapToGrid/>
              <w:jc w:val="center"/>
              <w:rPr>
                <w:rFonts w:eastAsia="等线"/>
                <w:kern w:val="0"/>
                <w:sz w:val="21"/>
                <w:szCs w:val="21"/>
              </w:rPr>
            </w:pPr>
            <w:r>
              <w:rPr>
                <w:rFonts w:eastAsia="等线"/>
                <w:kern w:val="0"/>
                <w:sz w:val="21"/>
                <w:szCs w:val="21"/>
              </w:rPr>
              <w:t>388</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120</w:t>
            </w:r>
          </w:p>
        </w:tc>
        <w:tc>
          <w:tcPr>
            <w:tcW w:w="394" w:type="pct"/>
            <w:tcBorders>
              <w:top w:val="single" w:sz="4" w:space="0" w:color="auto"/>
              <w:left w:val="nil"/>
              <w:bottom w:val="single" w:sz="4" w:space="0" w:color="auto"/>
              <w:right w:val="single" w:sz="4" w:space="0" w:color="auto"/>
            </w:tcBorders>
            <w:shd w:val="clear" w:color="auto" w:fill="auto"/>
            <w:vAlign w:val="center"/>
          </w:tcPr>
          <w:p w:rsidR="006C378F" w:rsidRDefault="00E12213">
            <w:pPr>
              <w:widowControl/>
              <w:adjustRightInd/>
              <w:snapToGrid/>
              <w:jc w:val="center"/>
              <w:rPr>
                <w:rFonts w:eastAsia="等线"/>
                <w:kern w:val="0"/>
                <w:sz w:val="21"/>
                <w:szCs w:val="21"/>
              </w:rPr>
            </w:pPr>
            <w:r>
              <w:rPr>
                <w:rFonts w:eastAsia="等线"/>
                <w:kern w:val="0"/>
                <w:sz w:val="21"/>
                <w:szCs w:val="21"/>
              </w:rPr>
              <w:t>1269</w:t>
            </w:r>
          </w:p>
        </w:tc>
        <w:tc>
          <w:tcPr>
            <w:tcW w:w="394" w:type="pct"/>
            <w:tcBorders>
              <w:top w:val="single" w:sz="4" w:space="0" w:color="auto"/>
              <w:left w:val="nil"/>
              <w:bottom w:val="single" w:sz="4" w:space="0" w:color="auto"/>
              <w:right w:val="single" w:sz="4" w:space="0" w:color="auto"/>
            </w:tcBorders>
            <w:shd w:val="clear" w:color="auto" w:fill="auto"/>
            <w:vAlign w:val="center"/>
          </w:tcPr>
          <w:p w:rsidR="006C378F" w:rsidRDefault="00E12213">
            <w:pPr>
              <w:widowControl/>
              <w:adjustRightInd/>
              <w:snapToGrid/>
              <w:jc w:val="center"/>
              <w:rPr>
                <w:rFonts w:eastAsia="等线"/>
                <w:kern w:val="0"/>
                <w:sz w:val="21"/>
                <w:szCs w:val="21"/>
              </w:rPr>
            </w:pPr>
            <w:r>
              <w:rPr>
                <w:rFonts w:eastAsia="等线"/>
                <w:kern w:val="0"/>
                <w:sz w:val="21"/>
                <w:szCs w:val="21"/>
              </w:rPr>
              <w:t>761</w:t>
            </w:r>
          </w:p>
        </w:tc>
        <w:tc>
          <w:tcPr>
            <w:tcW w:w="394" w:type="pct"/>
            <w:tcBorders>
              <w:top w:val="nil"/>
              <w:left w:val="nil"/>
              <w:bottom w:val="single" w:sz="8" w:space="0" w:color="000000"/>
              <w:right w:val="single" w:sz="8" w:space="0" w:color="000000"/>
            </w:tcBorders>
            <w:shd w:val="clear" w:color="auto" w:fill="auto"/>
            <w:vAlign w:val="center"/>
          </w:tcPr>
          <w:p w:rsidR="006C378F" w:rsidRDefault="00E12213">
            <w:pPr>
              <w:widowControl/>
              <w:adjustRightInd/>
              <w:snapToGrid/>
              <w:jc w:val="center"/>
              <w:rPr>
                <w:rFonts w:eastAsia="等线"/>
                <w:kern w:val="0"/>
                <w:sz w:val="21"/>
                <w:szCs w:val="21"/>
              </w:rPr>
            </w:pPr>
            <w:r>
              <w:rPr>
                <w:rFonts w:eastAsia="等线"/>
                <w:kern w:val="0"/>
                <w:sz w:val="21"/>
                <w:szCs w:val="21"/>
              </w:rPr>
              <w:t>388</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120</w:t>
            </w:r>
          </w:p>
        </w:tc>
        <w:tc>
          <w:tcPr>
            <w:tcW w:w="1190" w:type="pct"/>
            <w:vMerge w:val="restart"/>
            <w:tcBorders>
              <w:top w:val="nil"/>
              <w:left w:val="single" w:sz="8" w:space="0" w:color="000000"/>
              <w:bottom w:val="single" w:sz="8" w:space="0" w:color="000000"/>
              <w:right w:val="single" w:sz="8" w:space="0" w:color="000000"/>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无废弃土石方</w:t>
            </w:r>
          </w:p>
        </w:tc>
      </w:tr>
      <w:tr w:rsidR="006C378F">
        <w:trPr>
          <w:trHeight w:val="300"/>
        </w:trPr>
        <w:tc>
          <w:tcPr>
            <w:tcW w:w="655" w:type="pct"/>
            <w:tcBorders>
              <w:top w:val="nil"/>
              <w:left w:val="single" w:sz="8" w:space="0" w:color="000000"/>
              <w:bottom w:val="single" w:sz="8" w:space="0" w:color="000000"/>
              <w:right w:val="single" w:sz="8" w:space="0" w:color="000000"/>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合计</w:t>
            </w:r>
          </w:p>
        </w:tc>
        <w:tc>
          <w:tcPr>
            <w:tcW w:w="394" w:type="pct"/>
            <w:tcBorders>
              <w:top w:val="nil"/>
              <w:left w:val="single" w:sz="4" w:space="0" w:color="auto"/>
              <w:bottom w:val="single" w:sz="4" w:space="0" w:color="auto"/>
              <w:right w:val="single" w:sz="4" w:space="0" w:color="auto"/>
            </w:tcBorders>
            <w:shd w:val="clear" w:color="auto" w:fill="auto"/>
            <w:vAlign w:val="center"/>
          </w:tcPr>
          <w:p w:rsidR="006C378F" w:rsidRDefault="00E12213">
            <w:pPr>
              <w:widowControl/>
              <w:adjustRightInd/>
              <w:snapToGrid/>
              <w:jc w:val="center"/>
              <w:rPr>
                <w:rFonts w:eastAsia="等线"/>
                <w:kern w:val="0"/>
                <w:sz w:val="21"/>
                <w:szCs w:val="21"/>
              </w:rPr>
            </w:pPr>
            <w:r>
              <w:rPr>
                <w:rFonts w:eastAsia="等线"/>
                <w:kern w:val="0"/>
                <w:sz w:val="21"/>
                <w:szCs w:val="21"/>
              </w:rPr>
              <w:t>1269</w:t>
            </w:r>
          </w:p>
        </w:tc>
        <w:tc>
          <w:tcPr>
            <w:tcW w:w="394" w:type="pct"/>
            <w:tcBorders>
              <w:top w:val="nil"/>
              <w:left w:val="nil"/>
              <w:bottom w:val="single" w:sz="4" w:space="0" w:color="auto"/>
              <w:right w:val="single" w:sz="4" w:space="0" w:color="auto"/>
            </w:tcBorders>
            <w:shd w:val="clear" w:color="auto" w:fill="auto"/>
            <w:vAlign w:val="center"/>
          </w:tcPr>
          <w:p w:rsidR="006C378F" w:rsidRDefault="00E12213">
            <w:pPr>
              <w:widowControl/>
              <w:adjustRightInd/>
              <w:snapToGrid/>
              <w:jc w:val="center"/>
              <w:rPr>
                <w:rFonts w:eastAsia="等线"/>
                <w:kern w:val="0"/>
                <w:sz w:val="21"/>
                <w:szCs w:val="21"/>
              </w:rPr>
            </w:pPr>
            <w:r>
              <w:rPr>
                <w:rFonts w:eastAsia="等线"/>
                <w:kern w:val="0"/>
                <w:sz w:val="21"/>
                <w:szCs w:val="21"/>
              </w:rPr>
              <w:t>761</w:t>
            </w:r>
          </w:p>
        </w:tc>
        <w:tc>
          <w:tcPr>
            <w:tcW w:w="394" w:type="pct"/>
            <w:tcBorders>
              <w:top w:val="nil"/>
              <w:left w:val="nil"/>
              <w:bottom w:val="single" w:sz="8" w:space="0" w:color="000000"/>
              <w:right w:val="single" w:sz="8" w:space="0" w:color="000000"/>
            </w:tcBorders>
            <w:shd w:val="clear" w:color="auto" w:fill="auto"/>
            <w:vAlign w:val="center"/>
          </w:tcPr>
          <w:p w:rsidR="006C378F" w:rsidRDefault="00E12213">
            <w:pPr>
              <w:widowControl/>
              <w:adjustRightInd/>
              <w:snapToGrid/>
              <w:jc w:val="center"/>
              <w:rPr>
                <w:rFonts w:eastAsia="等线"/>
                <w:kern w:val="0"/>
                <w:sz w:val="21"/>
                <w:szCs w:val="21"/>
              </w:rPr>
            </w:pPr>
            <w:r>
              <w:rPr>
                <w:rFonts w:eastAsia="等线"/>
                <w:kern w:val="0"/>
                <w:sz w:val="21"/>
                <w:szCs w:val="21"/>
              </w:rPr>
              <w:t>388</w:t>
            </w:r>
          </w:p>
        </w:tc>
        <w:tc>
          <w:tcPr>
            <w:tcW w:w="394" w:type="pct"/>
            <w:tcBorders>
              <w:top w:val="nil"/>
              <w:left w:val="single" w:sz="4" w:space="0" w:color="auto"/>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120</w:t>
            </w:r>
          </w:p>
        </w:tc>
        <w:tc>
          <w:tcPr>
            <w:tcW w:w="394" w:type="pct"/>
            <w:tcBorders>
              <w:top w:val="nil"/>
              <w:left w:val="nil"/>
              <w:bottom w:val="single" w:sz="4" w:space="0" w:color="auto"/>
              <w:right w:val="single" w:sz="4" w:space="0" w:color="auto"/>
            </w:tcBorders>
            <w:shd w:val="clear" w:color="auto" w:fill="auto"/>
            <w:vAlign w:val="center"/>
          </w:tcPr>
          <w:p w:rsidR="006C378F" w:rsidRDefault="00E12213">
            <w:pPr>
              <w:widowControl/>
              <w:adjustRightInd/>
              <w:snapToGrid/>
              <w:jc w:val="center"/>
              <w:rPr>
                <w:rFonts w:eastAsia="等线"/>
                <w:kern w:val="0"/>
                <w:sz w:val="21"/>
                <w:szCs w:val="21"/>
              </w:rPr>
            </w:pPr>
            <w:r>
              <w:rPr>
                <w:rFonts w:eastAsia="等线"/>
                <w:kern w:val="0"/>
                <w:sz w:val="21"/>
                <w:szCs w:val="21"/>
              </w:rPr>
              <w:t>1269</w:t>
            </w:r>
          </w:p>
        </w:tc>
        <w:tc>
          <w:tcPr>
            <w:tcW w:w="394" w:type="pct"/>
            <w:tcBorders>
              <w:top w:val="nil"/>
              <w:left w:val="nil"/>
              <w:bottom w:val="single" w:sz="4" w:space="0" w:color="auto"/>
              <w:right w:val="single" w:sz="4" w:space="0" w:color="auto"/>
            </w:tcBorders>
            <w:shd w:val="clear" w:color="auto" w:fill="auto"/>
            <w:vAlign w:val="center"/>
          </w:tcPr>
          <w:p w:rsidR="006C378F" w:rsidRDefault="00E12213">
            <w:pPr>
              <w:widowControl/>
              <w:adjustRightInd/>
              <w:snapToGrid/>
              <w:jc w:val="center"/>
              <w:rPr>
                <w:rFonts w:eastAsia="等线"/>
                <w:kern w:val="0"/>
                <w:sz w:val="21"/>
                <w:szCs w:val="21"/>
              </w:rPr>
            </w:pPr>
            <w:r>
              <w:rPr>
                <w:rFonts w:eastAsia="等线"/>
                <w:kern w:val="0"/>
                <w:sz w:val="21"/>
                <w:szCs w:val="21"/>
              </w:rPr>
              <w:t>761</w:t>
            </w:r>
          </w:p>
        </w:tc>
        <w:tc>
          <w:tcPr>
            <w:tcW w:w="394" w:type="pct"/>
            <w:tcBorders>
              <w:top w:val="nil"/>
              <w:left w:val="nil"/>
              <w:bottom w:val="single" w:sz="8" w:space="0" w:color="000000"/>
              <w:right w:val="single" w:sz="8" w:space="0" w:color="000000"/>
            </w:tcBorders>
            <w:shd w:val="clear" w:color="auto" w:fill="auto"/>
            <w:vAlign w:val="center"/>
          </w:tcPr>
          <w:p w:rsidR="006C378F" w:rsidRDefault="00E12213">
            <w:pPr>
              <w:widowControl/>
              <w:adjustRightInd/>
              <w:snapToGrid/>
              <w:jc w:val="center"/>
              <w:rPr>
                <w:rFonts w:eastAsia="等线"/>
                <w:kern w:val="0"/>
                <w:sz w:val="21"/>
                <w:szCs w:val="21"/>
              </w:rPr>
            </w:pPr>
            <w:r>
              <w:rPr>
                <w:rFonts w:eastAsia="等线"/>
                <w:kern w:val="0"/>
                <w:sz w:val="21"/>
                <w:szCs w:val="21"/>
              </w:rPr>
              <w:t>388</w:t>
            </w:r>
          </w:p>
        </w:tc>
        <w:tc>
          <w:tcPr>
            <w:tcW w:w="394" w:type="pct"/>
            <w:tcBorders>
              <w:top w:val="nil"/>
              <w:left w:val="single" w:sz="4" w:space="0" w:color="auto"/>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120</w:t>
            </w:r>
          </w:p>
        </w:tc>
        <w:tc>
          <w:tcPr>
            <w:tcW w:w="1190" w:type="pct"/>
            <w:vMerge/>
            <w:tcBorders>
              <w:top w:val="nil"/>
              <w:left w:val="single" w:sz="8" w:space="0" w:color="000000"/>
              <w:bottom w:val="single" w:sz="8" w:space="0" w:color="000000"/>
              <w:right w:val="single" w:sz="8" w:space="0" w:color="000000"/>
            </w:tcBorders>
            <w:vAlign w:val="center"/>
          </w:tcPr>
          <w:p w:rsidR="006C378F" w:rsidRDefault="006C378F">
            <w:pPr>
              <w:widowControl/>
              <w:adjustRightInd/>
              <w:snapToGrid/>
              <w:jc w:val="left"/>
              <w:rPr>
                <w:rFonts w:ascii="仿宋_GB2312" w:hAnsi="等线" w:cs="宋体"/>
                <w:kern w:val="0"/>
                <w:sz w:val="21"/>
                <w:szCs w:val="21"/>
              </w:rPr>
            </w:pPr>
          </w:p>
        </w:tc>
      </w:tr>
    </w:tbl>
    <w:p w:rsidR="006C378F" w:rsidRDefault="00E12213">
      <w:pPr>
        <w:pStyle w:val="2"/>
        <w:spacing w:beforeLines="50" w:before="120"/>
      </w:pPr>
      <w:bookmarkStart w:id="11" w:name="_Toc62179993"/>
      <w:bookmarkStart w:id="12" w:name="_Toc18977"/>
      <w:r>
        <w:t>1.</w:t>
      </w:r>
      <w:r>
        <w:rPr>
          <w:rFonts w:hint="eastAsia"/>
        </w:rPr>
        <w:t>7</w:t>
      </w:r>
      <w:r>
        <w:rPr>
          <w:rFonts w:hint="eastAsia"/>
        </w:rPr>
        <w:t>主体设计分析与评价</w:t>
      </w:r>
      <w:bookmarkEnd w:id="11"/>
      <w:bookmarkEnd w:id="12"/>
    </w:p>
    <w:p w:rsidR="006C378F" w:rsidRDefault="00E12213">
      <w:pPr>
        <w:adjustRightInd/>
        <w:snapToGrid/>
        <w:spacing w:line="360" w:lineRule="auto"/>
        <w:ind w:firstLine="560"/>
        <w:rPr>
          <w:szCs w:val="24"/>
        </w:rPr>
      </w:pPr>
      <w:r>
        <w:rPr>
          <w:szCs w:val="24"/>
        </w:rPr>
        <w:t>本项目位于</w:t>
      </w:r>
      <w:r>
        <w:rPr>
          <w:rFonts w:hint="eastAsia"/>
          <w:szCs w:val="24"/>
        </w:rPr>
        <w:t>仪陇县</w:t>
      </w:r>
      <w:r>
        <w:rPr>
          <w:szCs w:val="24"/>
        </w:rPr>
        <w:t>，</w:t>
      </w:r>
      <w:r>
        <w:rPr>
          <w:rFonts w:hint="eastAsia"/>
          <w:szCs w:val="24"/>
        </w:rPr>
        <w:t>根据《仪陇省发展和改革局关于仪陇县老年服务中心老年养护楼建设项目可行性研究报告的批复》（仪发改社会</w:t>
      </w:r>
      <w:r>
        <w:rPr>
          <w:rFonts w:hint="eastAsia"/>
          <w:szCs w:val="24"/>
        </w:rPr>
        <w:t xml:space="preserve"> [ 2014 ] 94</w:t>
      </w:r>
      <w:r>
        <w:rPr>
          <w:rFonts w:hint="eastAsia"/>
          <w:szCs w:val="24"/>
        </w:rPr>
        <w:t>号）</w:t>
      </w:r>
      <w:r>
        <w:rPr>
          <w:szCs w:val="24"/>
        </w:rPr>
        <w:t>，本项目</w:t>
      </w:r>
      <w:r>
        <w:rPr>
          <w:rFonts w:hint="eastAsia"/>
          <w:szCs w:val="24"/>
        </w:rPr>
        <w:t>已</w:t>
      </w:r>
      <w:r>
        <w:rPr>
          <w:szCs w:val="24"/>
        </w:rPr>
        <w:t>建设，选址唯一，不存在</w:t>
      </w:r>
      <w:r>
        <w:rPr>
          <w:rFonts w:hint="eastAsia"/>
          <w:szCs w:val="24"/>
        </w:rPr>
        <w:t>比</w:t>
      </w:r>
      <w:r>
        <w:rPr>
          <w:szCs w:val="24"/>
        </w:rPr>
        <w:t>选方案。因此，主体设计项目建设没有场址比选，本方案也无场址比选。</w:t>
      </w:r>
    </w:p>
    <w:p w:rsidR="006C378F" w:rsidRDefault="00E12213">
      <w:pPr>
        <w:adjustRightInd/>
        <w:snapToGrid/>
        <w:spacing w:line="360" w:lineRule="auto"/>
        <w:ind w:firstLine="560"/>
        <w:rPr>
          <w:szCs w:val="24"/>
        </w:rPr>
      </w:pPr>
      <w:r>
        <w:rPr>
          <w:szCs w:val="24"/>
        </w:rPr>
        <w:t>本项目不在泥石流易发区、崩塌、滑坡危险区以及易引起严重水土流失和生态恶化的地区；本项目不在河流两岸、湖泊和水库周边的植物保护带范围内。本项目不属于全国水土保持监测网络中的水土保持监测站点、重点实验区及国家确定的水土保持长期定位观测站。本项目不存在绝对制约性因素。本项目存在的制约性因素主要为：</w:t>
      </w:r>
    </w:p>
    <w:p w:rsidR="006C378F" w:rsidRDefault="00E12213">
      <w:pPr>
        <w:adjustRightInd/>
        <w:snapToGrid/>
        <w:spacing w:line="360" w:lineRule="auto"/>
        <w:ind w:firstLine="560"/>
        <w:rPr>
          <w:szCs w:val="24"/>
        </w:rPr>
      </w:pPr>
      <w:r>
        <w:rPr>
          <w:szCs w:val="24"/>
        </w:rPr>
        <w:t>本项目所在地</w:t>
      </w:r>
      <w:r>
        <w:rPr>
          <w:rFonts w:hint="eastAsia"/>
          <w:szCs w:val="24"/>
        </w:rPr>
        <w:t>仪陇县</w:t>
      </w:r>
      <w:r>
        <w:rPr>
          <w:szCs w:val="24"/>
        </w:rPr>
        <w:t>属于嘉陵江及沱江中下游国家级水土流失重点治理区，客观上无法避让，但不属于绝对限制类和严格限制类行为，通过实施完善的水土保持措施，可有效防治项目区的水土流失。</w:t>
      </w:r>
    </w:p>
    <w:p w:rsidR="006C378F" w:rsidRDefault="00E12213">
      <w:pPr>
        <w:adjustRightInd/>
        <w:snapToGrid/>
        <w:spacing w:line="360" w:lineRule="auto"/>
        <w:ind w:firstLine="560"/>
        <w:rPr>
          <w:szCs w:val="24"/>
        </w:rPr>
      </w:pPr>
      <w:r>
        <w:rPr>
          <w:szCs w:val="24"/>
        </w:rPr>
        <w:t>本项目属于未批先建项目，违反水土保持法，本方案为补报方案，建设单位后续建设中必须确保三同时后续的环节能得到落实。</w:t>
      </w:r>
    </w:p>
    <w:p w:rsidR="006C378F" w:rsidRDefault="00E12213">
      <w:pPr>
        <w:adjustRightInd/>
        <w:snapToGrid/>
        <w:spacing w:line="360" w:lineRule="auto"/>
        <w:ind w:firstLine="560"/>
        <w:rPr>
          <w:szCs w:val="24"/>
        </w:rPr>
      </w:pPr>
      <w:r>
        <w:rPr>
          <w:szCs w:val="24"/>
        </w:rPr>
        <w:t>从水土保持角度分析，本工程项目区属于嘉陵江及沱江中下游国家级水土流失重点治理区，同时本项目已建设完成，未按建设项目</w:t>
      </w:r>
      <w:r>
        <w:rPr>
          <w:szCs w:val="24"/>
        </w:rPr>
        <w:t>“</w:t>
      </w:r>
      <w:r>
        <w:rPr>
          <w:szCs w:val="24"/>
        </w:rPr>
        <w:t>三同时</w:t>
      </w:r>
      <w:r>
        <w:rPr>
          <w:szCs w:val="24"/>
        </w:rPr>
        <w:t>”</w:t>
      </w:r>
      <w:r>
        <w:rPr>
          <w:szCs w:val="24"/>
        </w:rPr>
        <w:t>的制度进行施工，因此，需要做好水土流失防治工作，优化实施工艺，及时落实水土保持措施、减少地表扰动和植被破坏范围、严格保护植物等措施，可有效控制可能造成的水土流失。本项目不存在其它的水土保持绝对制约因素，从水土保持的角度分析，主体工程建设方案可行。</w:t>
      </w:r>
    </w:p>
    <w:p w:rsidR="006C378F" w:rsidRDefault="00E12213">
      <w:pPr>
        <w:pStyle w:val="2"/>
      </w:pPr>
      <w:bookmarkStart w:id="13" w:name="_Toc371412978"/>
      <w:bookmarkStart w:id="14" w:name="_Toc15639"/>
      <w:bookmarkStart w:id="15" w:name="_Toc17943"/>
      <w:bookmarkStart w:id="16" w:name="_Toc62179994"/>
      <w:bookmarkStart w:id="17" w:name="_Toc6665"/>
      <w:r>
        <w:t>1.</w:t>
      </w:r>
      <w:r>
        <w:rPr>
          <w:rFonts w:hint="eastAsia"/>
        </w:rPr>
        <w:t>8</w:t>
      </w:r>
      <w:r>
        <w:t>移民拆迁安置</w:t>
      </w:r>
      <w:bookmarkEnd w:id="13"/>
      <w:bookmarkEnd w:id="14"/>
      <w:bookmarkEnd w:id="15"/>
      <w:bookmarkEnd w:id="16"/>
      <w:bookmarkEnd w:id="17"/>
    </w:p>
    <w:p w:rsidR="006C378F" w:rsidRDefault="00E12213">
      <w:pPr>
        <w:pStyle w:val="BZDL1"/>
        <w:spacing w:beforeLines="0" w:before="0" w:afterLines="0" w:after="0" w:line="360" w:lineRule="auto"/>
        <w:ind w:firstLine="480"/>
        <w:rPr>
          <w:rFonts w:ascii="Times New Roman"/>
          <w:sz w:val="24"/>
          <w:szCs w:val="16"/>
        </w:rPr>
      </w:pPr>
      <w:r>
        <w:rPr>
          <w:rFonts w:ascii="Times New Roman"/>
          <w:sz w:val="24"/>
          <w:szCs w:val="16"/>
        </w:rPr>
        <w:t>本项目工程建设占地为耕地</w:t>
      </w:r>
      <w:r>
        <w:rPr>
          <w:rFonts w:ascii="Times New Roman" w:hint="eastAsia"/>
          <w:sz w:val="24"/>
          <w:szCs w:val="16"/>
        </w:rPr>
        <w:t>、其他土地及交通运输用地</w:t>
      </w:r>
      <w:r>
        <w:rPr>
          <w:rFonts w:ascii="Times New Roman"/>
          <w:sz w:val="24"/>
          <w:szCs w:val="16"/>
        </w:rPr>
        <w:t>，且建设区范围内无建筑物，不涉及拆迁安置问题。</w:t>
      </w:r>
    </w:p>
    <w:p w:rsidR="006C378F" w:rsidRDefault="00E12213">
      <w:pPr>
        <w:pStyle w:val="2"/>
      </w:pPr>
      <w:bookmarkStart w:id="18" w:name="_Toc27439"/>
      <w:bookmarkStart w:id="19" w:name="_Toc62179995"/>
      <w:bookmarkStart w:id="20" w:name="_Toc30897"/>
      <w:bookmarkStart w:id="21" w:name="_Toc371412979"/>
      <w:bookmarkStart w:id="22" w:name="_Toc23351"/>
      <w:r>
        <w:t>1.</w:t>
      </w:r>
      <w:r>
        <w:rPr>
          <w:rFonts w:hint="eastAsia"/>
        </w:rPr>
        <w:t>9</w:t>
      </w:r>
      <w:r>
        <w:t>施工组织设计</w:t>
      </w:r>
      <w:bookmarkEnd w:id="18"/>
      <w:bookmarkEnd w:id="19"/>
      <w:bookmarkEnd w:id="20"/>
      <w:bookmarkEnd w:id="21"/>
      <w:bookmarkEnd w:id="22"/>
    </w:p>
    <w:p w:rsidR="006C378F" w:rsidRDefault="00E12213">
      <w:pPr>
        <w:pStyle w:val="3"/>
      </w:pPr>
      <w:r>
        <w:rPr>
          <w:rFonts w:hint="eastAsia"/>
        </w:rPr>
        <w:t xml:space="preserve">1.9.1 </w:t>
      </w:r>
      <w:r>
        <w:rPr>
          <w:rFonts w:hint="eastAsia"/>
        </w:rPr>
        <w:t>施工布置</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施工便道</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本项目位于仪陇县，有乡镇公路相通，交通便利，场内平整，满足施工交通，项目建设不新增施工便道。</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施工材料</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本项目建设所需砂石料、碎石、水泥、钢筋等均在仪陇县合法料场购买，施工原材</w:t>
      </w:r>
      <w:r>
        <w:rPr>
          <w:rFonts w:ascii="Times New Roman" w:hint="eastAsia"/>
          <w:sz w:val="24"/>
          <w:szCs w:val="16"/>
        </w:rPr>
        <w:lastRenderedPageBreak/>
        <w:t>料供应过程中产生的水土流失防治责任由供应商负责。本方案以下章节不再提及。</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施工临时设施规划</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1</w:t>
      </w:r>
      <w:r>
        <w:rPr>
          <w:rFonts w:ascii="Times New Roman" w:hint="eastAsia"/>
          <w:sz w:val="24"/>
          <w:szCs w:val="16"/>
        </w:rPr>
        <w:t>、施工生产、生活营地</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本项目施工强度小，土建工程较少，不设置生活营地。本项目施工场地位置在场地中部，施工场地占地面积</w:t>
      </w:r>
      <w:r>
        <w:rPr>
          <w:rFonts w:ascii="Times New Roman" w:hint="eastAsia"/>
          <w:sz w:val="24"/>
          <w:szCs w:val="16"/>
        </w:rPr>
        <w:t>0.01hm2</w:t>
      </w:r>
      <w:r>
        <w:rPr>
          <w:rFonts w:ascii="Times New Roman" w:hint="eastAsia"/>
          <w:sz w:val="24"/>
          <w:szCs w:val="16"/>
        </w:rPr>
        <w:t>，位于项目永久占地范围内，不新增临时占地。</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2</w:t>
      </w:r>
      <w:r>
        <w:rPr>
          <w:rFonts w:ascii="Times New Roman" w:hint="eastAsia"/>
          <w:sz w:val="24"/>
          <w:szCs w:val="16"/>
        </w:rPr>
        <w:t>、临时堆土场</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施工过程中土石方挖填方量较少，污水管线区开挖的土石方，沿线堆放，分段施工，未设置集中的临时堆土场。临时堆土场位置在场地中部，临时堆土场占地面积</w:t>
      </w:r>
      <w:r>
        <w:rPr>
          <w:rFonts w:ascii="Times New Roman" w:hint="eastAsia"/>
          <w:sz w:val="24"/>
          <w:szCs w:val="16"/>
        </w:rPr>
        <w:t>0.01hm2</w:t>
      </w:r>
      <w:r>
        <w:rPr>
          <w:rFonts w:ascii="Times New Roman" w:hint="eastAsia"/>
          <w:sz w:val="24"/>
          <w:szCs w:val="16"/>
        </w:rPr>
        <w:t>，位于项目永久占地范围内，不新增临时占地。</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3</w:t>
      </w:r>
      <w:r>
        <w:rPr>
          <w:rFonts w:ascii="Times New Roman" w:hint="eastAsia"/>
          <w:sz w:val="24"/>
          <w:szCs w:val="16"/>
        </w:rPr>
        <w:t>、弃渣场</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本项目土石方挖填平衡，无弃渣产生，未设置弃渣场。</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施工用水、电及通讯</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w:t>
      </w:r>
      <w:r>
        <w:rPr>
          <w:rFonts w:ascii="Times New Roman" w:hint="eastAsia"/>
          <w:sz w:val="24"/>
          <w:szCs w:val="16"/>
        </w:rPr>
        <w:t>1</w:t>
      </w:r>
      <w:r>
        <w:rPr>
          <w:rFonts w:ascii="Times New Roman" w:hint="eastAsia"/>
          <w:sz w:val="24"/>
          <w:szCs w:val="16"/>
        </w:rPr>
        <w:t>）施工用电：本项目施工用电选择就近从项目地内搭接取用。</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w:t>
      </w:r>
      <w:r>
        <w:rPr>
          <w:rFonts w:ascii="Times New Roman" w:hint="eastAsia"/>
          <w:sz w:val="24"/>
          <w:szCs w:val="16"/>
        </w:rPr>
        <w:t>2</w:t>
      </w:r>
      <w:r>
        <w:rPr>
          <w:rFonts w:ascii="Times New Roman" w:hint="eastAsia"/>
          <w:sz w:val="24"/>
          <w:szCs w:val="16"/>
        </w:rPr>
        <w:t>）工程及生活用水：项目区施工用水通过厂内自来水满足给水需要。</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w:t>
      </w:r>
      <w:r>
        <w:rPr>
          <w:rFonts w:ascii="Times New Roman" w:hint="eastAsia"/>
          <w:sz w:val="24"/>
          <w:szCs w:val="16"/>
        </w:rPr>
        <w:t>3</w:t>
      </w:r>
      <w:r>
        <w:rPr>
          <w:rFonts w:ascii="Times New Roman" w:hint="eastAsia"/>
          <w:sz w:val="24"/>
          <w:szCs w:val="16"/>
        </w:rPr>
        <w:t>）工程区已有通讯信号全面覆盖，可采用移动或联通通讯联系。</w:t>
      </w:r>
    </w:p>
    <w:p w:rsidR="006C378F" w:rsidRDefault="00E12213">
      <w:pPr>
        <w:pStyle w:val="3"/>
      </w:pPr>
      <w:r>
        <w:rPr>
          <w:rFonts w:hint="eastAsia"/>
        </w:rPr>
        <w:t xml:space="preserve">1.9.2 </w:t>
      </w:r>
      <w:r>
        <w:rPr>
          <w:rFonts w:hint="eastAsia"/>
        </w:rPr>
        <w:t>施工管理</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为确保工程质量和工期，建设单位组建了精干有效的管理机构，严格控制施工进度和质量。项目根据工程数量、施工难易、工期安排等划分施工单元，施工单位采用公开招标方式确定，选择具有相应资质、信誉良好的施工队伍，保证工程质量、进度，顺利完成工程投资。工程实施中认真贯彻“百年大计，质量第一”的方针和国家有关质量法规，实行项目法人责任制、工程招投标制、监理制和合同管理制，强化质量管理，形成一套行之有效的质量管理体系。</w:t>
      </w:r>
    </w:p>
    <w:p w:rsidR="006C378F" w:rsidRDefault="00E12213">
      <w:pPr>
        <w:pStyle w:val="2"/>
      </w:pPr>
      <w:bookmarkStart w:id="23" w:name="_Toc62179997"/>
      <w:bookmarkStart w:id="24" w:name="_Toc24811"/>
      <w:r>
        <w:t>1.</w:t>
      </w:r>
      <w:r>
        <w:rPr>
          <w:rFonts w:hint="eastAsia"/>
        </w:rPr>
        <w:t>11</w:t>
      </w:r>
      <w:r>
        <w:rPr>
          <w:rFonts w:hint="eastAsia"/>
        </w:rPr>
        <w:t>工程投资及进度安排</w:t>
      </w:r>
      <w:bookmarkEnd w:id="23"/>
      <w:bookmarkEnd w:id="24"/>
    </w:p>
    <w:p w:rsidR="006C378F" w:rsidRDefault="00E12213">
      <w:pPr>
        <w:pStyle w:val="BZDL1"/>
        <w:spacing w:beforeLines="0" w:before="0" w:afterLines="0" w:after="0" w:line="360" w:lineRule="auto"/>
        <w:ind w:firstLine="480"/>
        <w:rPr>
          <w:rFonts w:ascii="Times New Roman"/>
          <w:sz w:val="24"/>
          <w:szCs w:val="16"/>
        </w:rPr>
      </w:pPr>
      <w:r>
        <w:rPr>
          <w:rFonts w:ascii="Times New Roman"/>
          <w:sz w:val="24"/>
          <w:szCs w:val="16"/>
        </w:rPr>
        <w:t>建设工期：</w:t>
      </w:r>
      <w:r>
        <w:rPr>
          <w:rFonts w:ascii="Times New Roman" w:hint="eastAsia"/>
          <w:sz w:val="24"/>
          <w:szCs w:val="16"/>
        </w:rPr>
        <w:t>本项目已于</w:t>
      </w:r>
      <w:r>
        <w:rPr>
          <w:rFonts w:ascii="Times New Roman" w:hint="eastAsia"/>
          <w:sz w:val="24"/>
          <w:szCs w:val="16"/>
        </w:rPr>
        <w:t>2017</w:t>
      </w:r>
      <w:r>
        <w:rPr>
          <w:rFonts w:ascii="Times New Roman" w:hint="eastAsia"/>
          <w:sz w:val="24"/>
          <w:szCs w:val="16"/>
        </w:rPr>
        <w:t>年</w:t>
      </w:r>
      <w:r>
        <w:rPr>
          <w:rFonts w:ascii="Times New Roman" w:hint="eastAsia"/>
          <w:sz w:val="24"/>
          <w:szCs w:val="16"/>
        </w:rPr>
        <w:t>1</w:t>
      </w:r>
      <w:r>
        <w:rPr>
          <w:rFonts w:ascii="Times New Roman" w:hint="eastAsia"/>
          <w:sz w:val="24"/>
          <w:szCs w:val="16"/>
        </w:rPr>
        <w:t>月开工建设，于</w:t>
      </w:r>
      <w:r>
        <w:rPr>
          <w:rFonts w:ascii="Times New Roman" w:hint="eastAsia"/>
          <w:sz w:val="24"/>
          <w:szCs w:val="16"/>
        </w:rPr>
        <w:t>2017</w:t>
      </w:r>
      <w:r>
        <w:rPr>
          <w:rFonts w:ascii="Times New Roman" w:hint="eastAsia"/>
          <w:sz w:val="24"/>
          <w:szCs w:val="16"/>
        </w:rPr>
        <w:t>年</w:t>
      </w:r>
      <w:r>
        <w:rPr>
          <w:rFonts w:ascii="Times New Roman" w:hint="eastAsia"/>
          <w:sz w:val="24"/>
          <w:szCs w:val="16"/>
        </w:rPr>
        <w:t>3</w:t>
      </w:r>
      <w:r>
        <w:rPr>
          <w:rFonts w:ascii="Times New Roman" w:hint="eastAsia"/>
          <w:sz w:val="24"/>
          <w:szCs w:val="16"/>
        </w:rPr>
        <w:t>月竣工，建设总工期为</w:t>
      </w:r>
      <w:r>
        <w:rPr>
          <w:rFonts w:ascii="Times New Roman" w:hint="eastAsia"/>
          <w:sz w:val="24"/>
          <w:szCs w:val="16"/>
        </w:rPr>
        <w:t>3</w:t>
      </w:r>
      <w:r>
        <w:rPr>
          <w:rFonts w:ascii="Times New Roman" w:hint="eastAsia"/>
          <w:sz w:val="24"/>
          <w:szCs w:val="16"/>
        </w:rPr>
        <w:t>个月</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建设投资：总投资</w:t>
      </w:r>
      <w:r>
        <w:rPr>
          <w:rFonts w:ascii="Times New Roman" w:hint="eastAsia"/>
          <w:sz w:val="24"/>
          <w:szCs w:val="16"/>
        </w:rPr>
        <w:t>190</w:t>
      </w:r>
      <w:r>
        <w:rPr>
          <w:rFonts w:ascii="Times New Roman" w:hint="eastAsia"/>
          <w:sz w:val="24"/>
          <w:szCs w:val="16"/>
        </w:rPr>
        <w:t>万元，其中土建投资</w:t>
      </w:r>
      <w:r>
        <w:rPr>
          <w:rFonts w:ascii="Times New Roman" w:hint="eastAsia"/>
          <w:sz w:val="24"/>
          <w:szCs w:val="16"/>
        </w:rPr>
        <w:t>135</w:t>
      </w:r>
      <w:r>
        <w:rPr>
          <w:rFonts w:ascii="Times New Roman" w:hint="eastAsia"/>
          <w:sz w:val="24"/>
          <w:szCs w:val="16"/>
        </w:rPr>
        <w:t>万元。</w:t>
      </w:r>
    </w:p>
    <w:p w:rsidR="006C378F" w:rsidRDefault="006C378F"/>
    <w:p w:rsidR="006C378F" w:rsidRDefault="00E12213">
      <w:pPr>
        <w:pStyle w:val="2"/>
      </w:pPr>
      <w:bookmarkStart w:id="25" w:name="_Toc62179998"/>
      <w:bookmarkStart w:id="26" w:name="_Toc8263"/>
      <w:r>
        <w:t>1.1</w:t>
      </w:r>
      <w:r>
        <w:rPr>
          <w:rFonts w:hint="eastAsia"/>
        </w:rPr>
        <w:t>2</w:t>
      </w:r>
      <w:r>
        <w:t>水土流失防治的执行标准</w:t>
      </w:r>
      <w:bookmarkEnd w:id="25"/>
      <w:bookmarkEnd w:id="26"/>
    </w:p>
    <w:p w:rsidR="006C378F" w:rsidRDefault="00E12213">
      <w:pPr>
        <w:pStyle w:val="BZDL1"/>
        <w:spacing w:beforeLines="0" w:before="0" w:afterLines="0" w:after="0" w:line="360" w:lineRule="auto"/>
        <w:ind w:firstLine="480"/>
        <w:rPr>
          <w:rFonts w:ascii="Times New Roman"/>
          <w:sz w:val="24"/>
          <w:szCs w:val="16"/>
        </w:rPr>
      </w:pPr>
      <w:r>
        <w:rPr>
          <w:rFonts w:ascii="Times New Roman"/>
          <w:sz w:val="24"/>
          <w:szCs w:val="16"/>
        </w:rPr>
        <w:t>根据《全国水土保持规划国家级水土流失重点预防区和重点治理区复核划分成果》（办水保</w:t>
      </w:r>
      <w:r>
        <w:rPr>
          <w:rFonts w:ascii="Times New Roman"/>
          <w:sz w:val="24"/>
          <w:szCs w:val="16"/>
        </w:rPr>
        <w:t>[2013]188</w:t>
      </w:r>
      <w:r>
        <w:rPr>
          <w:rFonts w:ascii="Times New Roman"/>
          <w:sz w:val="24"/>
          <w:szCs w:val="16"/>
        </w:rPr>
        <w:t>号），本项目</w:t>
      </w:r>
      <w:r>
        <w:rPr>
          <w:rFonts w:ascii="Times New Roman" w:hint="eastAsia"/>
          <w:sz w:val="24"/>
          <w:szCs w:val="16"/>
        </w:rPr>
        <w:t>所在的仪陇县</w:t>
      </w:r>
      <w:r>
        <w:rPr>
          <w:rFonts w:ascii="Times New Roman"/>
          <w:sz w:val="24"/>
          <w:szCs w:val="16"/>
        </w:rPr>
        <w:t>属于嘉陵江及沱江中下游国家级水土流</w:t>
      </w:r>
      <w:r>
        <w:rPr>
          <w:rFonts w:ascii="Times New Roman"/>
          <w:sz w:val="24"/>
          <w:szCs w:val="16"/>
        </w:rPr>
        <w:lastRenderedPageBreak/>
        <w:t>失重点治理区。按照《生产建设项目水土流失防治标准》（</w:t>
      </w:r>
      <w:r>
        <w:rPr>
          <w:rFonts w:ascii="Times New Roman"/>
          <w:sz w:val="24"/>
          <w:szCs w:val="16"/>
        </w:rPr>
        <w:t>GB</w:t>
      </w:r>
      <w:r>
        <w:rPr>
          <w:rFonts w:ascii="Times New Roman" w:hint="eastAsia"/>
          <w:sz w:val="24"/>
          <w:szCs w:val="16"/>
        </w:rPr>
        <w:t xml:space="preserve">/T </w:t>
      </w:r>
      <w:r>
        <w:rPr>
          <w:rFonts w:ascii="Times New Roman"/>
          <w:sz w:val="24"/>
          <w:szCs w:val="16"/>
        </w:rPr>
        <w:t>50434-2018</w:t>
      </w:r>
      <w:r>
        <w:rPr>
          <w:rFonts w:ascii="Times New Roman"/>
          <w:sz w:val="24"/>
          <w:szCs w:val="16"/>
        </w:rPr>
        <w:t>），确定本项目执行西南紫色土区水土流失防治一级标准。</w:t>
      </w:r>
    </w:p>
    <w:p w:rsidR="006C378F" w:rsidRDefault="00E12213">
      <w:pPr>
        <w:pStyle w:val="BZDL1"/>
        <w:spacing w:beforeLines="0" w:before="0" w:afterLines="0" w:after="0" w:line="360" w:lineRule="auto"/>
        <w:ind w:firstLine="480"/>
        <w:rPr>
          <w:rFonts w:ascii="Times New Roman"/>
          <w:color w:val="0000FF"/>
          <w:sz w:val="24"/>
          <w:szCs w:val="16"/>
        </w:rPr>
      </w:pPr>
      <w:r>
        <w:rPr>
          <w:rFonts w:ascii="Times New Roman"/>
          <w:color w:val="0000FF"/>
          <w:sz w:val="24"/>
          <w:szCs w:val="16"/>
        </w:rPr>
        <w:t>由于地貌类型、干旱程度、土壤侵蚀强度</w:t>
      </w:r>
      <w:r>
        <w:rPr>
          <w:rFonts w:ascii="Times New Roman" w:hint="eastAsia"/>
          <w:color w:val="0000FF"/>
          <w:sz w:val="24"/>
          <w:szCs w:val="16"/>
        </w:rPr>
        <w:t>及项目所在地区（城区和非城区）</w:t>
      </w:r>
      <w:r>
        <w:rPr>
          <w:rFonts w:ascii="Times New Roman"/>
          <w:color w:val="0000FF"/>
          <w:sz w:val="24"/>
          <w:szCs w:val="16"/>
        </w:rPr>
        <w:t>等的差异，对表</w:t>
      </w:r>
      <w:r>
        <w:rPr>
          <w:rFonts w:ascii="Times New Roman"/>
          <w:color w:val="0000FF"/>
          <w:sz w:val="24"/>
          <w:szCs w:val="16"/>
        </w:rPr>
        <w:t>5-1</w:t>
      </w:r>
      <w:r>
        <w:rPr>
          <w:rFonts w:ascii="Times New Roman"/>
          <w:color w:val="0000FF"/>
          <w:sz w:val="24"/>
          <w:szCs w:val="16"/>
        </w:rPr>
        <w:t>中的基准值需作适当修正，修正值按照《生产建设项目水土流失防治标准》（</w:t>
      </w:r>
      <w:r>
        <w:rPr>
          <w:rFonts w:ascii="Times New Roman"/>
          <w:color w:val="0000FF"/>
          <w:sz w:val="24"/>
          <w:szCs w:val="16"/>
        </w:rPr>
        <w:t>GB</w:t>
      </w:r>
      <w:r>
        <w:rPr>
          <w:rFonts w:ascii="Times New Roman" w:hint="eastAsia"/>
          <w:color w:val="0000FF"/>
          <w:sz w:val="24"/>
          <w:szCs w:val="16"/>
        </w:rPr>
        <w:t>/T</w:t>
      </w:r>
      <w:r>
        <w:rPr>
          <w:rFonts w:ascii="Times New Roman"/>
          <w:color w:val="0000FF"/>
          <w:sz w:val="24"/>
          <w:szCs w:val="16"/>
        </w:rPr>
        <w:t>50434-2018</w:t>
      </w:r>
      <w:r>
        <w:rPr>
          <w:rFonts w:ascii="Times New Roman"/>
          <w:color w:val="0000FF"/>
          <w:sz w:val="24"/>
          <w:szCs w:val="16"/>
        </w:rPr>
        <w:t>）的规定进行合理取值</w:t>
      </w:r>
      <w:r>
        <w:rPr>
          <w:rFonts w:ascii="Times New Roman" w:hint="eastAsia"/>
          <w:color w:val="0000FF"/>
          <w:sz w:val="24"/>
          <w:szCs w:val="16"/>
        </w:rPr>
        <w:t>。详见表。</w:t>
      </w:r>
    </w:p>
    <w:p w:rsidR="006C378F" w:rsidRDefault="00E12213">
      <w:pPr>
        <w:jc w:val="center"/>
        <w:rPr>
          <w:b/>
          <w:color w:val="0000FF"/>
          <w:sz w:val="22"/>
          <w:szCs w:val="22"/>
        </w:rPr>
      </w:pPr>
      <w:r>
        <w:rPr>
          <w:b/>
          <w:color w:val="0000FF"/>
          <w:sz w:val="22"/>
          <w:szCs w:val="22"/>
        </w:rPr>
        <w:t>表</w:t>
      </w:r>
      <w:r>
        <w:rPr>
          <w:rFonts w:hint="eastAsia"/>
          <w:b/>
          <w:color w:val="0000FF"/>
          <w:sz w:val="22"/>
          <w:szCs w:val="22"/>
        </w:rPr>
        <w:t>1</w:t>
      </w:r>
      <w:r>
        <w:rPr>
          <w:b/>
          <w:color w:val="0000FF"/>
          <w:sz w:val="22"/>
          <w:szCs w:val="22"/>
        </w:rPr>
        <w:t>-</w:t>
      </w:r>
      <w:r>
        <w:rPr>
          <w:rFonts w:hint="eastAsia"/>
          <w:b/>
          <w:color w:val="0000FF"/>
          <w:sz w:val="22"/>
          <w:szCs w:val="22"/>
        </w:rPr>
        <w:t xml:space="preserve">5 </w:t>
      </w:r>
      <w:r>
        <w:rPr>
          <w:rFonts w:hint="eastAsia"/>
          <w:b/>
          <w:color w:val="0000FF"/>
          <w:sz w:val="22"/>
          <w:szCs w:val="22"/>
        </w:rPr>
        <w:t>水土流失防治目标计算表</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95"/>
        <w:gridCol w:w="541"/>
        <w:gridCol w:w="769"/>
        <w:gridCol w:w="924"/>
        <w:gridCol w:w="984"/>
        <w:gridCol w:w="905"/>
        <w:gridCol w:w="795"/>
        <w:gridCol w:w="819"/>
        <w:gridCol w:w="655"/>
        <w:gridCol w:w="735"/>
      </w:tblGrid>
      <w:tr w:rsidR="006C378F">
        <w:trPr>
          <w:trHeight w:val="340"/>
          <w:tblHeader/>
          <w:jc w:val="center"/>
        </w:trPr>
        <w:tc>
          <w:tcPr>
            <w:tcW w:w="1093" w:type="pct"/>
            <w:vMerge w:val="restart"/>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防治指标</w:t>
            </w:r>
          </w:p>
        </w:tc>
        <w:tc>
          <w:tcPr>
            <w:tcW w:w="717" w:type="pct"/>
            <w:gridSpan w:val="2"/>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规定标准值</w:t>
            </w:r>
          </w:p>
        </w:tc>
        <w:tc>
          <w:tcPr>
            <w:tcW w:w="2426" w:type="pct"/>
            <w:gridSpan w:val="5"/>
            <w:vAlign w:val="center"/>
          </w:tcPr>
          <w:p w:rsidR="006C378F" w:rsidRDefault="00E12213">
            <w:pPr>
              <w:widowControl/>
              <w:jc w:val="center"/>
              <w:textAlignment w:val="center"/>
              <w:rPr>
                <w:color w:val="0000FF"/>
                <w:kern w:val="0"/>
                <w:sz w:val="21"/>
                <w:szCs w:val="21"/>
                <w:u w:color="000000"/>
                <w:lang w:bidi="ar"/>
              </w:rPr>
            </w:pPr>
            <w:r>
              <w:rPr>
                <w:color w:val="0000FF"/>
                <w:kern w:val="0"/>
                <w:sz w:val="21"/>
                <w:szCs w:val="21"/>
                <w:u w:color="000000"/>
                <w:lang w:bidi="ar"/>
              </w:rPr>
              <w:t>修正值</w:t>
            </w:r>
          </w:p>
        </w:tc>
        <w:tc>
          <w:tcPr>
            <w:tcW w:w="762" w:type="pct"/>
            <w:gridSpan w:val="2"/>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采用标准值</w:t>
            </w:r>
          </w:p>
        </w:tc>
      </w:tr>
      <w:tr w:rsidR="006C378F">
        <w:trPr>
          <w:trHeight w:val="340"/>
          <w:tblHeader/>
          <w:jc w:val="center"/>
        </w:trPr>
        <w:tc>
          <w:tcPr>
            <w:tcW w:w="1093" w:type="pct"/>
            <w:vMerge/>
            <w:vAlign w:val="center"/>
          </w:tcPr>
          <w:p w:rsidR="006C378F" w:rsidRDefault="006C378F">
            <w:pPr>
              <w:jc w:val="center"/>
              <w:rPr>
                <w:color w:val="0000FF"/>
                <w:sz w:val="21"/>
                <w:szCs w:val="21"/>
                <w:u w:color="000000"/>
              </w:rPr>
            </w:pPr>
          </w:p>
        </w:tc>
        <w:tc>
          <w:tcPr>
            <w:tcW w:w="296" w:type="pct"/>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施工期</w:t>
            </w:r>
          </w:p>
        </w:tc>
        <w:tc>
          <w:tcPr>
            <w:tcW w:w="421" w:type="pct"/>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设计水平年</w:t>
            </w:r>
          </w:p>
        </w:tc>
        <w:tc>
          <w:tcPr>
            <w:tcW w:w="506" w:type="pct"/>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干旱程度修正值</w:t>
            </w:r>
          </w:p>
        </w:tc>
        <w:tc>
          <w:tcPr>
            <w:tcW w:w="539" w:type="pct"/>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土壤侵蚀强度修正值</w:t>
            </w:r>
          </w:p>
        </w:tc>
        <w:tc>
          <w:tcPr>
            <w:tcW w:w="496" w:type="pct"/>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地形地貌修正值</w:t>
            </w:r>
          </w:p>
        </w:tc>
        <w:tc>
          <w:tcPr>
            <w:tcW w:w="436" w:type="pct"/>
            <w:vAlign w:val="center"/>
          </w:tcPr>
          <w:p w:rsidR="006C378F" w:rsidRDefault="00E12213">
            <w:pPr>
              <w:widowControl/>
              <w:jc w:val="center"/>
              <w:textAlignment w:val="center"/>
              <w:rPr>
                <w:color w:val="0000FF"/>
                <w:kern w:val="0"/>
                <w:sz w:val="21"/>
                <w:szCs w:val="21"/>
                <w:u w:color="000000"/>
                <w:lang w:bidi="ar"/>
              </w:rPr>
            </w:pPr>
            <w:r>
              <w:rPr>
                <w:rFonts w:hint="eastAsia"/>
                <w:color w:val="0000FF"/>
                <w:kern w:val="0"/>
                <w:sz w:val="21"/>
                <w:szCs w:val="21"/>
                <w:u w:color="000000"/>
                <w:lang w:bidi="ar"/>
              </w:rPr>
              <w:t>其他修正值</w:t>
            </w:r>
          </w:p>
        </w:tc>
        <w:tc>
          <w:tcPr>
            <w:tcW w:w="447" w:type="pct"/>
            <w:vAlign w:val="center"/>
          </w:tcPr>
          <w:p w:rsidR="006C378F" w:rsidRDefault="00E12213">
            <w:pPr>
              <w:widowControl/>
              <w:jc w:val="center"/>
              <w:textAlignment w:val="center"/>
              <w:rPr>
                <w:color w:val="0000FF"/>
                <w:kern w:val="0"/>
                <w:sz w:val="21"/>
                <w:szCs w:val="21"/>
                <w:u w:color="000000"/>
                <w:lang w:bidi="ar"/>
              </w:rPr>
            </w:pPr>
            <w:r>
              <w:rPr>
                <w:rFonts w:hint="eastAsia"/>
                <w:color w:val="0000FF"/>
                <w:kern w:val="0"/>
                <w:sz w:val="21"/>
                <w:szCs w:val="21"/>
                <w:u w:color="000000"/>
                <w:lang w:bidi="ar"/>
              </w:rPr>
              <w:t>约束性规定修正值</w:t>
            </w:r>
          </w:p>
        </w:tc>
        <w:tc>
          <w:tcPr>
            <w:tcW w:w="359" w:type="pct"/>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施工期</w:t>
            </w:r>
          </w:p>
        </w:tc>
        <w:tc>
          <w:tcPr>
            <w:tcW w:w="402" w:type="pct"/>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设计水平年</w:t>
            </w:r>
          </w:p>
        </w:tc>
      </w:tr>
      <w:tr w:rsidR="006C378F">
        <w:trPr>
          <w:trHeight w:val="340"/>
          <w:jc w:val="center"/>
        </w:trPr>
        <w:tc>
          <w:tcPr>
            <w:tcW w:w="1093" w:type="pct"/>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1</w:t>
            </w:r>
            <w:r>
              <w:rPr>
                <w:color w:val="0000FF"/>
                <w:kern w:val="0"/>
                <w:sz w:val="21"/>
                <w:szCs w:val="21"/>
                <w:u w:color="000000"/>
                <w:lang w:bidi="ar"/>
              </w:rPr>
              <w:t>、水土流失治理度（</w:t>
            </w:r>
            <w:r>
              <w:rPr>
                <w:color w:val="0000FF"/>
                <w:kern w:val="0"/>
                <w:sz w:val="21"/>
                <w:szCs w:val="21"/>
                <w:u w:color="000000"/>
                <w:lang w:bidi="ar"/>
              </w:rPr>
              <w:t>%</w:t>
            </w:r>
            <w:r>
              <w:rPr>
                <w:color w:val="0000FF"/>
                <w:kern w:val="0"/>
                <w:sz w:val="21"/>
                <w:szCs w:val="21"/>
                <w:u w:color="000000"/>
                <w:lang w:bidi="ar"/>
              </w:rPr>
              <w:t>）</w:t>
            </w:r>
          </w:p>
        </w:tc>
        <w:tc>
          <w:tcPr>
            <w:tcW w:w="296" w:type="pct"/>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w:t>
            </w:r>
          </w:p>
        </w:tc>
        <w:tc>
          <w:tcPr>
            <w:tcW w:w="421" w:type="pct"/>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97</w:t>
            </w:r>
          </w:p>
        </w:tc>
        <w:tc>
          <w:tcPr>
            <w:tcW w:w="506" w:type="pct"/>
            <w:vAlign w:val="center"/>
          </w:tcPr>
          <w:p w:rsidR="006C378F" w:rsidRDefault="006C378F">
            <w:pPr>
              <w:jc w:val="center"/>
              <w:rPr>
                <w:color w:val="0000FF"/>
                <w:sz w:val="21"/>
                <w:szCs w:val="21"/>
                <w:u w:color="000000"/>
              </w:rPr>
            </w:pPr>
          </w:p>
        </w:tc>
        <w:tc>
          <w:tcPr>
            <w:tcW w:w="539" w:type="pct"/>
            <w:vAlign w:val="center"/>
          </w:tcPr>
          <w:p w:rsidR="006C378F" w:rsidRDefault="006C378F">
            <w:pPr>
              <w:jc w:val="center"/>
              <w:rPr>
                <w:color w:val="0000FF"/>
                <w:sz w:val="21"/>
                <w:szCs w:val="21"/>
                <w:u w:color="000000"/>
              </w:rPr>
            </w:pPr>
          </w:p>
        </w:tc>
        <w:tc>
          <w:tcPr>
            <w:tcW w:w="496" w:type="pct"/>
            <w:vAlign w:val="center"/>
          </w:tcPr>
          <w:p w:rsidR="006C378F" w:rsidRDefault="006C378F">
            <w:pPr>
              <w:jc w:val="center"/>
              <w:rPr>
                <w:color w:val="0000FF"/>
                <w:sz w:val="21"/>
                <w:szCs w:val="21"/>
                <w:u w:color="000000"/>
              </w:rPr>
            </w:pPr>
          </w:p>
        </w:tc>
        <w:tc>
          <w:tcPr>
            <w:tcW w:w="436" w:type="pct"/>
            <w:vAlign w:val="center"/>
          </w:tcPr>
          <w:p w:rsidR="006C378F" w:rsidRDefault="006C378F">
            <w:pPr>
              <w:widowControl/>
              <w:jc w:val="center"/>
              <w:textAlignment w:val="center"/>
              <w:rPr>
                <w:color w:val="0000FF"/>
                <w:kern w:val="0"/>
                <w:sz w:val="21"/>
                <w:szCs w:val="21"/>
                <w:u w:color="000000"/>
                <w:lang w:bidi="ar"/>
              </w:rPr>
            </w:pPr>
          </w:p>
        </w:tc>
        <w:tc>
          <w:tcPr>
            <w:tcW w:w="447" w:type="pct"/>
            <w:vAlign w:val="center"/>
          </w:tcPr>
          <w:p w:rsidR="006C378F" w:rsidRDefault="006C378F">
            <w:pPr>
              <w:widowControl/>
              <w:jc w:val="center"/>
              <w:textAlignment w:val="center"/>
              <w:rPr>
                <w:color w:val="0000FF"/>
                <w:kern w:val="0"/>
                <w:sz w:val="21"/>
                <w:szCs w:val="21"/>
                <w:u w:color="000000"/>
                <w:lang w:bidi="ar"/>
              </w:rPr>
            </w:pPr>
          </w:p>
        </w:tc>
        <w:tc>
          <w:tcPr>
            <w:tcW w:w="359" w:type="pct"/>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w:t>
            </w:r>
          </w:p>
        </w:tc>
        <w:tc>
          <w:tcPr>
            <w:tcW w:w="402" w:type="pct"/>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97</w:t>
            </w:r>
          </w:p>
        </w:tc>
      </w:tr>
      <w:tr w:rsidR="006C378F">
        <w:trPr>
          <w:trHeight w:val="340"/>
          <w:jc w:val="center"/>
        </w:trPr>
        <w:tc>
          <w:tcPr>
            <w:tcW w:w="1093" w:type="pct"/>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2</w:t>
            </w:r>
            <w:r>
              <w:rPr>
                <w:color w:val="0000FF"/>
                <w:kern w:val="0"/>
                <w:sz w:val="21"/>
                <w:szCs w:val="21"/>
                <w:u w:color="000000"/>
                <w:lang w:bidi="ar"/>
              </w:rPr>
              <w:t>、土壤流失控制比</w:t>
            </w:r>
          </w:p>
        </w:tc>
        <w:tc>
          <w:tcPr>
            <w:tcW w:w="296" w:type="pct"/>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w:t>
            </w:r>
          </w:p>
        </w:tc>
        <w:tc>
          <w:tcPr>
            <w:tcW w:w="421" w:type="pct"/>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0.85</w:t>
            </w:r>
          </w:p>
        </w:tc>
        <w:tc>
          <w:tcPr>
            <w:tcW w:w="506" w:type="pct"/>
            <w:vAlign w:val="center"/>
          </w:tcPr>
          <w:p w:rsidR="006C378F" w:rsidRDefault="006C378F">
            <w:pPr>
              <w:jc w:val="center"/>
              <w:rPr>
                <w:color w:val="0000FF"/>
                <w:sz w:val="21"/>
                <w:szCs w:val="21"/>
                <w:u w:color="000000"/>
              </w:rPr>
            </w:pPr>
          </w:p>
        </w:tc>
        <w:tc>
          <w:tcPr>
            <w:tcW w:w="539" w:type="pct"/>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0.15</w:t>
            </w:r>
          </w:p>
        </w:tc>
        <w:tc>
          <w:tcPr>
            <w:tcW w:w="496" w:type="pct"/>
            <w:vAlign w:val="center"/>
          </w:tcPr>
          <w:p w:rsidR="006C378F" w:rsidRDefault="006C378F">
            <w:pPr>
              <w:jc w:val="center"/>
              <w:rPr>
                <w:color w:val="0000FF"/>
                <w:sz w:val="21"/>
                <w:szCs w:val="21"/>
                <w:u w:color="000000"/>
              </w:rPr>
            </w:pPr>
          </w:p>
        </w:tc>
        <w:tc>
          <w:tcPr>
            <w:tcW w:w="436" w:type="pct"/>
            <w:vAlign w:val="center"/>
          </w:tcPr>
          <w:p w:rsidR="006C378F" w:rsidRDefault="006C378F">
            <w:pPr>
              <w:widowControl/>
              <w:jc w:val="center"/>
              <w:textAlignment w:val="center"/>
              <w:rPr>
                <w:color w:val="0000FF"/>
                <w:kern w:val="0"/>
                <w:sz w:val="21"/>
                <w:szCs w:val="21"/>
                <w:u w:color="000000"/>
                <w:lang w:bidi="ar"/>
              </w:rPr>
            </w:pPr>
          </w:p>
        </w:tc>
        <w:tc>
          <w:tcPr>
            <w:tcW w:w="447" w:type="pct"/>
            <w:vAlign w:val="center"/>
          </w:tcPr>
          <w:p w:rsidR="006C378F" w:rsidRDefault="006C378F">
            <w:pPr>
              <w:widowControl/>
              <w:jc w:val="center"/>
              <w:textAlignment w:val="center"/>
              <w:rPr>
                <w:color w:val="0000FF"/>
                <w:kern w:val="0"/>
                <w:sz w:val="21"/>
                <w:szCs w:val="21"/>
                <w:u w:color="000000"/>
                <w:lang w:bidi="ar"/>
              </w:rPr>
            </w:pPr>
          </w:p>
        </w:tc>
        <w:tc>
          <w:tcPr>
            <w:tcW w:w="359" w:type="pct"/>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w:t>
            </w:r>
          </w:p>
        </w:tc>
        <w:tc>
          <w:tcPr>
            <w:tcW w:w="402" w:type="pct"/>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1.00</w:t>
            </w:r>
          </w:p>
        </w:tc>
      </w:tr>
      <w:tr w:rsidR="006C378F">
        <w:trPr>
          <w:trHeight w:val="340"/>
          <w:jc w:val="center"/>
        </w:trPr>
        <w:tc>
          <w:tcPr>
            <w:tcW w:w="1093" w:type="pct"/>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3</w:t>
            </w:r>
            <w:r>
              <w:rPr>
                <w:color w:val="0000FF"/>
                <w:kern w:val="0"/>
                <w:sz w:val="21"/>
                <w:szCs w:val="21"/>
                <w:u w:color="000000"/>
                <w:lang w:bidi="ar"/>
              </w:rPr>
              <w:t>、渣土防护率（</w:t>
            </w:r>
            <w:r>
              <w:rPr>
                <w:color w:val="0000FF"/>
                <w:kern w:val="0"/>
                <w:sz w:val="21"/>
                <w:szCs w:val="21"/>
                <w:u w:color="000000"/>
                <w:lang w:bidi="ar"/>
              </w:rPr>
              <w:t>%</w:t>
            </w:r>
            <w:r>
              <w:rPr>
                <w:color w:val="0000FF"/>
                <w:kern w:val="0"/>
                <w:sz w:val="21"/>
                <w:szCs w:val="21"/>
                <w:u w:color="000000"/>
                <w:lang w:bidi="ar"/>
              </w:rPr>
              <w:t>）</w:t>
            </w:r>
          </w:p>
        </w:tc>
        <w:tc>
          <w:tcPr>
            <w:tcW w:w="296" w:type="pct"/>
            <w:vAlign w:val="center"/>
          </w:tcPr>
          <w:p w:rsidR="006C378F" w:rsidRDefault="00E12213">
            <w:pPr>
              <w:widowControl/>
              <w:jc w:val="center"/>
              <w:textAlignment w:val="center"/>
              <w:rPr>
                <w:color w:val="0000FF"/>
                <w:sz w:val="21"/>
                <w:szCs w:val="21"/>
                <w:u w:color="000000"/>
              </w:rPr>
            </w:pPr>
            <w:r>
              <w:rPr>
                <w:color w:val="0000FF"/>
                <w:sz w:val="21"/>
                <w:szCs w:val="21"/>
                <w:u w:color="000000"/>
              </w:rPr>
              <w:t>90</w:t>
            </w:r>
          </w:p>
        </w:tc>
        <w:tc>
          <w:tcPr>
            <w:tcW w:w="421" w:type="pct"/>
            <w:vAlign w:val="center"/>
          </w:tcPr>
          <w:p w:rsidR="006C378F" w:rsidRDefault="00E12213">
            <w:pPr>
              <w:widowControl/>
              <w:jc w:val="center"/>
              <w:textAlignment w:val="center"/>
              <w:rPr>
                <w:color w:val="0000FF"/>
                <w:sz w:val="21"/>
                <w:szCs w:val="21"/>
                <w:u w:color="000000"/>
              </w:rPr>
            </w:pPr>
            <w:r>
              <w:rPr>
                <w:color w:val="0000FF"/>
                <w:sz w:val="21"/>
                <w:szCs w:val="21"/>
                <w:u w:color="000000"/>
              </w:rPr>
              <w:t>92</w:t>
            </w:r>
          </w:p>
        </w:tc>
        <w:tc>
          <w:tcPr>
            <w:tcW w:w="506" w:type="pct"/>
            <w:vAlign w:val="center"/>
          </w:tcPr>
          <w:p w:rsidR="006C378F" w:rsidRDefault="006C378F">
            <w:pPr>
              <w:jc w:val="center"/>
              <w:rPr>
                <w:color w:val="0000FF"/>
                <w:sz w:val="21"/>
                <w:szCs w:val="21"/>
                <w:u w:color="000000"/>
              </w:rPr>
            </w:pPr>
          </w:p>
        </w:tc>
        <w:tc>
          <w:tcPr>
            <w:tcW w:w="539" w:type="pct"/>
            <w:vAlign w:val="center"/>
          </w:tcPr>
          <w:p w:rsidR="006C378F" w:rsidRDefault="006C378F">
            <w:pPr>
              <w:jc w:val="center"/>
              <w:rPr>
                <w:color w:val="0000FF"/>
                <w:sz w:val="21"/>
                <w:szCs w:val="21"/>
                <w:u w:color="000000"/>
              </w:rPr>
            </w:pPr>
          </w:p>
        </w:tc>
        <w:tc>
          <w:tcPr>
            <w:tcW w:w="496" w:type="pct"/>
            <w:vAlign w:val="center"/>
          </w:tcPr>
          <w:p w:rsidR="006C378F" w:rsidRDefault="006C378F">
            <w:pPr>
              <w:jc w:val="center"/>
              <w:rPr>
                <w:color w:val="0000FF"/>
                <w:sz w:val="21"/>
                <w:szCs w:val="21"/>
                <w:u w:color="000000"/>
              </w:rPr>
            </w:pPr>
          </w:p>
        </w:tc>
        <w:tc>
          <w:tcPr>
            <w:tcW w:w="436" w:type="pct"/>
            <w:vAlign w:val="center"/>
          </w:tcPr>
          <w:p w:rsidR="006C378F" w:rsidRDefault="006C378F">
            <w:pPr>
              <w:widowControl/>
              <w:jc w:val="center"/>
              <w:textAlignment w:val="center"/>
              <w:rPr>
                <w:color w:val="0000FF"/>
                <w:sz w:val="21"/>
                <w:szCs w:val="21"/>
                <w:u w:color="000000"/>
              </w:rPr>
            </w:pPr>
          </w:p>
        </w:tc>
        <w:tc>
          <w:tcPr>
            <w:tcW w:w="447" w:type="pct"/>
            <w:vAlign w:val="center"/>
          </w:tcPr>
          <w:p w:rsidR="006C378F" w:rsidRDefault="006C378F">
            <w:pPr>
              <w:widowControl/>
              <w:jc w:val="center"/>
              <w:textAlignment w:val="center"/>
              <w:rPr>
                <w:color w:val="0000FF"/>
                <w:sz w:val="21"/>
                <w:szCs w:val="21"/>
                <w:u w:color="000000"/>
              </w:rPr>
            </w:pPr>
          </w:p>
        </w:tc>
        <w:tc>
          <w:tcPr>
            <w:tcW w:w="359" w:type="pct"/>
            <w:vAlign w:val="center"/>
          </w:tcPr>
          <w:p w:rsidR="006C378F" w:rsidRDefault="00E12213">
            <w:pPr>
              <w:widowControl/>
              <w:jc w:val="center"/>
              <w:textAlignment w:val="center"/>
              <w:rPr>
                <w:color w:val="0000FF"/>
                <w:sz w:val="21"/>
                <w:szCs w:val="21"/>
                <w:u w:color="000000"/>
              </w:rPr>
            </w:pPr>
            <w:r>
              <w:rPr>
                <w:color w:val="0000FF"/>
                <w:sz w:val="21"/>
                <w:szCs w:val="21"/>
                <w:u w:color="000000"/>
              </w:rPr>
              <w:t>90</w:t>
            </w:r>
          </w:p>
        </w:tc>
        <w:tc>
          <w:tcPr>
            <w:tcW w:w="402" w:type="pct"/>
            <w:vAlign w:val="center"/>
          </w:tcPr>
          <w:p w:rsidR="006C378F" w:rsidRDefault="00E12213">
            <w:pPr>
              <w:widowControl/>
              <w:jc w:val="center"/>
              <w:textAlignment w:val="center"/>
              <w:rPr>
                <w:color w:val="0000FF"/>
                <w:sz w:val="21"/>
                <w:szCs w:val="21"/>
                <w:u w:color="000000"/>
              </w:rPr>
            </w:pPr>
            <w:r>
              <w:rPr>
                <w:rFonts w:hint="eastAsia"/>
                <w:color w:val="0000FF"/>
                <w:sz w:val="21"/>
                <w:szCs w:val="21"/>
                <w:u w:color="000000"/>
              </w:rPr>
              <w:t>92</w:t>
            </w:r>
          </w:p>
        </w:tc>
      </w:tr>
      <w:tr w:rsidR="006C378F">
        <w:trPr>
          <w:trHeight w:val="340"/>
          <w:jc w:val="center"/>
        </w:trPr>
        <w:tc>
          <w:tcPr>
            <w:tcW w:w="1093" w:type="pct"/>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4</w:t>
            </w:r>
            <w:r>
              <w:rPr>
                <w:color w:val="0000FF"/>
                <w:kern w:val="0"/>
                <w:sz w:val="21"/>
                <w:szCs w:val="21"/>
                <w:u w:color="000000"/>
                <w:lang w:bidi="ar"/>
              </w:rPr>
              <w:t>、表土保护率（</w:t>
            </w:r>
            <w:r>
              <w:rPr>
                <w:color w:val="0000FF"/>
                <w:kern w:val="0"/>
                <w:sz w:val="21"/>
                <w:szCs w:val="21"/>
                <w:u w:color="000000"/>
                <w:lang w:bidi="ar"/>
              </w:rPr>
              <w:t>%</w:t>
            </w:r>
            <w:r>
              <w:rPr>
                <w:color w:val="0000FF"/>
                <w:kern w:val="0"/>
                <w:sz w:val="21"/>
                <w:szCs w:val="21"/>
                <w:u w:color="000000"/>
                <w:lang w:bidi="ar"/>
              </w:rPr>
              <w:t>）</w:t>
            </w:r>
          </w:p>
        </w:tc>
        <w:tc>
          <w:tcPr>
            <w:tcW w:w="296" w:type="pct"/>
            <w:vAlign w:val="center"/>
          </w:tcPr>
          <w:p w:rsidR="006C378F" w:rsidRDefault="00E12213">
            <w:pPr>
              <w:widowControl/>
              <w:jc w:val="center"/>
              <w:textAlignment w:val="center"/>
              <w:rPr>
                <w:color w:val="0000FF"/>
                <w:sz w:val="21"/>
                <w:szCs w:val="21"/>
                <w:u w:color="000000"/>
              </w:rPr>
            </w:pPr>
            <w:r>
              <w:rPr>
                <w:color w:val="0000FF"/>
                <w:sz w:val="21"/>
                <w:szCs w:val="21"/>
                <w:u w:color="000000"/>
              </w:rPr>
              <w:t>92</w:t>
            </w:r>
          </w:p>
        </w:tc>
        <w:tc>
          <w:tcPr>
            <w:tcW w:w="421" w:type="pct"/>
            <w:vAlign w:val="center"/>
          </w:tcPr>
          <w:p w:rsidR="006C378F" w:rsidRDefault="00E12213">
            <w:pPr>
              <w:widowControl/>
              <w:jc w:val="center"/>
              <w:textAlignment w:val="center"/>
              <w:rPr>
                <w:color w:val="0000FF"/>
                <w:sz w:val="21"/>
                <w:szCs w:val="21"/>
                <w:u w:color="000000"/>
              </w:rPr>
            </w:pPr>
            <w:r>
              <w:rPr>
                <w:color w:val="0000FF"/>
                <w:sz w:val="21"/>
                <w:szCs w:val="21"/>
                <w:u w:color="000000"/>
              </w:rPr>
              <w:t>92</w:t>
            </w:r>
          </w:p>
        </w:tc>
        <w:tc>
          <w:tcPr>
            <w:tcW w:w="506" w:type="pct"/>
            <w:vAlign w:val="center"/>
          </w:tcPr>
          <w:p w:rsidR="006C378F" w:rsidRDefault="006C378F">
            <w:pPr>
              <w:jc w:val="center"/>
              <w:rPr>
                <w:color w:val="0000FF"/>
                <w:sz w:val="21"/>
                <w:szCs w:val="21"/>
                <w:u w:color="000000"/>
              </w:rPr>
            </w:pPr>
          </w:p>
        </w:tc>
        <w:tc>
          <w:tcPr>
            <w:tcW w:w="539" w:type="pct"/>
            <w:vAlign w:val="center"/>
          </w:tcPr>
          <w:p w:rsidR="006C378F" w:rsidRDefault="006C378F">
            <w:pPr>
              <w:jc w:val="center"/>
              <w:rPr>
                <w:color w:val="0000FF"/>
                <w:sz w:val="21"/>
                <w:szCs w:val="21"/>
                <w:u w:color="000000"/>
              </w:rPr>
            </w:pPr>
          </w:p>
        </w:tc>
        <w:tc>
          <w:tcPr>
            <w:tcW w:w="496" w:type="pct"/>
            <w:vAlign w:val="center"/>
          </w:tcPr>
          <w:p w:rsidR="006C378F" w:rsidRDefault="006C378F">
            <w:pPr>
              <w:jc w:val="center"/>
              <w:rPr>
                <w:color w:val="0000FF"/>
                <w:sz w:val="21"/>
                <w:szCs w:val="21"/>
                <w:u w:color="000000"/>
              </w:rPr>
            </w:pPr>
          </w:p>
        </w:tc>
        <w:tc>
          <w:tcPr>
            <w:tcW w:w="436" w:type="pct"/>
            <w:vAlign w:val="center"/>
          </w:tcPr>
          <w:p w:rsidR="006C378F" w:rsidRDefault="006C378F">
            <w:pPr>
              <w:widowControl/>
              <w:jc w:val="center"/>
              <w:textAlignment w:val="center"/>
              <w:rPr>
                <w:color w:val="0000FF"/>
                <w:sz w:val="21"/>
                <w:szCs w:val="21"/>
                <w:u w:color="000000"/>
              </w:rPr>
            </w:pPr>
          </w:p>
        </w:tc>
        <w:tc>
          <w:tcPr>
            <w:tcW w:w="447" w:type="pct"/>
            <w:vAlign w:val="center"/>
          </w:tcPr>
          <w:p w:rsidR="006C378F" w:rsidRDefault="006C378F">
            <w:pPr>
              <w:widowControl/>
              <w:jc w:val="center"/>
              <w:textAlignment w:val="center"/>
              <w:rPr>
                <w:color w:val="0000FF"/>
                <w:sz w:val="21"/>
                <w:szCs w:val="21"/>
                <w:u w:color="000000"/>
              </w:rPr>
            </w:pPr>
          </w:p>
        </w:tc>
        <w:tc>
          <w:tcPr>
            <w:tcW w:w="359" w:type="pct"/>
            <w:vAlign w:val="center"/>
          </w:tcPr>
          <w:p w:rsidR="006C378F" w:rsidRDefault="00E12213">
            <w:pPr>
              <w:widowControl/>
              <w:jc w:val="center"/>
              <w:textAlignment w:val="center"/>
              <w:rPr>
                <w:color w:val="0000FF"/>
                <w:sz w:val="21"/>
                <w:szCs w:val="21"/>
                <w:u w:color="000000"/>
              </w:rPr>
            </w:pPr>
            <w:r>
              <w:rPr>
                <w:color w:val="0000FF"/>
                <w:sz w:val="21"/>
                <w:szCs w:val="21"/>
                <w:u w:color="000000"/>
              </w:rPr>
              <w:t>92</w:t>
            </w:r>
          </w:p>
        </w:tc>
        <w:tc>
          <w:tcPr>
            <w:tcW w:w="402" w:type="pct"/>
            <w:vAlign w:val="center"/>
          </w:tcPr>
          <w:p w:rsidR="006C378F" w:rsidRDefault="00E12213">
            <w:pPr>
              <w:widowControl/>
              <w:jc w:val="center"/>
              <w:textAlignment w:val="center"/>
              <w:rPr>
                <w:color w:val="0000FF"/>
                <w:sz w:val="21"/>
                <w:szCs w:val="21"/>
                <w:u w:color="000000"/>
              </w:rPr>
            </w:pPr>
            <w:r>
              <w:rPr>
                <w:color w:val="0000FF"/>
                <w:sz w:val="21"/>
                <w:szCs w:val="21"/>
                <w:u w:color="000000"/>
              </w:rPr>
              <w:t>92</w:t>
            </w:r>
          </w:p>
        </w:tc>
      </w:tr>
      <w:tr w:rsidR="006C378F">
        <w:trPr>
          <w:trHeight w:val="340"/>
          <w:jc w:val="center"/>
        </w:trPr>
        <w:tc>
          <w:tcPr>
            <w:tcW w:w="1093" w:type="pct"/>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5</w:t>
            </w:r>
            <w:r>
              <w:rPr>
                <w:color w:val="0000FF"/>
                <w:kern w:val="0"/>
                <w:sz w:val="21"/>
                <w:szCs w:val="21"/>
                <w:u w:color="000000"/>
                <w:lang w:bidi="ar"/>
              </w:rPr>
              <w:t>、林草植被恢复率（</w:t>
            </w:r>
            <w:r>
              <w:rPr>
                <w:color w:val="0000FF"/>
                <w:kern w:val="0"/>
                <w:sz w:val="21"/>
                <w:szCs w:val="21"/>
                <w:u w:color="000000"/>
                <w:lang w:bidi="ar"/>
              </w:rPr>
              <w:t>%</w:t>
            </w:r>
            <w:r>
              <w:rPr>
                <w:color w:val="0000FF"/>
                <w:kern w:val="0"/>
                <w:sz w:val="21"/>
                <w:szCs w:val="21"/>
                <w:u w:color="000000"/>
                <w:lang w:bidi="ar"/>
              </w:rPr>
              <w:t>）</w:t>
            </w:r>
          </w:p>
        </w:tc>
        <w:tc>
          <w:tcPr>
            <w:tcW w:w="296" w:type="pct"/>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w:t>
            </w:r>
          </w:p>
        </w:tc>
        <w:tc>
          <w:tcPr>
            <w:tcW w:w="421" w:type="pct"/>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97</w:t>
            </w:r>
          </w:p>
        </w:tc>
        <w:tc>
          <w:tcPr>
            <w:tcW w:w="506" w:type="pct"/>
            <w:vAlign w:val="center"/>
          </w:tcPr>
          <w:p w:rsidR="006C378F" w:rsidRDefault="006C378F">
            <w:pPr>
              <w:jc w:val="center"/>
              <w:rPr>
                <w:color w:val="0000FF"/>
                <w:sz w:val="21"/>
                <w:szCs w:val="21"/>
                <w:u w:color="000000"/>
              </w:rPr>
            </w:pPr>
          </w:p>
        </w:tc>
        <w:tc>
          <w:tcPr>
            <w:tcW w:w="539" w:type="pct"/>
            <w:vAlign w:val="center"/>
          </w:tcPr>
          <w:p w:rsidR="006C378F" w:rsidRDefault="006C378F">
            <w:pPr>
              <w:jc w:val="center"/>
              <w:rPr>
                <w:color w:val="0000FF"/>
                <w:sz w:val="21"/>
                <w:szCs w:val="21"/>
                <w:u w:color="000000"/>
              </w:rPr>
            </w:pPr>
          </w:p>
        </w:tc>
        <w:tc>
          <w:tcPr>
            <w:tcW w:w="496" w:type="pct"/>
            <w:vAlign w:val="center"/>
          </w:tcPr>
          <w:p w:rsidR="006C378F" w:rsidRDefault="006C378F">
            <w:pPr>
              <w:jc w:val="center"/>
              <w:rPr>
                <w:color w:val="0000FF"/>
                <w:sz w:val="21"/>
                <w:szCs w:val="21"/>
                <w:u w:color="000000"/>
              </w:rPr>
            </w:pPr>
          </w:p>
        </w:tc>
        <w:tc>
          <w:tcPr>
            <w:tcW w:w="436" w:type="pct"/>
            <w:vAlign w:val="center"/>
          </w:tcPr>
          <w:p w:rsidR="006C378F" w:rsidRDefault="006C378F">
            <w:pPr>
              <w:widowControl/>
              <w:jc w:val="center"/>
              <w:textAlignment w:val="center"/>
              <w:rPr>
                <w:color w:val="0000FF"/>
                <w:kern w:val="0"/>
                <w:sz w:val="21"/>
                <w:szCs w:val="21"/>
                <w:u w:color="000000"/>
                <w:lang w:bidi="ar"/>
              </w:rPr>
            </w:pPr>
          </w:p>
        </w:tc>
        <w:tc>
          <w:tcPr>
            <w:tcW w:w="447" w:type="pct"/>
            <w:vAlign w:val="center"/>
          </w:tcPr>
          <w:p w:rsidR="006C378F" w:rsidRDefault="006C378F">
            <w:pPr>
              <w:widowControl/>
              <w:jc w:val="center"/>
              <w:textAlignment w:val="center"/>
              <w:rPr>
                <w:color w:val="0000FF"/>
                <w:kern w:val="0"/>
                <w:sz w:val="21"/>
                <w:szCs w:val="21"/>
                <w:u w:color="000000"/>
                <w:lang w:bidi="ar"/>
              </w:rPr>
            </w:pPr>
          </w:p>
        </w:tc>
        <w:tc>
          <w:tcPr>
            <w:tcW w:w="359" w:type="pct"/>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w:t>
            </w:r>
          </w:p>
        </w:tc>
        <w:tc>
          <w:tcPr>
            <w:tcW w:w="402" w:type="pct"/>
            <w:vAlign w:val="center"/>
          </w:tcPr>
          <w:p w:rsidR="006C378F" w:rsidRDefault="00E12213">
            <w:pPr>
              <w:widowControl/>
              <w:jc w:val="center"/>
              <w:textAlignment w:val="center"/>
              <w:rPr>
                <w:color w:val="0000FF"/>
                <w:sz w:val="21"/>
                <w:szCs w:val="21"/>
                <w:u w:color="000000"/>
              </w:rPr>
            </w:pPr>
            <w:r>
              <w:rPr>
                <w:color w:val="0000FF"/>
                <w:kern w:val="0"/>
                <w:sz w:val="21"/>
                <w:szCs w:val="21"/>
                <w:u w:color="000000"/>
                <w:lang w:bidi="ar"/>
              </w:rPr>
              <w:t>97</w:t>
            </w:r>
          </w:p>
        </w:tc>
      </w:tr>
      <w:tr w:rsidR="006C378F">
        <w:trPr>
          <w:trHeight w:val="340"/>
          <w:jc w:val="center"/>
        </w:trPr>
        <w:tc>
          <w:tcPr>
            <w:tcW w:w="1093" w:type="pct"/>
            <w:vAlign w:val="center"/>
          </w:tcPr>
          <w:p w:rsidR="006C378F" w:rsidRDefault="00E12213">
            <w:pPr>
              <w:widowControl/>
              <w:jc w:val="center"/>
              <w:textAlignment w:val="center"/>
              <w:rPr>
                <w:color w:val="0000FF"/>
                <w:kern w:val="0"/>
                <w:sz w:val="21"/>
                <w:szCs w:val="21"/>
                <w:u w:color="000000"/>
                <w:lang w:bidi="ar"/>
              </w:rPr>
            </w:pPr>
            <w:r>
              <w:rPr>
                <w:color w:val="0000FF"/>
                <w:kern w:val="0"/>
                <w:sz w:val="21"/>
                <w:szCs w:val="21"/>
                <w:u w:color="000000"/>
                <w:lang w:bidi="ar"/>
              </w:rPr>
              <w:t>6</w:t>
            </w:r>
            <w:r>
              <w:rPr>
                <w:color w:val="0000FF"/>
                <w:kern w:val="0"/>
                <w:sz w:val="21"/>
                <w:szCs w:val="21"/>
                <w:u w:color="000000"/>
                <w:lang w:bidi="ar"/>
              </w:rPr>
              <w:t>、林草覆盖率（</w:t>
            </w:r>
            <w:r>
              <w:rPr>
                <w:color w:val="0000FF"/>
                <w:kern w:val="0"/>
                <w:sz w:val="21"/>
                <w:szCs w:val="21"/>
                <w:u w:color="000000"/>
                <w:lang w:bidi="ar"/>
              </w:rPr>
              <w:t>%</w:t>
            </w:r>
            <w:r>
              <w:rPr>
                <w:color w:val="0000FF"/>
                <w:kern w:val="0"/>
                <w:sz w:val="21"/>
                <w:szCs w:val="21"/>
                <w:u w:color="000000"/>
                <w:lang w:bidi="ar"/>
              </w:rPr>
              <w:t>）</w:t>
            </w:r>
          </w:p>
        </w:tc>
        <w:tc>
          <w:tcPr>
            <w:tcW w:w="296" w:type="pct"/>
            <w:vAlign w:val="center"/>
          </w:tcPr>
          <w:p w:rsidR="006C378F" w:rsidRDefault="00E12213">
            <w:pPr>
              <w:widowControl/>
              <w:jc w:val="center"/>
              <w:textAlignment w:val="center"/>
              <w:rPr>
                <w:color w:val="0000FF"/>
                <w:kern w:val="0"/>
                <w:sz w:val="21"/>
                <w:szCs w:val="21"/>
                <w:u w:color="000000"/>
                <w:lang w:bidi="ar"/>
              </w:rPr>
            </w:pPr>
            <w:r>
              <w:rPr>
                <w:color w:val="0000FF"/>
                <w:kern w:val="0"/>
                <w:sz w:val="21"/>
                <w:szCs w:val="21"/>
                <w:u w:color="000000"/>
                <w:lang w:bidi="ar"/>
              </w:rPr>
              <w:t>—</w:t>
            </w:r>
          </w:p>
        </w:tc>
        <w:tc>
          <w:tcPr>
            <w:tcW w:w="421" w:type="pct"/>
            <w:vAlign w:val="center"/>
          </w:tcPr>
          <w:p w:rsidR="006C378F" w:rsidRDefault="00E12213">
            <w:pPr>
              <w:widowControl/>
              <w:jc w:val="center"/>
              <w:textAlignment w:val="center"/>
              <w:rPr>
                <w:color w:val="0000FF"/>
                <w:kern w:val="0"/>
                <w:sz w:val="21"/>
                <w:szCs w:val="21"/>
                <w:u w:color="000000"/>
                <w:lang w:bidi="ar"/>
              </w:rPr>
            </w:pPr>
            <w:r>
              <w:rPr>
                <w:color w:val="0000FF"/>
                <w:kern w:val="0"/>
                <w:sz w:val="21"/>
                <w:szCs w:val="21"/>
                <w:u w:color="000000"/>
                <w:lang w:bidi="ar"/>
              </w:rPr>
              <w:t>23</w:t>
            </w:r>
          </w:p>
        </w:tc>
        <w:tc>
          <w:tcPr>
            <w:tcW w:w="506" w:type="pct"/>
            <w:vAlign w:val="center"/>
          </w:tcPr>
          <w:p w:rsidR="006C378F" w:rsidRDefault="006C378F">
            <w:pPr>
              <w:widowControl/>
              <w:jc w:val="center"/>
              <w:textAlignment w:val="center"/>
              <w:rPr>
                <w:color w:val="0000FF"/>
                <w:kern w:val="0"/>
                <w:sz w:val="21"/>
                <w:szCs w:val="21"/>
                <w:u w:color="000000"/>
                <w:lang w:bidi="ar"/>
              </w:rPr>
            </w:pPr>
          </w:p>
        </w:tc>
        <w:tc>
          <w:tcPr>
            <w:tcW w:w="539" w:type="pct"/>
            <w:vAlign w:val="center"/>
          </w:tcPr>
          <w:p w:rsidR="006C378F" w:rsidRDefault="006C378F">
            <w:pPr>
              <w:widowControl/>
              <w:jc w:val="center"/>
              <w:textAlignment w:val="center"/>
              <w:rPr>
                <w:color w:val="0000FF"/>
                <w:kern w:val="0"/>
                <w:sz w:val="21"/>
                <w:szCs w:val="21"/>
                <w:u w:color="000000"/>
                <w:lang w:bidi="ar"/>
              </w:rPr>
            </w:pPr>
          </w:p>
        </w:tc>
        <w:tc>
          <w:tcPr>
            <w:tcW w:w="496" w:type="pct"/>
            <w:vAlign w:val="center"/>
          </w:tcPr>
          <w:p w:rsidR="006C378F" w:rsidRDefault="006C378F">
            <w:pPr>
              <w:widowControl/>
              <w:jc w:val="center"/>
              <w:textAlignment w:val="center"/>
              <w:rPr>
                <w:color w:val="0000FF"/>
                <w:kern w:val="0"/>
                <w:sz w:val="21"/>
                <w:szCs w:val="21"/>
                <w:u w:color="000000"/>
                <w:lang w:bidi="ar"/>
              </w:rPr>
            </w:pPr>
          </w:p>
        </w:tc>
        <w:tc>
          <w:tcPr>
            <w:tcW w:w="436" w:type="pct"/>
            <w:vAlign w:val="center"/>
          </w:tcPr>
          <w:p w:rsidR="006C378F" w:rsidRDefault="006C378F">
            <w:pPr>
              <w:widowControl/>
              <w:jc w:val="center"/>
              <w:textAlignment w:val="center"/>
              <w:rPr>
                <w:color w:val="0000FF"/>
                <w:kern w:val="0"/>
                <w:sz w:val="21"/>
                <w:szCs w:val="21"/>
                <w:u w:color="000000"/>
                <w:lang w:bidi="ar"/>
              </w:rPr>
            </w:pPr>
          </w:p>
        </w:tc>
        <w:tc>
          <w:tcPr>
            <w:tcW w:w="447" w:type="pct"/>
            <w:vAlign w:val="center"/>
          </w:tcPr>
          <w:p w:rsidR="006C378F" w:rsidRDefault="006C378F">
            <w:pPr>
              <w:widowControl/>
              <w:jc w:val="center"/>
              <w:textAlignment w:val="center"/>
              <w:rPr>
                <w:color w:val="0000FF"/>
                <w:kern w:val="0"/>
                <w:sz w:val="21"/>
                <w:szCs w:val="21"/>
                <w:u w:color="000000"/>
                <w:lang w:bidi="ar"/>
              </w:rPr>
            </w:pPr>
          </w:p>
        </w:tc>
        <w:tc>
          <w:tcPr>
            <w:tcW w:w="359" w:type="pct"/>
            <w:vAlign w:val="center"/>
          </w:tcPr>
          <w:p w:rsidR="006C378F" w:rsidRDefault="00E12213">
            <w:pPr>
              <w:widowControl/>
              <w:jc w:val="center"/>
              <w:textAlignment w:val="center"/>
              <w:rPr>
                <w:color w:val="0000FF"/>
                <w:kern w:val="0"/>
                <w:sz w:val="21"/>
                <w:szCs w:val="21"/>
                <w:u w:color="000000"/>
                <w:lang w:bidi="ar"/>
              </w:rPr>
            </w:pPr>
            <w:r>
              <w:rPr>
                <w:color w:val="0000FF"/>
                <w:kern w:val="0"/>
                <w:sz w:val="21"/>
                <w:szCs w:val="21"/>
                <w:u w:color="000000"/>
                <w:lang w:bidi="ar"/>
              </w:rPr>
              <w:t>—</w:t>
            </w:r>
          </w:p>
        </w:tc>
        <w:tc>
          <w:tcPr>
            <w:tcW w:w="402" w:type="pct"/>
            <w:vAlign w:val="center"/>
          </w:tcPr>
          <w:p w:rsidR="006C378F" w:rsidRDefault="00E12213">
            <w:pPr>
              <w:widowControl/>
              <w:jc w:val="center"/>
              <w:textAlignment w:val="center"/>
              <w:rPr>
                <w:color w:val="0000FF"/>
                <w:kern w:val="0"/>
                <w:sz w:val="21"/>
                <w:szCs w:val="21"/>
                <w:u w:color="000000"/>
                <w:lang w:bidi="ar"/>
              </w:rPr>
            </w:pPr>
            <w:r>
              <w:rPr>
                <w:rFonts w:hint="eastAsia"/>
                <w:color w:val="0000FF"/>
                <w:kern w:val="0"/>
                <w:sz w:val="21"/>
                <w:szCs w:val="21"/>
                <w:u w:color="000000"/>
                <w:lang w:bidi="ar"/>
              </w:rPr>
              <w:t>6</w:t>
            </w:r>
          </w:p>
        </w:tc>
      </w:tr>
    </w:tbl>
    <w:p w:rsidR="006C378F" w:rsidRDefault="00E12213">
      <w:pPr>
        <w:pStyle w:val="13"/>
        <w:spacing w:line="240" w:lineRule="auto"/>
        <w:ind w:firstLine="420"/>
        <w:rPr>
          <w:color w:val="0000FF"/>
          <w:sz w:val="21"/>
          <w:szCs w:val="21"/>
          <w:u w:color="000000"/>
        </w:rPr>
      </w:pPr>
      <w:r>
        <w:rPr>
          <w:color w:val="0000FF"/>
          <w:sz w:val="21"/>
          <w:szCs w:val="21"/>
          <w:u w:color="000000"/>
        </w:rPr>
        <w:t>注：</w:t>
      </w:r>
      <w:r>
        <w:rPr>
          <w:color w:val="0000FF"/>
          <w:sz w:val="21"/>
          <w:szCs w:val="21"/>
          <w:u w:color="000000"/>
        </w:rPr>
        <w:t>1</w:t>
      </w:r>
      <w:r>
        <w:rPr>
          <w:color w:val="0000FF"/>
          <w:sz w:val="21"/>
          <w:szCs w:val="21"/>
          <w:u w:color="000000"/>
        </w:rPr>
        <w:t>、根据《生产建设项目水土流失防治标准》（</w:t>
      </w:r>
      <w:r>
        <w:rPr>
          <w:color w:val="0000FF"/>
          <w:sz w:val="21"/>
          <w:szCs w:val="21"/>
          <w:u w:color="000000"/>
        </w:rPr>
        <w:t>GB/T 50434—2018</w:t>
      </w:r>
      <w:r>
        <w:rPr>
          <w:color w:val="0000FF"/>
          <w:sz w:val="21"/>
          <w:szCs w:val="21"/>
          <w:u w:color="000000"/>
        </w:rPr>
        <w:t>），</w:t>
      </w:r>
      <w:r>
        <w:rPr>
          <w:color w:val="0000FF"/>
          <w:sz w:val="21"/>
          <w:szCs w:val="21"/>
          <w:u w:color="000000"/>
        </w:rPr>
        <w:t>“</w:t>
      </w:r>
      <w:r>
        <w:rPr>
          <w:color w:val="0000FF"/>
          <w:sz w:val="21"/>
          <w:szCs w:val="21"/>
          <w:u w:color="000000"/>
        </w:rPr>
        <w:t>土壤流失控制比在轻度侵蚀为主的区域不应小于</w:t>
      </w:r>
      <w:r>
        <w:rPr>
          <w:color w:val="0000FF"/>
          <w:sz w:val="21"/>
          <w:szCs w:val="21"/>
          <w:u w:color="000000"/>
        </w:rPr>
        <w:t>1”</w:t>
      </w:r>
      <w:r>
        <w:rPr>
          <w:color w:val="0000FF"/>
          <w:sz w:val="21"/>
          <w:szCs w:val="21"/>
          <w:u w:color="000000"/>
        </w:rPr>
        <w:t>，项目区原生侵蚀程度以</w:t>
      </w:r>
      <w:r>
        <w:rPr>
          <w:rFonts w:hint="eastAsia"/>
          <w:color w:val="0000FF"/>
          <w:sz w:val="21"/>
          <w:szCs w:val="21"/>
          <w:u w:color="000000"/>
        </w:rPr>
        <w:t>轻</w:t>
      </w:r>
      <w:r>
        <w:rPr>
          <w:color w:val="0000FF"/>
          <w:sz w:val="21"/>
          <w:szCs w:val="21"/>
          <w:u w:color="000000"/>
        </w:rPr>
        <w:t>度为主，故目标值提高至</w:t>
      </w:r>
      <w:r>
        <w:rPr>
          <w:color w:val="0000FF"/>
          <w:sz w:val="21"/>
          <w:szCs w:val="21"/>
          <w:u w:color="000000"/>
        </w:rPr>
        <w:t>1.00</w:t>
      </w:r>
      <w:r>
        <w:rPr>
          <w:color w:val="0000FF"/>
          <w:sz w:val="21"/>
          <w:szCs w:val="21"/>
          <w:u w:color="000000"/>
        </w:rPr>
        <w:t>。</w:t>
      </w:r>
    </w:p>
    <w:p w:rsidR="006C378F" w:rsidRDefault="00E12213">
      <w:pPr>
        <w:pStyle w:val="BZDL1"/>
        <w:spacing w:beforeLines="0" w:before="0" w:afterLines="0" w:after="0" w:line="360" w:lineRule="auto"/>
        <w:ind w:firstLine="420"/>
        <w:rPr>
          <w:rFonts w:ascii="Times New Roman"/>
          <w:sz w:val="24"/>
          <w:szCs w:val="16"/>
        </w:rPr>
      </w:pPr>
      <w:r>
        <w:rPr>
          <w:rFonts w:hint="eastAsia"/>
          <w:color w:val="0000FF"/>
          <w:sz w:val="21"/>
          <w:szCs w:val="21"/>
          <w:u w:color="000000"/>
        </w:rPr>
        <w:t>2、</w:t>
      </w:r>
      <w:r>
        <w:rPr>
          <w:color w:val="0000FF"/>
          <w:sz w:val="21"/>
          <w:szCs w:val="21"/>
          <w:u w:color="000000"/>
        </w:rPr>
        <w:t>根据</w:t>
      </w:r>
      <w:r>
        <w:rPr>
          <w:color w:val="0000FF"/>
          <w:sz w:val="21"/>
          <w:szCs w:val="21"/>
          <w:u w:color="000000"/>
        </w:rPr>
        <w:t>“</w:t>
      </w:r>
      <w:r>
        <w:rPr>
          <w:color w:val="0000FF"/>
          <w:sz w:val="21"/>
          <w:szCs w:val="21"/>
          <w:u w:color="000000"/>
        </w:rPr>
        <w:t>对林草植被有限制的项目，林草覆盖率可按相关规定适当调整</w:t>
      </w:r>
      <w:r>
        <w:rPr>
          <w:color w:val="0000FF"/>
          <w:sz w:val="21"/>
          <w:szCs w:val="21"/>
          <w:u w:color="000000"/>
        </w:rPr>
        <w:t>”</w:t>
      </w:r>
      <w:r>
        <w:rPr>
          <w:color w:val="0000FF"/>
          <w:sz w:val="21"/>
          <w:szCs w:val="21"/>
          <w:u w:color="000000"/>
        </w:rPr>
        <w:t>。故本项目林草覆盖率</w:t>
      </w:r>
      <w:r>
        <w:rPr>
          <w:rFonts w:hint="eastAsia"/>
          <w:color w:val="0000FF"/>
          <w:sz w:val="21"/>
          <w:szCs w:val="21"/>
          <w:u w:color="000000"/>
        </w:rPr>
        <w:t>可</w:t>
      </w:r>
      <w:r>
        <w:rPr>
          <w:color w:val="0000FF"/>
          <w:sz w:val="21"/>
          <w:szCs w:val="21"/>
          <w:u w:color="000000"/>
        </w:rPr>
        <w:t>调整至</w:t>
      </w:r>
      <w:r>
        <w:rPr>
          <w:rFonts w:hint="eastAsia"/>
          <w:color w:val="0000FF"/>
          <w:sz w:val="21"/>
          <w:szCs w:val="21"/>
          <w:u w:color="000000"/>
        </w:rPr>
        <w:t>5</w:t>
      </w:r>
      <w:r>
        <w:rPr>
          <w:color w:val="0000FF"/>
          <w:sz w:val="21"/>
          <w:szCs w:val="21"/>
          <w:u w:color="000000"/>
        </w:rPr>
        <w:t>%</w:t>
      </w:r>
      <w:r>
        <w:rPr>
          <w:rFonts w:ascii="Times New Roman" w:hint="eastAsia"/>
          <w:sz w:val="24"/>
          <w:szCs w:val="16"/>
        </w:rPr>
        <w:t>。</w:t>
      </w:r>
    </w:p>
    <w:p w:rsidR="006C378F" w:rsidRDefault="00E12213">
      <w:pPr>
        <w:pStyle w:val="2"/>
      </w:pPr>
      <w:bookmarkStart w:id="27" w:name="_Toc24082"/>
      <w:bookmarkStart w:id="28" w:name="_Toc9831"/>
      <w:bookmarkStart w:id="29" w:name="_Toc513021502"/>
      <w:bookmarkStart w:id="30" w:name="_Toc62179999"/>
      <w:bookmarkStart w:id="31" w:name="_Toc511994341"/>
      <w:bookmarkStart w:id="32" w:name="_Toc11323"/>
      <w:r>
        <w:t>1.1</w:t>
      </w:r>
      <w:r>
        <w:rPr>
          <w:rFonts w:hint="eastAsia"/>
        </w:rPr>
        <w:t>3</w:t>
      </w:r>
      <w:r>
        <w:t>方案设计水平年</w:t>
      </w:r>
      <w:bookmarkEnd w:id="27"/>
      <w:bookmarkEnd w:id="28"/>
      <w:bookmarkEnd w:id="29"/>
      <w:bookmarkEnd w:id="30"/>
      <w:bookmarkEnd w:id="31"/>
      <w:bookmarkEnd w:id="32"/>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本</w:t>
      </w:r>
      <w:r>
        <w:rPr>
          <w:rFonts w:ascii="Times New Roman"/>
          <w:sz w:val="24"/>
          <w:szCs w:val="16"/>
        </w:rPr>
        <w:t>项目为建设类项目，根据《</w:t>
      </w:r>
      <w:r>
        <w:rPr>
          <w:rFonts w:ascii="Times New Roman" w:hint="eastAsia"/>
          <w:sz w:val="24"/>
          <w:szCs w:val="16"/>
        </w:rPr>
        <w:t>生产</w:t>
      </w:r>
      <w:r>
        <w:rPr>
          <w:rFonts w:ascii="Times New Roman"/>
          <w:sz w:val="24"/>
          <w:szCs w:val="16"/>
        </w:rPr>
        <w:t>建设项目水土保持技术</w:t>
      </w:r>
      <w:r>
        <w:rPr>
          <w:rFonts w:ascii="Times New Roman" w:hint="eastAsia"/>
          <w:sz w:val="24"/>
          <w:szCs w:val="16"/>
        </w:rPr>
        <w:t>标准</w:t>
      </w:r>
      <w:r>
        <w:rPr>
          <w:rFonts w:ascii="Times New Roman"/>
          <w:sz w:val="24"/>
          <w:szCs w:val="16"/>
        </w:rPr>
        <w:t>》（</w:t>
      </w:r>
      <w:r>
        <w:rPr>
          <w:rFonts w:ascii="Times New Roman"/>
          <w:sz w:val="24"/>
          <w:szCs w:val="16"/>
        </w:rPr>
        <w:t>GB50433-20</w:t>
      </w:r>
      <w:r>
        <w:rPr>
          <w:rFonts w:ascii="Times New Roman" w:hint="eastAsia"/>
          <w:sz w:val="24"/>
          <w:szCs w:val="16"/>
        </w:rPr>
        <w:t>1</w:t>
      </w:r>
      <w:r>
        <w:rPr>
          <w:rFonts w:ascii="Times New Roman"/>
          <w:sz w:val="24"/>
          <w:szCs w:val="16"/>
        </w:rPr>
        <w:t>8</w:t>
      </w:r>
      <w:r>
        <w:rPr>
          <w:rFonts w:ascii="Times New Roman"/>
          <w:sz w:val="24"/>
          <w:szCs w:val="16"/>
        </w:rPr>
        <w:t>）中</w:t>
      </w:r>
      <w:r>
        <w:rPr>
          <w:rFonts w:ascii="Times New Roman"/>
          <w:sz w:val="24"/>
          <w:szCs w:val="16"/>
        </w:rPr>
        <w:t>“</w:t>
      </w:r>
      <w:r>
        <w:rPr>
          <w:rFonts w:ascii="Times New Roman"/>
          <w:sz w:val="24"/>
          <w:szCs w:val="16"/>
        </w:rPr>
        <w:t>设计水平年应为主体工程完工后的当年或后一年</w:t>
      </w:r>
      <w:r>
        <w:rPr>
          <w:rFonts w:ascii="Times New Roman"/>
          <w:sz w:val="24"/>
          <w:szCs w:val="16"/>
        </w:rPr>
        <w:t>”</w:t>
      </w:r>
      <w:r>
        <w:rPr>
          <w:rFonts w:ascii="Times New Roman"/>
          <w:sz w:val="24"/>
          <w:szCs w:val="16"/>
        </w:rPr>
        <w:t>的规定，结合工程建设工期安排，本水土保持方案的设计水平年为主体工程完工后的下一年，即</w:t>
      </w:r>
      <w:r>
        <w:rPr>
          <w:rFonts w:ascii="Times New Roman"/>
          <w:sz w:val="24"/>
          <w:szCs w:val="16"/>
        </w:rPr>
        <w:t>2020</w:t>
      </w:r>
      <w:r>
        <w:rPr>
          <w:rFonts w:ascii="Times New Roman"/>
          <w:sz w:val="24"/>
          <w:szCs w:val="16"/>
        </w:rPr>
        <w:t>年。</w:t>
      </w:r>
    </w:p>
    <w:p w:rsidR="006C378F" w:rsidRDefault="00E12213">
      <w:pPr>
        <w:pStyle w:val="2"/>
      </w:pPr>
      <w:bookmarkStart w:id="33" w:name="_Toc14326"/>
      <w:r>
        <w:t>1.2</w:t>
      </w:r>
      <w:r>
        <w:t>编制依据</w:t>
      </w:r>
      <w:bookmarkEnd w:id="33"/>
    </w:p>
    <w:p w:rsidR="006C378F" w:rsidRDefault="00E12213">
      <w:pPr>
        <w:pStyle w:val="3"/>
      </w:pPr>
      <w:bookmarkStart w:id="34" w:name="_Toc178342477"/>
      <w:bookmarkStart w:id="35" w:name="_Toc178790356"/>
      <w:bookmarkStart w:id="36" w:name="_Toc197241244"/>
      <w:bookmarkStart w:id="37" w:name="_Toc158454339"/>
      <w:bookmarkStart w:id="38" w:name="_Toc178223208"/>
      <w:bookmarkStart w:id="39" w:name="_Toc192120386"/>
      <w:bookmarkStart w:id="40" w:name="_Toc171826783"/>
      <w:bookmarkStart w:id="41" w:name="_Toc171827710"/>
      <w:bookmarkStart w:id="42" w:name="_Toc171827815"/>
      <w:bookmarkStart w:id="43" w:name="_Toc192944256"/>
      <w:bookmarkStart w:id="44" w:name="_Toc177489038"/>
      <w:bookmarkStart w:id="45" w:name="_Toc171826979"/>
      <w:r>
        <w:t>1.2.1</w:t>
      </w:r>
      <w:r>
        <w:t>法律法规</w:t>
      </w:r>
      <w:bookmarkEnd w:id="34"/>
      <w:bookmarkEnd w:id="35"/>
      <w:bookmarkEnd w:id="36"/>
      <w:bookmarkEnd w:id="37"/>
      <w:bookmarkEnd w:id="38"/>
      <w:bookmarkEnd w:id="39"/>
      <w:bookmarkEnd w:id="40"/>
      <w:bookmarkEnd w:id="41"/>
      <w:bookmarkEnd w:id="42"/>
      <w:bookmarkEnd w:id="43"/>
      <w:bookmarkEnd w:id="44"/>
      <w:bookmarkEnd w:id="45"/>
    </w:p>
    <w:p w:rsidR="006C378F" w:rsidRDefault="00E12213">
      <w:pPr>
        <w:adjustRightInd/>
        <w:snapToGrid/>
        <w:spacing w:line="360" w:lineRule="auto"/>
        <w:ind w:firstLine="560"/>
        <w:rPr>
          <w:szCs w:val="24"/>
        </w:rPr>
      </w:pPr>
      <w:r>
        <w:rPr>
          <w:szCs w:val="24"/>
        </w:rPr>
        <w:t>（</w:t>
      </w:r>
      <w:r>
        <w:rPr>
          <w:szCs w:val="24"/>
        </w:rPr>
        <w:t>1</w:t>
      </w:r>
      <w:r>
        <w:rPr>
          <w:szCs w:val="24"/>
        </w:rPr>
        <w:t>）《中华人民共和国水土保持法》（</w:t>
      </w:r>
      <w:r>
        <w:rPr>
          <w:szCs w:val="24"/>
        </w:rPr>
        <w:t>2011</w:t>
      </w:r>
      <w:r>
        <w:rPr>
          <w:szCs w:val="24"/>
        </w:rPr>
        <w:t>的</w:t>
      </w:r>
      <w:r>
        <w:rPr>
          <w:szCs w:val="24"/>
        </w:rPr>
        <w:t>3</w:t>
      </w:r>
      <w:r>
        <w:rPr>
          <w:szCs w:val="24"/>
        </w:rPr>
        <w:t>月</w:t>
      </w:r>
      <w:r>
        <w:rPr>
          <w:szCs w:val="24"/>
        </w:rPr>
        <w:t>1</w:t>
      </w:r>
      <w:r>
        <w:rPr>
          <w:szCs w:val="24"/>
        </w:rPr>
        <w:t>日实施）；</w:t>
      </w:r>
    </w:p>
    <w:p w:rsidR="006C378F" w:rsidRDefault="00E12213">
      <w:pPr>
        <w:adjustRightInd/>
        <w:snapToGrid/>
        <w:spacing w:line="360" w:lineRule="auto"/>
        <w:ind w:firstLine="560"/>
        <w:rPr>
          <w:szCs w:val="24"/>
        </w:rPr>
      </w:pPr>
      <w:bookmarkStart w:id="46" w:name="_Toc191756757"/>
      <w:r>
        <w:rPr>
          <w:szCs w:val="24"/>
        </w:rPr>
        <w:t>（</w:t>
      </w:r>
      <w:r>
        <w:rPr>
          <w:szCs w:val="24"/>
        </w:rPr>
        <w:t>2</w:t>
      </w:r>
      <w:r>
        <w:rPr>
          <w:szCs w:val="24"/>
        </w:rPr>
        <w:t>）《中华人民共和国水法》（</w:t>
      </w:r>
      <w:r>
        <w:rPr>
          <w:szCs w:val="24"/>
        </w:rPr>
        <w:t>2016</w:t>
      </w:r>
      <w:r>
        <w:rPr>
          <w:szCs w:val="24"/>
        </w:rPr>
        <w:t>年</w:t>
      </w:r>
      <w:r>
        <w:rPr>
          <w:szCs w:val="24"/>
        </w:rPr>
        <w:t>7</w:t>
      </w:r>
      <w:r>
        <w:rPr>
          <w:szCs w:val="24"/>
        </w:rPr>
        <w:t>月</w:t>
      </w:r>
      <w:r>
        <w:rPr>
          <w:szCs w:val="24"/>
        </w:rPr>
        <w:t>2</w:t>
      </w:r>
      <w:r>
        <w:rPr>
          <w:szCs w:val="24"/>
        </w:rPr>
        <w:t>日修改）；</w:t>
      </w:r>
      <w:bookmarkEnd w:id="46"/>
    </w:p>
    <w:p w:rsidR="006C378F" w:rsidRDefault="00E12213">
      <w:pPr>
        <w:adjustRightInd/>
        <w:snapToGrid/>
        <w:spacing w:line="360" w:lineRule="auto"/>
        <w:ind w:firstLine="560"/>
        <w:rPr>
          <w:szCs w:val="24"/>
        </w:rPr>
      </w:pPr>
      <w:r>
        <w:rPr>
          <w:szCs w:val="24"/>
        </w:rPr>
        <w:t>（</w:t>
      </w:r>
      <w:r>
        <w:rPr>
          <w:szCs w:val="24"/>
        </w:rPr>
        <w:t>3</w:t>
      </w:r>
      <w:r>
        <w:rPr>
          <w:szCs w:val="24"/>
        </w:rPr>
        <w:t>）《中华人民共和国环境保护法》（</w:t>
      </w:r>
      <w:r>
        <w:rPr>
          <w:szCs w:val="24"/>
        </w:rPr>
        <w:t>2015</w:t>
      </w:r>
      <w:r>
        <w:rPr>
          <w:szCs w:val="24"/>
        </w:rPr>
        <w:t>年</w:t>
      </w:r>
      <w:r>
        <w:rPr>
          <w:szCs w:val="24"/>
        </w:rPr>
        <w:t>1</w:t>
      </w:r>
      <w:r>
        <w:rPr>
          <w:szCs w:val="24"/>
        </w:rPr>
        <w:t>月</w:t>
      </w:r>
      <w:r>
        <w:rPr>
          <w:szCs w:val="24"/>
        </w:rPr>
        <w:t>1</w:t>
      </w:r>
      <w:r>
        <w:rPr>
          <w:szCs w:val="24"/>
        </w:rPr>
        <w:t>日施行）；</w:t>
      </w:r>
    </w:p>
    <w:p w:rsidR="006C378F" w:rsidRDefault="00E12213">
      <w:pPr>
        <w:adjustRightInd/>
        <w:snapToGrid/>
        <w:spacing w:line="360" w:lineRule="auto"/>
        <w:ind w:firstLine="560"/>
        <w:rPr>
          <w:szCs w:val="24"/>
        </w:rPr>
      </w:pPr>
      <w:r>
        <w:rPr>
          <w:szCs w:val="24"/>
        </w:rPr>
        <w:t>（</w:t>
      </w:r>
      <w:r>
        <w:rPr>
          <w:szCs w:val="24"/>
        </w:rPr>
        <w:t>4</w:t>
      </w:r>
      <w:r>
        <w:rPr>
          <w:szCs w:val="24"/>
        </w:rPr>
        <w:t>）《中华人民共和国土地管理法》（</w:t>
      </w:r>
      <w:r>
        <w:rPr>
          <w:szCs w:val="24"/>
        </w:rPr>
        <w:t>2004</w:t>
      </w:r>
      <w:r>
        <w:rPr>
          <w:szCs w:val="24"/>
        </w:rPr>
        <w:t>年</w:t>
      </w:r>
      <w:r>
        <w:rPr>
          <w:szCs w:val="24"/>
        </w:rPr>
        <w:t>8</w:t>
      </w:r>
      <w:r>
        <w:rPr>
          <w:szCs w:val="24"/>
        </w:rPr>
        <w:t>月</w:t>
      </w:r>
      <w:r>
        <w:rPr>
          <w:szCs w:val="24"/>
        </w:rPr>
        <w:t>28</w:t>
      </w:r>
      <w:r>
        <w:rPr>
          <w:szCs w:val="24"/>
        </w:rPr>
        <w:t>日实施）；</w:t>
      </w:r>
    </w:p>
    <w:p w:rsidR="006C378F" w:rsidRDefault="00E12213">
      <w:pPr>
        <w:adjustRightInd/>
        <w:snapToGrid/>
        <w:spacing w:line="360" w:lineRule="auto"/>
        <w:ind w:firstLine="560"/>
        <w:rPr>
          <w:szCs w:val="24"/>
        </w:rPr>
      </w:pPr>
      <w:r>
        <w:rPr>
          <w:szCs w:val="24"/>
        </w:rPr>
        <w:t>（</w:t>
      </w:r>
      <w:r>
        <w:rPr>
          <w:szCs w:val="24"/>
        </w:rPr>
        <w:t>5</w:t>
      </w:r>
      <w:r>
        <w:rPr>
          <w:szCs w:val="24"/>
        </w:rPr>
        <w:t>）《中华人民共和国防洪法》（</w:t>
      </w:r>
      <w:r>
        <w:rPr>
          <w:szCs w:val="24"/>
        </w:rPr>
        <w:t>2016</w:t>
      </w:r>
      <w:r>
        <w:rPr>
          <w:szCs w:val="24"/>
        </w:rPr>
        <w:t>年</w:t>
      </w:r>
      <w:r>
        <w:rPr>
          <w:szCs w:val="24"/>
        </w:rPr>
        <w:t>7</w:t>
      </w:r>
      <w:r>
        <w:rPr>
          <w:szCs w:val="24"/>
        </w:rPr>
        <w:t>月</w:t>
      </w:r>
      <w:r>
        <w:rPr>
          <w:szCs w:val="24"/>
        </w:rPr>
        <w:t>2</w:t>
      </w:r>
      <w:r>
        <w:rPr>
          <w:szCs w:val="24"/>
        </w:rPr>
        <w:t>日施行）</w:t>
      </w:r>
      <w:r>
        <w:rPr>
          <w:rFonts w:hint="eastAsia"/>
          <w:szCs w:val="24"/>
        </w:rPr>
        <w:t>。</w:t>
      </w:r>
    </w:p>
    <w:p w:rsidR="006C378F" w:rsidRDefault="00E12213">
      <w:pPr>
        <w:spacing w:line="360" w:lineRule="auto"/>
        <w:ind w:firstLineChars="200" w:firstLine="480"/>
        <w:rPr>
          <w:szCs w:val="24"/>
        </w:rPr>
      </w:pPr>
      <w:bookmarkStart w:id="47" w:name="_Toc171826789"/>
      <w:bookmarkStart w:id="48" w:name="_Toc178790358"/>
      <w:bookmarkStart w:id="49" w:name="_Toc177489040"/>
      <w:bookmarkStart w:id="50" w:name="_Toc178342479"/>
      <w:bookmarkStart w:id="51" w:name="_Toc171827821"/>
      <w:bookmarkStart w:id="52" w:name="_Toc158454341"/>
      <w:bookmarkStart w:id="53" w:name="_Toc198374110"/>
      <w:bookmarkStart w:id="54" w:name="_Toc260903558"/>
      <w:bookmarkStart w:id="55" w:name="_Toc178223210"/>
      <w:bookmarkStart w:id="56" w:name="_Toc171827712"/>
      <w:bookmarkStart w:id="57" w:name="_Toc192120388"/>
      <w:bookmarkStart w:id="58" w:name="_Toc256088279"/>
      <w:bookmarkStart w:id="59" w:name="_Toc259113251"/>
      <w:bookmarkStart w:id="60" w:name="_Toc254031420"/>
      <w:bookmarkStart w:id="61" w:name="_Toc171826985"/>
      <w:r>
        <w:rPr>
          <w:szCs w:val="24"/>
        </w:rPr>
        <w:t>。</w:t>
      </w:r>
    </w:p>
    <w:p w:rsidR="006C378F" w:rsidRDefault="00E12213">
      <w:pPr>
        <w:pStyle w:val="3"/>
      </w:pPr>
      <w:bookmarkStart w:id="62" w:name="_Toc192120389"/>
      <w:bookmarkStart w:id="63" w:name="_Toc171827822"/>
      <w:bookmarkStart w:id="64" w:name="_Toc171827713"/>
      <w:bookmarkStart w:id="65" w:name="_Toc177489041"/>
      <w:bookmarkStart w:id="66" w:name="_Toc171826986"/>
      <w:bookmarkStart w:id="67" w:name="_Toc178342480"/>
      <w:bookmarkStart w:id="68" w:name="_Toc254031421"/>
      <w:bookmarkStart w:id="69" w:name="_Toc158454342"/>
      <w:bookmarkStart w:id="70" w:name="_Toc198374111"/>
      <w:bookmarkStart w:id="71" w:name="_Toc256088280"/>
      <w:bookmarkStart w:id="72" w:name="_Toc135288512"/>
      <w:bookmarkStart w:id="73" w:name="_Toc260903559"/>
      <w:bookmarkStart w:id="74" w:name="_Toc178223211"/>
      <w:bookmarkStart w:id="75" w:name="_Toc178790359"/>
      <w:bookmarkStart w:id="76" w:name="_Toc259113252"/>
      <w:bookmarkStart w:id="77" w:name="_Toc171826790"/>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r>
        <w:lastRenderedPageBreak/>
        <w:t>1.2.4</w:t>
      </w:r>
      <w:r>
        <w:t>规范</w:t>
      </w:r>
      <w:r>
        <w:rPr>
          <w:rFonts w:hint="eastAsia"/>
        </w:rPr>
        <w:t>与</w:t>
      </w:r>
      <w:r>
        <w:t>标准</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rsidR="006C378F" w:rsidRDefault="00E12213">
      <w:pPr>
        <w:adjustRightInd/>
        <w:snapToGrid/>
        <w:spacing w:line="360" w:lineRule="auto"/>
        <w:ind w:firstLine="560"/>
        <w:rPr>
          <w:szCs w:val="24"/>
        </w:rPr>
      </w:pPr>
      <w:r>
        <w:rPr>
          <w:szCs w:val="24"/>
        </w:rPr>
        <w:t>（</w:t>
      </w:r>
      <w:r>
        <w:rPr>
          <w:szCs w:val="24"/>
        </w:rPr>
        <w:t>1</w:t>
      </w:r>
      <w:r>
        <w:rPr>
          <w:szCs w:val="24"/>
        </w:rPr>
        <w:t>）《生产建设项目水土保持技术标准》</w:t>
      </w:r>
      <w:r>
        <w:rPr>
          <w:szCs w:val="24"/>
        </w:rPr>
        <w:t>(GB50433-2018)</w:t>
      </w:r>
      <w:r>
        <w:rPr>
          <w:szCs w:val="24"/>
        </w:rPr>
        <w:t>；</w:t>
      </w:r>
    </w:p>
    <w:p w:rsidR="006C378F" w:rsidRDefault="00E12213">
      <w:pPr>
        <w:adjustRightInd/>
        <w:snapToGrid/>
        <w:spacing w:line="360" w:lineRule="auto"/>
        <w:ind w:firstLine="560"/>
        <w:rPr>
          <w:szCs w:val="24"/>
        </w:rPr>
      </w:pPr>
      <w:r>
        <w:rPr>
          <w:szCs w:val="24"/>
        </w:rPr>
        <w:t>（</w:t>
      </w:r>
      <w:r>
        <w:rPr>
          <w:szCs w:val="24"/>
        </w:rPr>
        <w:t>2</w:t>
      </w:r>
      <w:r>
        <w:rPr>
          <w:szCs w:val="24"/>
        </w:rPr>
        <w:t>）《生产建设项目水土流失防治标准》（</w:t>
      </w:r>
      <w:r>
        <w:rPr>
          <w:szCs w:val="24"/>
        </w:rPr>
        <w:t>GB/T 50434-2018</w:t>
      </w:r>
      <w:r>
        <w:rPr>
          <w:szCs w:val="24"/>
        </w:rPr>
        <w:t>）；</w:t>
      </w:r>
    </w:p>
    <w:p w:rsidR="006C378F" w:rsidRDefault="00E12213">
      <w:pPr>
        <w:adjustRightInd/>
        <w:snapToGrid/>
        <w:spacing w:line="360" w:lineRule="auto"/>
        <w:ind w:firstLine="560"/>
        <w:rPr>
          <w:szCs w:val="24"/>
        </w:rPr>
      </w:pPr>
      <w:r>
        <w:rPr>
          <w:szCs w:val="24"/>
        </w:rPr>
        <w:t>（</w:t>
      </w:r>
      <w:r>
        <w:rPr>
          <w:szCs w:val="24"/>
        </w:rPr>
        <w:t>3</w:t>
      </w:r>
      <w:r>
        <w:rPr>
          <w:szCs w:val="24"/>
        </w:rPr>
        <w:t>）《生产建设项目水土保持监测与评价标准》（</w:t>
      </w:r>
      <w:r>
        <w:rPr>
          <w:szCs w:val="24"/>
        </w:rPr>
        <w:t>GB/T51240-2018</w:t>
      </w:r>
      <w:r>
        <w:rPr>
          <w:szCs w:val="24"/>
        </w:rPr>
        <w:t>）；</w:t>
      </w:r>
    </w:p>
    <w:p w:rsidR="006C378F" w:rsidRDefault="00E12213">
      <w:pPr>
        <w:adjustRightInd/>
        <w:snapToGrid/>
        <w:spacing w:line="360" w:lineRule="auto"/>
        <w:ind w:firstLine="560"/>
        <w:rPr>
          <w:szCs w:val="24"/>
        </w:rPr>
      </w:pPr>
      <w:r>
        <w:rPr>
          <w:szCs w:val="24"/>
        </w:rPr>
        <w:t>（</w:t>
      </w:r>
      <w:r>
        <w:rPr>
          <w:szCs w:val="24"/>
        </w:rPr>
        <w:t>4</w:t>
      </w:r>
      <w:r>
        <w:rPr>
          <w:szCs w:val="24"/>
        </w:rPr>
        <w:t>）《开发建设项目水土保持设施验收技术规程》（</w:t>
      </w:r>
      <w:r>
        <w:rPr>
          <w:szCs w:val="24"/>
        </w:rPr>
        <w:t>GB/T22490-2008</w:t>
      </w:r>
      <w:r>
        <w:rPr>
          <w:szCs w:val="24"/>
        </w:rPr>
        <w:t>）；</w:t>
      </w:r>
    </w:p>
    <w:p w:rsidR="006C378F" w:rsidRDefault="00E12213">
      <w:pPr>
        <w:adjustRightInd/>
        <w:snapToGrid/>
        <w:spacing w:line="360" w:lineRule="auto"/>
        <w:ind w:firstLine="560"/>
        <w:rPr>
          <w:szCs w:val="24"/>
        </w:rPr>
      </w:pPr>
      <w:bookmarkStart w:id="78" w:name="_Toc204446738"/>
      <w:bookmarkStart w:id="79" w:name="_Toc188765450"/>
      <w:bookmarkStart w:id="80" w:name="_Toc204483561"/>
      <w:bookmarkStart w:id="81" w:name="_Toc188254048"/>
      <w:bookmarkStart w:id="82" w:name="_Toc188764452"/>
      <w:r>
        <w:rPr>
          <w:szCs w:val="24"/>
        </w:rPr>
        <w:t>（</w:t>
      </w:r>
      <w:r>
        <w:rPr>
          <w:szCs w:val="24"/>
        </w:rPr>
        <w:t>5</w:t>
      </w:r>
      <w:r>
        <w:rPr>
          <w:szCs w:val="24"/>
        </w:rPr>
        <w:t>）《中国地震动参数区划图》（</w:t>
      </w:r>
      <w:r>
        <w:rPr>
          <w:szCs w:val="24"/>
        </w:rPr>
        <w:t>GB18306-2015</w:t>
      </w:r>
      <w:r>
        <w:rPr>
          <w:szCs w:val="24"/>
        </w:rPr>
        <w:t>）；</w:t>
      </w:r>
    </w:p>
    <w:p w:rsidR="006C378F" w:rsidRDefault="00E12213">
      <w:pPr>
        <w:adjustRightInd/>
        <w:snapToGrid/>
        <w:spacing w:line="360" w:lineRule="auto"/>
        <w:ind w:firstLine="560"/>
        <w:rPr>
          <w:szCs w:val="24"/>
        </w:rPr>
      </w:pPr>
      <w:r>
        <w:rPr>
          <w:szCs w:val="24"/>
        </w:rPr>
        <w:t>（</w:t>
      </w:r>
      <w:r>
        <w:rPr>
          <w:szCs w:val="24"/>
        </w:rPr>
        <w:t>6</w:t>
      </w:r>
      <w:r>
        <w:rPr>
          <w:szCs w:val="24"/>
        </w:rPr>
        <w:t>）《水土保持工程设计规范》</w:t>
      </w:r>
      <w:r>
        <w:rPr>
          <w:szCs w:val="24"/>
        </w:rPr>
        <w:t>(GB51018-2014)</w:t>
      </w:r>
      <w:r>
        <w:rPr>
          <w:szCs w:val="24"/>
        </w:rPr>
        <w:t>；</w:t>
      </w:r>
    </w:p>
    <w:p w:rsidR="006C378F" w:rsidRDefault="00E12213">
      <w:pPr>
        <w:adjustRightInd/>
        <w:snapToGrid/>
        <w:spacing w:line="360" w:lineRule="auto"/>
        <w:ind w:firstLine="560"/>
        <w:rPr>
          <w:szCs w:val="24"/>
        </w:rPr>
      </w:pPr>
      <w:r>
        <w:rPr>
          <w:szCs w:val="24"/>
        </w:rPr>
        <w:t>（</w:t>
      </w:r>
      <w:r>
        <w:rPr>
          <w:szCs w:val="24"/>
        </w:rPr>
        <w:t>7</w:t>
      </w:r>
      <w:r>
        <w:rPr>
          <w:szCs w:val="24"/>
        </w:rPr>
        <w:t>）《水土保持工程调查与勘测标准》（</w:t>
      </w:r>
      <w:r>
        <w:rPr>
          <w:szCs w:val="24"/>
        </w:rPr>
        <w:t>GB/T51297-2018</w:t>
      </w:r>
      <w:r>
        <w:rPr>
          <w:szCs w:val="24"/>
        </w:rPr>
        <w:t>）；</w:t>
      </w:r>
    </w:p>
    <w:p w:rsidR="006C378F" w:rsidRDefault="00E12213">
      <w:pPr>
        <w:adjustRightInd/>
        <w:snapToGrid/>
        <w:spacing w:line="360" w:lineRule="auto"/>
        <w:ind w:firstLine="560"/>
        <w:rPr>
          <w:szCs w:val="24"/>
        </w:rPr>
      </w:pPr>
      <w:r>
        <w:rPr>
          <w:szCs w:val="24"/>
        </w:rPr>
        <w:t>（</w:t>
      </w:r>
      <w:r>
        <w:rPr>
          <w:szCs w:val="24"/>
        </w:rPr>
        <w:t>8</w:t>
      </w:r>
      <w:r>
        <w:rPr>
          <w:szCs w:val="24"/>
        </w:rPr>
        <w:t>）《生产建设项目土壤流失量测算导则》（</w:t>
      </w:r>
      <w:r>
        <w:rPr>
          <w:szCs w:val="24"/>
        </w:rPr>
        <w:t>SL 773-2018</w:t>
      </w:r>
      <w:r>
        <w:rPr>
          <w:szCs w:val="24"/>
        </w:rPr>
        <w:t>）；</w:t>
      </w:r>
    </w:p>
    <w:p w:rsidR="006C378F" w:rsidRDefault="00E12213">
      <w:pPr>
        <w:adjustRightInd/>
        <w:snapToGrid/>
        <w:spacing w:line="360" w:lineRule="auto"/>
        <w:ind w:firstLine="560"/>
        <w:rPr>
          <w:szCs w:val="24"/>
        </w:rPr>
      </w:pPr>
      <w:r>
        <w:rPr>
          <w:szCs w:val="24"/>
        </w:rPr>
        <w:t>（</w:t>
      </w:r>
      <w:r>
        <w:rPr>
          <w:szCs w:val="24"/>
        </w:rPr>
        <w:t>9</w:t>
      </w:r>
      <w:r>
        <w:rPr>
          <w:szCs w:val="24"/>
        </w:rPr>
        <w:t>）《水土保持监测技术规程》（</w:t>
      </w:r>
      <w:r>
        <w:rPr>
          <w:szCs w:val="24"/>
        </w:rPr>
        <w:t>SL277-2002</w:t>
      </w:r>
      <w:r>
        <w:rPr>
          <w:szCs w:val="24"/>
        </w:rPr>
        <w:t>）；</w:t>
      </w:r>
      <w:bookmarkEnd w:id="78"/>
      <w:bookmarkEnd w:id="79"/>
      <w:bookmarkEnd w:id="80"/>
      <w:bookmarkEnd w:id="81"/>
      <w:bookmarkEnd w:id="82"/>
    </w:p>
    <w:p w:rsidR="006C378F" w:rsidRDefault="00E12213">
      <w:pPr>
        <w:adjustRightInd/>
        <w:snapToGrid/>
        <w:spacing w:line="360" w:lineRule="auto"/>
        <w:ind w:firstLine="560"/>
        <w:rPr>
          <w:szCs w:val="24"/>
        </w:rPr>
      </w:pPr>
      <w:r>
        <w:rPr>
          <w:szCs w:val="24"/>
        </w:rPr>
        <w:t>（</w:t>
      </w:r>
      <w:r>
        <w:rPr>
          <w:szCs w:val="24"/>
        </w:rPr>
        <w:t>10</w:t>
      </w:r>
      <w:r>
        <w:rPr>
          <w:szCs w:val="24"/>
        </w:rPr>
        <w:t>）《土壤侵蚀分类分级标准》（</w:t>
      </w:r>
      <w:r>
        <w:rPr>
          <w:szCs w:val="24"/>
        </w:rPr>
        <w:t>SLl90-2007</w:t>
      </w:r>
      <w:r>
        <w:rPr>
          <w:szCs w:val="24"/>
        </w:rPr>
        <w:t>）</w:t>
      </w:r>
      <w:r>
        <w:rPr>
          <w:rFonts w:hint="eastAsia"/>
          <w:szCs w:val="24"/>
        </w:rPr>
        <w:t>。</w:t>
      </w:r>
    </w:p>
    <w:p w:rsidR="006C378F" w:rsidRDefault="00E12213">
      <w:pPr>
        <w:pStyle w:val="3"/>
      </w:pPr>
      <w:r>
        <w:t>1.2.5</w:t>
      </w:r>
      <w:r>
        <w:t>技术文件及资料</w:t>
      </w:r>
    </w:p>
    <w:p w:rsidR="006C378F" w:rsidRDefault="00E12213">
      <w:pPr>
        <w:spacing w:line="360" w:lineRule="auto"/>
        <w:ind w:firstLineChars="200" w:firstLine="480"/>
      </w:pPr>
      <w:r>
        <w:t>（</w:t>
      </w:r>
      <w:r>
        <w:t>1</w:t>
      </w:r>
      <w:r>
        <w:t>）《关于印发〈生产建设项目水土保持方案技术审查要点〉的通知》（水保监〔</w:t>
      </w:r>
      <w:r>
        <w:t>2014</w:t>
      </w:r>
      <w:r>
        <w:t>〕</w:t>
      </w:r>
      <w:r>
        <w:t>58</w:t>
      </w:r>
      <w:r>
        <w:t>号）；</w:t>
      </w:r>
    </w:p>
    <w:p w:rsidR="006C378F" w:rsidRDefault="00E12213">
      <w:pPr>
        <w:spacing w:line="360" w:lineRule="auto"/>
        <w:ind w:firstLineChars="200" w:firstLine="480"/>
      </w:pPr>
      <w:r>
        <w:t>（</w:t>
      </w:r>
      <w:r>
        <w:t>2</w:t>
      </w:r>
      <w:r>
        <w:t>）《水利部办公厅关于调整〈水利工程计价依据增值税计算标准〉的通知》（办财务函〔</w:t>
      </w:r>
      <w:r>
        <w:t>2019</w:t>
      </w:r>
      <w:r>
        <w:t>〕</w:t>
      </w:r>
      <w:r>
        <w:t>448</w:t>
      </w:r>
      <w:r>
        <w:t>号）；</w:t>
      </w:r>
    </w:p>
    <w:p w:rsidR="006C378F" w:rsidRDefault="006C378F">
      <w:pPr>
        <w:pStyle w:val="BZDL1"/>
        <w:spacing w:beforeLines="0" w:before="0" w:afterLines="0" w:after="0" w:line="360" w:lineRule="auto"/>
        <w:ind w:firstLine="480"/>
        <w:rPr>
          <w:rFonts w:ascii="Times New Roman"/>
          <w:sz w:val="24"/>
          <w:szCs w:val="16"/>
        </w:rPr>
      </w:pPr>
    </w:p>
    <w:p w:rsidR="006C378F" w:rsidRDefault="006C378F">
      <w:pPr>
        <w:pStyle w:val="08522"/>
      </w:pPr>
    </w:p>
    <w:p w:rsidR="006C378F" w:rsidRDefault="00E12213">
      <w:pPr>
        <w:widowControl/>
        <w:adjustRightInd/>
        <w:snapToGrid/>
        <w:jc w:val="left"/>
        <w:rPr>
          <w:b/>
          <w:sz w:val="32"/>
        </w:rPr>
      </w:pPr>
      <w:bookmarkStart w:id="83" w:name="_Toc23284"/>
      <w:bookmarkStart w:id="84" w:name="_Toc24167"/>
      <w:bookmarkStart w:id="85" w:name="_Toc9160"/>
      <w:bookmarkStart w:id="86" w:name="_Toc30885"/>
      <w:bookmarkStart w:id="87" w:name="_Toc9130450"/>
      <w:bookmarkStart w:id="88" w:name="_Toc11529"/>
      <w:r>
        <w:br w:type="page"/>
      </w:r>
    </w:p>
    <w:p w:rsidR="006C378F" w:rsidRDefault="00E12213">
      <w:pPr>
        <w:pStyle w:val="1"/>
        <w:jc w:val="center"/>
      </w:pPr>
      <w:bookmarkStart w:id="89" w:name="_Toc7403"/>
      <w:r>
        <w:lastRenderedPageBreak/>
        <w:t>2</w:t>
      </w:r>
      <w:r>
        <w:t>项目区概况</w:t>
      </w:r>
      <w:bookmarkEnd w:id="89"/>
    </w:p>
    <w:p w:rsidR="006C378F" w:rsidRDefault="00E12213">
      <w:pPr>
        <w:adjustRightInd/>
        <w:snapToGrid/>
        <w:spacing w:line="360" w:lineRule="auto"/>
        <w:ind w:firstLineChars="200" w:firstLine="480"/>
      </w:pPr>
      <w:r>
        <w:rPr>
          <w:rFonts w:hint="eastAsia"/>
        </w:rPr>
        <w:t>项目区在仪陇县地处四川盆地北部低山与川中丘陵过渡地带，以低山为主，地势由东北向西南倾斜。大地构造单元上属扬子地台内四川台拗偏北侧，构造格架上位于西侧的龙门山断裂带，东侧的华釜山断裂带和北侧的大巴山断裂带所围限的断块内</w:t>
      </w:r>
      <w:r>
        <w:t>。气候类型属</w:t>
      </w:r>
      <w:r>
        <w:rPr>
          <w:rFonts w:hint="eastAsia"/>
        </w:rPr>
        <w:t>四川盆地亚热带湿润季风气候区</w:t>
      </w:r>
      <w:r>
        <w:t>，</w:t>
      </w:r>
      <w:r>
        <w:rPr>
          <w:rFonts w:hint="eastAsia"/>
        </w:rPr>
        <w:t>仪陇县属四川盆地亚热带湿润季风气候区，干湿明显，气候总的特点是冬暖、夏长、冬雪少，日照少、降雨量丰沛。多年平均日照时数</w:t>
      </w:r>
      <w:r>
        <w:rPr>
          <w:rFonts w:hint="eastAsia"/>
        </w:rPr>
        <w:t>1191.7</w:t>
      </w:r>
      <w:r>
        <w:rPr>
          <w:rFonts w:hint="eastAsia"/>
        </w:rPr>
        <w:t>小时；年平均气温</w:t>
      </w:r>
      <w:r>
        <w:rPr>
          <w:rFonts w:hint="eastAsia"/>
        </w:rPr>
        <w:t>16</w:t>
      </w:r>
      <w:r>
        <w:rPr>
          <w:rFonts w:hint="eastAsia"/>
        </w:rPr>
        <w:t>℃左右，年平均降雨</w:t>
      </w:r>
      <w:r>
        <w:rPr>
          <w:rFonts w:hint="eastAsia"/>
        </w:rPr>
        <w:t>985.5mm</w:t>
      </w:r>
      <w:r>
        <w:rPr>
          <w:rFonts w:hint="eastAsia"/>
        </w:rPr>
        <w:t>，无霜期</w:t>
      </w:r>
      <w:r>
        <w:rPr>
          <w:rFonts w:hint="eastAsia"/>
        </w:rPr>
        <w:t>300</w:t>
      </w:r>
      <w:r>
        <w:rPr>
          <w:rFonts w:hint="eastAsia"/>
        </w:rPr>
        <w:t>天以上，多年平均蒸发量</w:t>
      </w:r>
      <w:r>
        <w:rPr>
          <w:rFonts w:hint="eastAsia"/>
        </w:rPr>
        <w:t>1033.8mm</w:t>
      </w:r>
      <w:r>
        <w:rPr>
          <w:rFonts w:hint="eastAsia"/>
        </w:rPr>
        <w:t>，相对湿度</w:t>
      </w:r>
      <w:r>
        <w:rPr>
          <w:rFonts w:hint="eastAsia"/>
        </w:rPr>
        <w:t>76</w:t>
      </w:r>
      <w:r>
        <w:rPr>
          <w:rFonts w:hint="eastAsia"/>
        </w:rPr>
        <w:t>－</w:t>
      </w:r>
      <w:r>
        <w:rPr>
          <w:rFonts w:hint="eastAsia"/>
        </w:rPr>
        <w:t>86%</w:t>
      </w:r>
      <w:r>
        <w:rPr>
          <w:rFonts w:hint="eastAsia"/>
        </w:rPr>
        <w:t>；多年平均降水量为</w:t>
      </w:r>
      <w:r>
        <w:rPr>
          <w:rFonts w:hint="eastAsia"/>
        </w:rPr>
        <w:t>1016.8mm</w:t>
      </w:r>
      <w:r>
        <w:rPr>
          <w:rFonts w:hint="eastAsia"/>
        </w:rPr>
        <w:t>。受大气环流控制，降雨分配季节不均，冬春（</w:t>
      </w:r>
      <w:r>
        <w:rPr>
          <w:rFonts w:hint="eastAsia"/>
        </w:rPr>
        <w:t>11</w:t>
      </w:r>
      <w:r>
        <w:rPr>
          <w:rFonts w:hint="eastAsia"/>
        </w:rPr>
        <w:t>月</w:t>
      </w:r>
      <w:r>
        <w:rPr>
          <w:rFonts w:hint="eastAsia"/>
        </w:rPr>
        <w:t>-</w:t>
      </w:r>
      <w:r>
        <w:rPr>
          <w:rFonts w:hint="eastAsia"/>
        </w:rPr>
        <w:t>次年</w:t>
      </w:r>
      <w:r>
        <w:rPr>
          <w:rFonts w:hint="eastAsia"/>
        </w:rPr>
        <w:t>4</w:t>
      </w:r>
      <w:r>
        <w:rPr>
          <w:rFonts w:hint="eastAsia"/>
        </w:rPr>
        <w:t>月）降水量少，多年平均降水量仅占全年的</w:t>
      </w:r>
      <w:r>
        <w:rPr>
          <w:rFonts w:hint="eastAsia"/>
        </w:rPr>
        <w:t>18.5%</w:t>
      </w:r>
      <w:r>
        <w:rPr>
          <w:rFonts w:hint="eastAsia"/>
        </w:rPr>
        <w:t>，降雨不能满足蒸发需要，因此，春旱常常发生。夏秋两季降雨量（</w:t>
      </w:r>
      <w:r>
        <w:rPr>
          <w:rFonts w:hint="eastAsia"/>
        </w:rPr>
        <w:t>5-10</w:t>
      </w:r>
      <w:r>
        <w:rPr>
          <w:rFonts w:hint="eastAsia"/>
        </w:rPr>
        <w:t>月）偏多，多年平均降水量占全年的</w:t>
      </w:r>
      <w:r>
        <w:rPr>
          <w:rFonts w:hint="eastAsia"/>
        </w:rPr>
        <w:t>81.5%</w:t>
      </w:r>
      <w:r>
        <w:rPr>
          <w:rFonts w:hint="eastAsia"/>
        </w:rPr>
        <w:t>。从多年平均降水量逐月变化及典型站各代表年看，降水时空分布不均，</w:t>
      </w:r>
      <w:r>
        <w:rPr>
          <w:rFonts w:hint="eastAsia"/>
        </w:rPr>
        <w:t>8</w:t>
      </w:r>
      <w:r>
        <w:rPr>
          <w:rFonts w:hint="eastAsia"/>
        </w:rPr>
        <w:t>月份雨量偏少，蓬安雨量站</w:t>
      </w:r>
      <w:r>
        <w:rPr>
          <w:rFonts w:hint="eastAsia"/>
        </w:rPr>
        <w:t>1972</w:t>
      </w:r>
      <w:r>
        <w:rPr>
          <w:rFonts w:hint="eastAsia"/>
        </w:rPr>
        <w:t>年</w:t>
      </w:r>
      <w:r>
        <w:rPr>
          <w:rFonts w:hint="eastAsia"/>
        </w:rPr>
        <w:t>8</w:t>
      </w:r>
      <w:r>
        <w:rPr>
          <w:rFonts w:hint="eastAsia"/>
        </w:rPr>
        <w:t>月份仅为</w:t>
      </w:r>
      <w:r>
        <w:rPr>
          <w:rFonts w:hint="eastAsia"/>
        </w:rPr>
        <w:t>21.7mm</w:t>
      </w:r>
      <w:r>
        <w:rPr>
          <w:rFonts w:hint="eastAsia"/>
        </w:rPr>
        <w:t>，仅占全年的</w:t>
      </w:r>
      <w:r>
        <w:rPr>
          <w:rFonts w:hint="eastAsia"/>
        </w:rPr>
        <w:t>2.5%</w:t>
      </w:r>
      <w:r>
        <w:rPr>
          <w:rFonts w:hint="eastAsia"/>
        </w:rPr>
        <w:t>，说明区内伏旱发生较频繁。</w:t>
      </w:r>
      <w:r>
        <w:rPr>
          <w:kern w:val="0"/>
          <w:szCs w:val="24"/>
        </w:rPr>
        <w:t>5</w:t>
      </w:r>
      <w:r>
        <w:rPr>
          <w:rFonts w:cs="宋体" w:hint="eastAsia"/>
          <w:kern w:val="0"/>
          <w:szCs w:val="24"/>
        </w:rPr>
        <w:t>年一遇</w:t>
      </w:r>
      <w:r>
        <w:rPr>
          <w:rFonts w:hint="eastAsia"/>
          <w:kern w:val="0"/>
          <w:szCs w:val="24"/>
        </w:rPr>
        <w:t>1h</w:t>
      </w:r>
      <w:r>
        <w:rPr>
          <w:rFonts w:cs="宋体" w:hint="eastAsia"/>
          <w:kern w:val="0"/>
          <w:szCs w:val="24"/>
        </w:rPr>
        <w:t>最大暴雨量</w:t>
      </w:r>
      <w:r>
        <w:rPr>
          <w:rFonts w:hint="eastAsia"/>
          <w:kern w:val="0"/>
          <w:szCs w:val="24"/>
        </w:rPr>
        <w:t>为</w:t>
      </w:r>
      <w:r>
        <w:rPr>
          <w:rFonts w:hint="eastAsia"/>
          <w:kern w:val="0"/>
          <w:szCs w:val="24"/>
        </w:rPr>
        <w:t>55.5mm</w:t>
      </w:r>
      <w:r>
        <w:rPr>
          <w:rFonts w:hint="eastAsia"/>
          <w:kern w:val="0"/>
          <w:szCs w:val="24"/>
        </w:rPr>
        <w:t>，</w:t>
      </w:r>
      <w:r>
        <w:rPr>
          <w:rFonts w:hint="eastAsia"/>
          <w:kern w:val="0"/>
          <w:szCs w:val="24"/>
        </w:rPr>
        <w:t>10</w:t>
      </w:r>
      <w:r>
        <w:rPr>
          <w:rFonts w:cs="宋体" w:hint="eastAsia"/>
          <w:kern w:val="0"/>
          <w:szCs w:val="24"/>
        </w:rPr>
        <w:t>年一遇</w:t>
      </w:r>
      <w:r>
        <w:rPr>
          <w:rFonts w:hint="eastAsia"/>
          <w:kern w:val="0"/>
          <w:szCs w:val="24"/>
        </w:rPr>
        <w:t>1h</w:t>
      </w:r>
      <w:r>
        <w:rPr>
          <w:rFonts w:cs="宋体" w:hint="eastAsia"/>
          <w:kern w:val="0"/>
          <w:szCs w:val="24"/>
        </w:rPr>
        <w:t>最大降雨量</w:t>
      </w:r>
      <w:r>
        <w:rPr>
          <w:rFonts w:hint="eastAsia"/>
          <w:kern w:val="0"/>
          <w:szCs w:val="24"/>
        </w:rPr>
        <w:t>为</w:t>
      </w:r>
      <w:r>
        <w:rPr>
          <w:rFonts w:hint="eastAsia"/>
          <w:kern w:val="0"/>
          <w:szCs w:val="24"/>
        </w:rPr>
        <w:t>73.6mm</w:t>
      </w:r>
      <w:r>
        <w:rPr>
          <w:rFonts w:hint="eastAsia"/>
          <w:kern w:val="0"/>
          <w:szCs w:val="24"/>
        </w:rPr>
        <w:t>，</w:t>
      </w:r>
      <w:r>
        <w:rPr>
          <w:rFonts w:hint="eastAsia"/>
          <w:kern w:val="0"/>
          <w:szCs w:val="24"/>
        </w:rPr>
        <w:t>10</w:t>
      </w:r>
      <w:r>
        <w:rPr>
          <w:rFonts w:cs="宋体" w:hint="eastAsia"/>
          <w:kern w:val="0"/>
          <w:szCs w:val="24"/>
        </w:rPr>
        <w:t>年一遇</w:t>
      </w:r>
      <w:r>
        <w:rPr>
          <w:rFonts w:hint="eastAsia"/>
          <w:kern w:val="0"/>
          <w:szCs w:val="24"/>
        </w:rPr>
        <w:t>1h</w:t>
      </w:r>
      <w:r>
        <w:rPr>
          <w:rFonts w:cs="宋体" w:hint="eastAsia"/>
          <w:kern w:val="0"/>
          <w:szCs w:val="24"/>
        </w:rPr>
        <w:t>最大降雨量</w:t>
      </w:r>
      <w:r>
        <w:rPr>
          <w:rFonts w:hint="eastAsia"/>
          <w:kern w:val="0"/>
          <w:szCs w:val="24"/>
        </w:rPr>
        <w:t>为</w:t>
      </w:r>
      <w:r>
        <w:rPr>
          <w:rFonts w:hint="eastAsia"/>
          <w:kern w:val="0"/>
          <w:szCs w:val="24"/>
        </w:rPr>
        <w:t>84.8mm</w:t>
      </w:r>
      <w:r>
        <w:rPr>
          <w:rFonts w:hint="eastAsia"/>
          <w:kern w:val="0"/>
          <w:szCs w:val="24"/>
        </w:rPr>
        <w:t>。</w:t>
      </w:r>
      <w:r>
        <w:t>流域属</w:t>
      </w:r>
      <w:r>
        <w:rPr>
          <w:rFonts w:hint="eastAsia"/>
        </w:rPr>
        <w:t>长</w:t>
      </w:r>
      <w:r>
        <w:t>江流域</w:t>
      </w:r>
      <w:r>
        <w:rPr>
          <w:rFonts w:hint="eastAsia"/>
        </w:rPr>
        <w:t>嘉陵江</w:t>
      </w:r>
      <w:r>
        <w:t>水系，土壤类型主要均为</w:t>
      </w:r>
      <w:r>
        <w:rPr>
          <w:rFonts w:hint="eastAsia"/>
        </w:rPr>
        <w:t>紫色土</w:t>
      </w:r>
      <w:r>
        <w:t>。植被类型属亚热带常绿阔叶混交林，林草覆盖率约为</w:t>
      </w:r>
      <w:r>
        <w:t>30.3%</w:t>
      </w:r>
      <w:r>
        <w:t>。项目区以水力侵蚀为主原地表平均平均侵蚀模数为</w:t>
      </w:r>
      <w:r>
        <w:rPr>
          <w:rFonts w:hint="eastAsia"/>
        </w:rPr>
        <w:t>519</w:t>
      </w:r>
      <w:r>
        <w:t>（</w:t>
      </w:r>
      <w:r>
        <w:t>km</w:t>
      </w:r>
      <w:r>
        <w:rPr>
          <w:vertAlign w:val="superscript"/>
        </w:rPr>
        <w:t>2</w:t>
      </w:r>
      <w:r>
        <w:t>·a</w:t>
      </w:r>
      <w:r>
        <w:t>）。</w:t>
      </w:r>
    </w:p>
    <w:p w:rsidR="006C378F" w:rsidRDefault="00E12213">
      <w:pPr>
        <w:pStyle w:val="2"/>
      </w:pPr>
      <w:bookmarkStart w:id="90" w:name="_Toc62180001"/>
      <w:bookmarkStart w:id="91" w:name="_Toc20686"/>
      <w:r>
        <w:t>2.1</w:t>
      </w:r>
      <w:r>
        <w:rPr>
          <w:rFonts w:hint="eastAsia"/>
        </w:rPr>
        <w:t xml:space="preserve"> </w:t>
      </w:r>
      <w:r>
        <w:t>地形地貌</w:t>
      </w:r>
      <w:bookmarkEnd w:id="90"/>
      <w:bookmarkEnd w:id="91"/>
    </w:p>
    <w:p w:rsidR="006C378F" w:rsidRDefault="00E12213">
      <w:pPr>
        <w:spacing w:line="360" w:lineRule="auto"/>
        <w:ind w:firstLineChars="200" w:firstLine="480"/>
      </w:pPr>
      <w:bookmarkStart w:id="92" w:name="_Toc362252189"/>
      <w:bookmarkStart w:id="93" w:name="_Toc385426034"/>
      <w:bookmarkStart w:id="94" w:name="_Toc363658599"/>
      <w:bookmarkStart w:id="95" w:name="_Toc374371137"/>
      <w:bookmarkStart w:id="96" w:name="_Toc368056679"/>
      <w:r>
        <w:rPr>
          <w:rFonts w:hint="eastAsia"/>
        </w:rPr>
        <w:t>仪陇县位于四川盆地东北部、南充市北东部，为大巴山南麓低山与川中红层丘陵区过渡地段，县境东邻平昌，南与营山、蓬安接壤，西依南部、阆中，北与巴中市相邻。本项目全长</w:t>
      </w:r>
      <w:r>
        <w:t>450</w:t>
      </w:r>
      <w:r>
        <w:rPr>
          <w:rFonts w:hint="eastAsia"/>
        </w:rPr>
        <w:t>米，宽</w:t>
      </w:r>
      <w:r>
        <w:rPr>
          <w:rFonts w:hint="eastAsia"/>
        </w:rPr>
        <w:t>2</w:t>
      </w:r>
      <w:r>
        <w:t>3</w:t>
      </w:r>
      <w:r>
        <w:rPr>
          <w:rFonts w:hint="eastAsia"/>
        </w:rPr>
        <w:t>米；</w:t>
      </w:r>
      <w:r>
        <w:t>场地地形</w:t>
      </w:r>
      <w:r>
        <w:rPr>
          <w:rFonts w:hint="eastAsia"/>
        </w:rPr>
        <w:t>平稳</w:t>
      </w:r>
      <w:r>
        <w:t>，</w:t>
      </w:r>
      <w:r>
        <w:rPr>
          <w:rFonts w:hint="eastAsia"/>
        </w:rPr>
        <w:t>场地标高约</w:t>
      </w:r>
      <w:r>
        <w:t>495.04</w:t>
      </w:r>
      <w:r>
        <w:rPr>
          <w:rFonts w:hint="eastAsia"/>
        </w:rPr>
        <w:t>m</w:t>
      </w:r>
      <w:r>
        <w:rPr>
          <w:rFonts w:hint="eastAsia"/>
        </w:rPr>
        <w:t>～</w:t>
      </w:r>
      <w:r>
        <w:t>508.70</w:t>
      </w:r>
      <w:r>
        <w:rPr>
          <w:rFonts w:hint="eastAsia"/>
        </w:rPr>
        <w:t>m</w:t>
      </w:r>
      <w:r>
        <w:rPr>
          <w:rFonts w:hint="eastAsia"/>
        </w:rPr>
        <w:t>，最大高差</w:t>
      </w:r>
      <w:r>
        <w:t>13.66</w:t>
      </w:r>
      <w:r>
        <w:rPr>
          <w:rFonts w:hint="eastAsia"/>
        </w:rPr>
        <w:t>m</w:t>
      </w:r>
      <w:r>
        <w:rPr>
          <w:rFonts w:hint="eastAsia"/>
        </w:rPr>
        <w:t>。</w:t>
      </w:r>
    </w:p>
    <w:p w:rsidR="006C378F" w:rsidRDefault="00E12213">
      <w:pPr>
        <w:pStyle w:val="2"/>
      </w:pPr>
      <w:bookmarkStart w:id="97" w:name="_Toc13249"/>
      <w:bookmarkStart w:id="98" w:name="_Toc62180002"/>
      <w:bookmarkStart w:id="99" w:name="_Toc371412986"/>
      <w:bookmarkStart w:id="100" w:name="_Toc22594"/>
      <w:bookmarkStart w:id="101" w:name="_Toc23378"/>
      <w:r>
        <w:t>2.2</w:t>
      </w:r>
      <w:r>
        <w:t>自然环境概况</w:t>
      </w:r>
      <w:bookmarkEnd w:id="97"/>
      <w:bookmarkEnd w:id="98"/>
      <w:bookmarkEnd w:id="99"/>
      <w:bookmarkEnd w:id="100"/>
      <w:bookmarkEnd w:id="101"/>
    </w:p>
    <w:p w:rsidR="006C378F" w:rsidRDefault="00E12213">
      <w:pPr>
        <w:pStyle w:val="3"/>
      </w:pPr>
      <w:bookmarkStart w:id="102" w:name="_Toc371412987"/>
      <w:r>
        <w:t>2.2.1</w:t>
      </w:r>
      <w:r>
        <w:t>地形、地貌、地质概况</w:t>
      </w:r>
      <w:bookmarkEnd w:id="102"/>
    </w:p>
    <w:p w:rsidR="006C378F" w:rsidRDefault="00E12213">
      <w:pPr>
        <w:pStyle w:val="BZDL1"/>
        <w:spacing w:beforeLines="0" w:before="0" w:afterLines="0" w:after="0" w:line="360" w:lineRule="auto"/>
        <w:ind w:firstLine="480"/>
        <w:rPr>
          <w:rFonts w:ascii="Times New Roman"/>
          <w:sz w:val="24"/>
          <w:szCs w:val="16"/>
        </w:rPr>
      </w:pPr>
      <w:r>
        <w:rPr>
          <w:rFonts w:ascii="Times New Roman"/>
          <w:sz w:val="24"/>
          <w:szCs w:val="16"/>
        </w:rPr>
        <w:t>一、地形</w:t>
      </w:r>
      <w:r>
        <w:rPr>
          <w:rFonts w:ascii="Times New Roman" w:hint="eastAsia"/>
          <w:sz w:val="24"/>
          <w:szCs w:val="16"/>
        </w:rPr>
        <w:t>、地貌</w:t>
      </w:r>
    </w:p>
    <w:p w:rsidR="006C378F" w:rsidRDefault="00E12213">
      <w:pPr>
        <w:pStyle w:val="BZDL1"/>
        <w:spacing w:beforeLines="0" w:before="0" w:afterLines="0" w:after="0" w:line="360" w:lineRule="auto"/>
        <w:ind w:firstLine="480"/>
        <w:rPr>
          <w:rFonts w:ascii="Times New Roman"/>
          <w:sz w:val="24"/>
          <w:szCs w:val="16"/>
        </w:rPr>
      </w:pPr>
      <w:bookmarkStart w:id="103" w:name="_Toc371412988"/>
      <w:r>
        <w:rPr>
          <w:rFonts w:ascii="Times New Roman" w:hint="eastAsia"/>
          <w:sz w:val="24"/>
          <w:szCs w:val="16"/>
        </w:rPr>
        <w:t>境内大部为深丘，地势略为西高东低、南高北低，地面高程一般在海拔</w:t>
      </w:r>
      <w:r>
        <w:rPr>
          <w:rFonts w:ascii="Times New Roman"/>
          <w:sz w:val="24"/>
          <w:szCs w:val="16"/>
        </w:rPr>
        <w:t>450</w:t>
      </w:r>
      <w:r>
        <w:rPr>
          <w:rFonts w:ascii="Times New Roman" w:hint="eastAsia"/>
          <w:sz w:val="24"/>
          <w:szCs w:val="16"/>
        </w:rPr>
        <w:t>～</w:t>
      </w:r>
      <w:r>
        <w:rPr>
          <w:rFonts w:ascii="Times New Roman"/>
          <w:sz w:val="24"/>
          <w:szCs w:val="16"/>
        </w:rPr>
        <w:t>550</w:t>
      </w:r>
      <w:r>
        <w:rPr>
          <w:rFonts w:ascii="Times New Roman" w:hint="eastAsia"/>
          <w:sz w:val="24"/>
          <w:szCs w:val="16"/>
        </w:rPr>
        <w:t>米，最高点迎春村摩天山顶海拔</w:t>
      </w:r>
      <w:r>
        <w:rPr>
          <w:rFonts w:ascii="Times New Roman"/>
          <w:sz w:val="24"/>
          <w:szCs w:val="16"/>
        </w:rPr>
        <w:t>650</w:t>
      </w:r>
      <w:r>
        <w:rPr>
          <w:rFonts w:ascii="Times New Roman" w:hint="eastAsia"/>
          <w:sz w:val="24"/>
          <w:szCs w:val="16"/>
        </w:rPr>
        <w:t>米，最低点明灯村八角庙海拔</w:t>
      </w:r>
      <w:r>
        <w:rPr>
          <w:rFonts w:ascii="Times New Roman"/>
          <w:sz w:val="24"/>
          <w:szCs w:val="16"/>
        </w:rPr>
        <w:t>450</w:t>
      </w:r>
      <w:r>
        <w:rPr>
          <w:rFonts w:ascii="Times New Roman" w:hint="eastAsia"/>
          <w:sz w:val="24"/>
          <w:szCs w:val="16"/>
        </w:rPr>
        <w:t>米。</w:t>
      </w:r>
      <w:r>
        <w:rPr>
          <w:rFonts w:ascii="Times New Roman" w:hint="eastAsia"/>
          <w:sz w:val="24"/>
          <w:szCs w:val="16"/>
        </w:rPr>
        <w:t xml:space="preserve"> </w:t>
      </w:r>
    </w:p>
    <w:p w:rsidR="006C378F" w:rsidRDefault="00E12213">
      <w:pPr>
        <w:pStyle w:val="3"/>
      </w:pPr>
      <w:r>
        <w:t>2.1.</w:t>
      </w:r>
      <w:r>
        <w:rPr>
          <w:rFonts w:hint="eastAsia"/>
        </w:rPr>
        <w:t>4</w:t>
      </w:r>
      <w:r>
        <w:rPr>
          <w:rFonts w:hint="eastAsia"/>
        </w:rPr>
        <w:t>气候条件</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二</w:t>
      </w:r>
      <w:r>
        <w:rPr>
          <w:rFonts w:ascii="Times New Roman"/>
          <w:sz w:val="24"/>
          <w:szCs w:val="16"/>
        </w:rPr>
        <w:t>、地质构造</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工程区地层主要为不同成因第四系松散堆积层；基岩埋藏于第四系松散堆积层之下</w:t>
      </w:r>
      <w:r>
        <w:rPr>
          <w:rFonts w:ascii="Times New Roman" w:hint="eastAsia"/>
          <w:sz w:val="24"/>
          <w:szCs w:val="16"/>
        </w:rPr>
        <w:lastRenderedPageBreak/>
        <w:t>或零星出露于地表。在拟建场地勘探深度范围内的地层主要由第四系人工填土层（</w:t>
      </w:r>
      <w:r>
        <w:rPr>
          <w:rFonts w:ascii="Times New Roman" w:hint="eastAsia"/>
          <w:sz w:val="24"/>
          <w:szCs w:val="16"/>
        </w:rPr>
        <w:t>Q4ml</w:t>
      </w:r>
      <w:r>
        <w:rPr>
          <w:rFonts w:ascii="Times New Roman" w:hint="eastAsia"/>
          <w:sz w:val="24"/>
          <w:szCs w:val="16"/>
        </w:rPr>
        <w:t>）、第四系全新统冲洪积层（</w:t>
      </w:r>
      <w:r>
        <w:rPr>
          <w:rFonts w:ascii="Times New Roman" w:hint="eastAsia"/>
          <w:sz w:val="24"/>
          <w:szCs w:val="16"/>
        </w:rPr>
        <w:t xml:space="preserve">Q4al+dl </w:t>
      </w:r>
      <w:r>
        <w:rPr>
          <w:rFonts w:ascii="Times New Roman" w:hint="eastAsia"/>
          <w:sz w:val="24"/>
          <w:szCs w:val="16"/>
        </w:rPr>
        <w:t>）、第四系全新统坡残积堆积层（</w:t>
      </w:r>
      <w:r>
        <w:rPr>
          <w:rFonts w:ascii="Times New Roman" w:hint="eastAsia"/>
          <w:sz w:val="24"/>
          <w:szCs w:val="16"/>
        </w:rPr>
        <w:t>Q4dl+el</w:t>
      </w:r>
      <w:r>
        <w:rPr>
          <w:rFonts w:ascii="Times New Roman" w:hint="eastAsia"/>
          <w:sz w:val="24"/>
          <w:szCs w:val="16"/>
        </w:rPr>
        <w:t>）、白垩系下统城墙岩群（</w:t>
      </w:r>
      <w:r>
        <w:rPr>
          <w:rFonts w:ascii="Times New Roman" w:hint="eastAsia"/>
          <w:sz w:val="24"/>
          <w:szCs w:val="16"/>
        </w:rPr>
        <w:t>K1ch</w:t>
      </w:r>
      <w:r>
        <w:rPr>
          <w:rFonts w:ascii="Times New Roman" w:hint="eastAsia"/>
          <w:sz w:val="24"/>
          <w:szCs w:val="16"/>
        </w:rPr>
        <w:t>）、侏罗系上统蓬莱镇组（</w:t>
      </w:r>
      <w:r>
        <w:rPr>
          <w:rFonts w:ascii="Times New Roman" w:hint="eastAsia"/>
          <w:sz w:val="24"/>
          <w:szCs w:val="16"/>
        </w:rPr>
        <w:t>J3P</w:t>
      </w:r>
      <w:r>
        <w:rPr>
          <w:rFonts w:ascii="Times New Roman" w:hint="eastAsia"/>
          <w:sz w:val="24"/>
          <w:szCs w:val="16"/>
        </w:rPr>
        <w:t>）组成。</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三</w:t>
      </w:r>
      <w:r>
        <w:rPr>
          <w:rFonts w:ascii="Times New Roman"/>
          <w:sz w:val="24"/>
          <w:szCs w:val="16"/>
        </w:rPr>
        <w:t>、地震烈度</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仪陇县在地质构造上位于新华夏系四川沉降带川北台坳内，巴中</w:t>
      </w:r>
      <w:r>
        <w:rPr>
          <w:rFonts w:ascii="Times New Roman" w:hint="eastAsia"/>
          <w:sz w:val="24"/>
          <w:szCs w:val="16"/>
        </w:rPr>
        <w:t>-</w:t>
      </w:r>
      <w:r>
        <w:rPr>
          <w:rFonts w:ascii="Times New Roman" w:hint="eastAsia"/>
          <w:sz w:val="24"/>
          <w:szCs w:val="16"/>
        </w:rPr>
        <w:t>龙泉山断裂带与华蓥山断裂带之间，该两条断裂带呈北东</w:t>
      </w:r>
      <w:r>
        <w:rPr>
          <w:rFonts w:ascii="Times New Roman" w:hint="eastAsia"/>
          <w:sz w:val="24"/>
          <w:szCs w:val="16"/>
        </w:rPr>
        <w:t>-</w:t>
      </w:r>
      <w:r>
        <w:rPr>
          <w:rFonts w:ascii="Times New Roman" w:hint="eastAsia"/>
          <w:sz w:val="24"/>
          <w:szCs w:val="16"/>
        </w:rPr>
        <w:t>南西走向，延伸较长。工程区内构造变动微弱，岩层产状平缓，近于水平，区内晚近期构造活动微弱，无深大断裂与褶皱构造存在，区内构造简单，构造裂隙不发育，主要受外围地震波及的影响，影响烈度较小，未见破坏性地震。</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根据《中国地震动参数区划图》</w:t>
      </w:r>
      <w:r>
        <w:rPr>
          <w:rFonts w:ascii="Times New Roman" w:hint="eastAsia"/>
          <w:sz w:val="24"/>
          <w:szCs w:val="16"/>
        </w:rPr>
        <w:t>(GB18306-2015)</w:t>
      </w:r>
      <w:r>
        <w:rPr>
          <w:rFonts w:ascii="Times New Roman" w:hint="eastAsia"/>
          <w:sz w:val="24"/>
          <w:szCs w:val="16"/>
        </w:rPr>
        <w:t>，工程区地震动峰值加速度为</w:t>
      </w:r>
      <w:r>
        <w:rPr>
          <w:rFonts w:ascii="Times New Roman" w:hint="eastAsia"/>
          <w:sz w:val="24"/>
          <w:szCs w:val="16"/>
        </w:rPr>
        <w:t>0.05g</w:t>
      </w:r>
      <w:r>
        <w:rPr>
          <w:rFonts w:ascii="Times New Roman" w:hint="eastAsia"/>
          <w:sz w:val="24"/>
          <w:szCs w:val="16"/>
        </w:rPr>
        <w:t>，地震动反应谱特征周期为</w:t>
      </w:r>
      <w:r>
        <w:rPr>
          <w:rFonts w:ascii="Times New Roman" w:hint="eastAsia"/>
          <w:sz w:val="24"/>
          <w:szCs w:val="16"/>
        </w:rPr>
        <w:t>0.35s</w:t>
      </w:r>
      <w:r>
        <w:rPr>
          <w:rFonts w:ascii="Times New Roman" w:hint="eastAsia"/>
          <w:sz w:val="24"/>
          <w:szCs w:val="16"/>
        </w:rPr>
        <w:t>，地震基本烈度为Ⅵ度，场地稳定性较好，适宜本工程的建设。</w:t>
      </w:r>
    </w:p>
    <w:p w:rsidR="006C378F" w:rsidRDefault="00E12213">
      <w:pPr>
        <w:pStyle w:val="3"/>
      </w:pPr>
      <w:r>
        <w:t>2.2.2</w:t>
      </w:r>
      <w:r>
        <w:t>气象</w:t>
      </w:r>
      <w:bookmarkEnd w:id="103"/>
    </w:p>
    <w:p w:rsidR="006C378F" w:rsidRDefault="00E12213">
      <w:pPr>
        <w:pStyle w:val="BZDL1"/>
        <w:spacing w:beforeLines="0" w:before="0" w:afterLines="0" w:after="0" w:line="360" w:lineRule="auto"/>
        <w:ind w:firstLine="480"/>
        <w:rPr>
          <w:rFonts w:ascii="Times New Roman"/>
          <w:sz w:val="24"/>
          <w:szCs w:val="16"/>
        </w:rPr>
      </w:pPr>
      <w:bookmarkStart w:id="104" w:name="_Toc371412989"/>
      <w:r>
        <w:rPr>
          <w:rFonts w:ascii="Times New Roman" w:hint="eastAsia"/>
          <w:sz w:val="24"/>
          <w:szCs w:val="16"/>
        </w:rPr>
        <w:t>仪陇属亚热带湿润季风气候，夏热冬温，无霜期长，阴雾天多，年平均气温</w:t>
      </w:r>
      <w:r>
        <w:rPr>
          <w:rFonts w:ascii="Times New Roman" w:hint="eastAsia"/>
          <w:sz w:val="24"/>
          <w:szCs w:val="16"/>
        </w:rPr>
        <w:t>16</w:t>
      </w:r>
      <w:r>
        <w:rPr>
          <w:rFonts w:ascii="Times New Roman" w:hint="eastAsia"/>
          <w:sz w:val="24"/>
          <w:szCs w:val="16"/>
        </w:rPr>
        <w:t>℃左右，年降水量</w:t>
      </w:r>
      <w:r>
        <w:rPr>
          <w:rFonts w:ascii="Times New Roman" w:hint="eastAsia"/>
          <w:sz w:val="24"/>
          <w:szCs w:val="16"/>
        </w:rPr>
        <w:t>1173.8mm</w:t>
      </w:r>
      <w:r>
        <w:rPr>
          <w:rFonts w:ascii="Times New Roman" w:hint="eastAsia"/>
          <w:sz w:val="24"/>
          <w:szCs w:val="16"/>
        </w:rPr>
        <w:t>，干旱日趋严重。受四川盆地地形影响，仪陇多秋雨天气，云量大、日照少，加之冬季多雾，多年平均日照时数仅</w:t>
      </w:r>
      <w:r>
        <w:rPr>
          <w:rFonts w:ascii="Times New Roman" w:hint="eastAsia"/>
          <w:sz w:val="24"/>
          <w:szCs w:val="16"/>
        </w:rPr>
        <w:t>1200</w:t>
      </w:r>
      <w:r>
        <w:rPr>
          <w:rFonts w:ascii="Times New Roman" w:hint="eastAsia"/>
          <w:sz w:val="24"/>
          <w:szCs w:val="16"/>
        </w:rPr>
        <w:t>～</w:t>
      </w:r>
      <w:r>
        <w:rPr>
          <w:rFonts w:ascii="Times New Roman" w:hint="eastAsia"/>
          <w:sz w:val="24"/>
          <w:szCs w:val="16"/>
        </w:rPr>
        <w:t>1500</w:t>
      </w:r>
      <w:r>
        <w:rPr>
          <w:rFonts w:ascii="Times New Roman" w:hint="eastAsia"/>
          <w:sz w:val="24"/>
          <w:szCs w:val="16"/>
        </w:rPr>
        <w:t>小时，日照率为</w:t>
      </w:r>
      <w:r>
        <w:rPr>
          <w:rFonts w:ascii="Times New Roman" w:hint="eastAsia"/>
          <w:sz w:val="24"/>
          <w:szCs w:val="16"/>
        </w:rPr>
        <w:t>27%</w:t>
      </w:r>
      <w:r>
        <w:rPr>
          <w:rFonts w:ascii="Times New Roman" w:hint="eastAsia"/>
          <w:sz w:val="24"/>
          <w:szCs w:val="16"/>
        </w:rPr>
        <w:t>～</w:t>
      </w:r>
      <w:r>
        <w:rPr>
          <w:rFonts w:ascii="Times New Roman" w:hint="eastAsia"/>
          <w:sz w:val="24"/>
          <w:szCs w:val="16"/>
        </w:rPr>
        <w:t>35%</w:t>
      </w:r>
      <w:r>
        <w:rPr>
          <w:rFonts w:ascii="Times New Roman" w:hint="eastAsia"/>
          <w:sz w:val="24"/>
          <w:szCs w:val="16"/>
        </w:rPr>
        <w:t>，是全省日照较少的地区。降雨时空分布不均，降雨量集中在五至九月。全年有霜期甚短，一般在</w:t>
      </w:r>
      <w:r>
        <w:rPr>
          <w:rFonts w:ascii="Times New Roman" w:hint="eastAsia"/>
          <w:sz w:val="24"/>
          <w:szCs w:val="16"/>
        </w:rPr>
        <w:t>60</w:t>
      </w:r>
      <w:r>
        <w:rPr>
          <w:rFonts w:ascii="Times New Roman" w:hint="eastAsia"/>
          <w:sz w:val="24"/>
          <w:szCs w:val="16"/>
        </w:rPr>
        <w:t>天左右。春季花明，夏日风清，秋熟香溢，冬至温润，空气湿度大，阴天多。</w:t>
      </w:r>
    </w:p>
    <w:p w:rsidR="006C378F" w:rsidRDefault="00E12213">
      <w:pPr>
        <w:pStyle w:val="3"/>
      </w:pPr>
      <w:r>
        <w:t>2.2.3</w:t>
      </w:r>
      <w:r>
        <w:t>水文</w:t>
      </w:r>
      <w:bookmarkEnd w:id="104"/>
    </w:p>
    <w:p w:rsidR="006C378F" w:rsidRDefault="00E12213">
      <w:pPr>
        <w:pStyle w:val="BZDL1"/>
        <w:spacing w:beforeLines="0" w:before="0" w:afterLines="0" w:after="0" w:line="360" w:lineRule="auto"/>
        <w:ind w:firstLine="480"/>
        <w:rPr>
          <w:rFonts w:ascii="Times New Roman"/>
          <w:sz w:val="24"/>
          <w:szCs w:val="16"/>
        </w:rPr>
      </w:pPr>
      <w:bookmarkStart w:id="105" w:name="_Toc371412990"/>
      <w:r>
        <w:rPr>
          <w:rFonts w:ascii="Times New Roman"/>
          <w:sz w:val="24"/>
          <w:szCs w:val="16"/>
        </w:rPr>
        <w:t>仪陇县的水系简单，四条河流（</w:t>
      </w:r>
      <w:r>
        <w:rPr>
          <w:rFonts w:ascii="Times New Roman" w:hint="eastAsia"/>
          <w:sz w:val="24"/>
          <w:szCs w:val="16"/>
        </w:rPr>
        <w:t>流江</w:t>
      </w:r>
      <w:r>
        <w:rPr>
          <w:rFonts w:ascii="Times New Roman"/>
          <w:sz w:val="24"/>
          <w:szCs w:val="16"/>
        </w:rPr>
        <w:t>河、</w:t>
      </w:r>
      <w:r>
        <w:rPr>
          <w:rFonts w:ascii="Times New Roman" w:hint="eastAsia"/>
          <w:sz w:val="24"/>
          <w:szCs w:val="16"/>
        </w:rPr>
        <w:t>绿水</w:t>
      </w:r>
      <w:r>
        <w:rPr>
          <w:rFonts w:ascii="Times New Roman"/>
          <w:sz w:val="24"/>
          <w:szCs w:val="16"/>
        </w:rPr>
        <w:t>河、</w:t>
      </w:r>
      <w:r>
        <w:rPr>
          <w:rFonts w:ascii="Times New Roman" w:hint="eastAsia"/>
          <w:sz w:val="24"/>
          <w:szCs w:val="16"/>
        </w:rPr>
        <w:t>思凤溪</w:t>
      </w:r>
      <w:r>
        <w:rPr>
          <w:rFonts w:ascii="Times New Roman"/>
          <w:sz w:val="24"/>
          <w:szCs w:val="16"/>
        </w:rPr>
        <w:t>、</w:t>
      </w:r>
      <w:r>
        <w:rPr>
          <w:rFonts w:ascii="Times New Roman" w:hint="eastAsia"/>
          <w:sz w:val="24"/>
          <w:szCs w:val="16"/>
        </w:rPr>
        <w:t>环山</w:t>
      </w:r>
      <w:r>
        <w:rPr>
          <w:rFonts w:ascii="Times New Roman"/>
          <w:sz w:val="24"/>
          <w:szCs w:val="16"/>
        </w:rPr>
        <w:t>河）纵贯全境，以渠江水系为主，其面积占幅员面积的</w:t>
      </w:r>
      <w:r>
        <w:rPr>
          <w:rFonts w:ascii="Times New Roman"/>
          <w:sz w:val="24"/>
          <w:szCs w:val="16"/>
        </w:rPr>
        <w:t xml:space="preserve"> 90%</w:t>
      </w:r>
      <w:r>
        <w:rPr>
          <w:rFonts w:ascii="Times New Roman"/>
          <w:sz w:val="24"/>
          <w:szCs w:val="16"/>
        </w:rPr>
        <w:t>。渠江水系的河流有</w:t>
      </w:r>
      <w:r>
        <w:rPr>
          <w:rFonts w:ascii="Times New Roman" w:hint="eastAsia"/>
          <w:sz w:val="24"/>
          <w:szCs w:val="16"/>
        </w:rPr>
        <w:t>流江</w:t>
      </w:r>
      <w:r>
        <w:rPr>
          <w:rFonts w:ascii="Times New Roman"/>
          <w:sz w:val="24"/>
          <w:szCs w:val="16"/>
        </w:rPr>
        <w:t>河、</w:t>
      </w:r>
      <w:r>
        <w:rPr>
          <w:rFonts w:ascii="Times New Roman" w:hint="eastAsia"/>
          <w:sz w:val="24"/>
          <w:szCs w:val="16"/>
        </w:rPr>
        <w:t>绿水</w:t>
      </w:r>
      <w:r>
        <w:rPr>
          <w:rFonts w:ascii="Times New Roman"/>
          <w:sz w:val="24"/>
          <w:szCs w:val="16"/>
        </w:rPr>
        <w:t>河、</w:t>
      </w:r>
      <w:r>
        <w:rPr>
          <w:rFonts w:ascii="Times New Roman" w:hint="eastAsia"/>
          <w:sz w:val="24"/>
          <w:szCs w:val="16"/>
        </w:rPr>
        <w:t>思凤溪</w:t>
      </w:r>
      <w:r>
        <w:rPr>
          <w:rFonts w:ascii="Times New Roman"/>
          <w:sz w:val="24"/>
          <w:szCs w:val="16"/>
        </w:rPr>
        <w:t>，其中</w:t>
      </w:r>
      <w:r>
        <w:rPr>
          <w:rFonts w:ascii="Times New Roman" w:hint="eastAsia"/>
          <w:sz w:val="24"/>
          <w:szCs w:val="16"/>
        </w:rPr>
        <w:t>流江河</w:t>
      </w:r>
      <w:r>
        <w:rPr>
          <w:rFonts w:ascii="Times New Roman"/>
          <w:sz w:val="24"/>
          <w:szCs w:val="16"/>
        </w:rPr>
        <w:t>发源于仪陇与巴中县交界的檬垭，在仪陇县境又称绿水河，河源段又称中坝河。</w:t>
      </w:r>
      <w:r>
        <w:rPr>
          <w:rFonts w:ascii="Times New Roman" w:hint="eastAsia"/>
          <w:sz w:val="24"/>
          <w:szCs w:val="16"/>
        </w:rPr>
        <w:t>流江河</w:t>
      </w:r>
      <w:r>
        <w:rPr>
          <w:rFonts w:ascii="Times New Roman"/>
          <w:sz w:val="24"/>
          <w:szCs w:val="16"/>
        </w:rPr>
        <w:t>东南流经日兴、绿水、新店、骆市、小桥等地，于黄渡与</w:t>
      </w:r>
      <w:r>
        <w:rPr>
          <w:rFonts w:ascii="Times New Roman" w:hint="eastAsia"/>
          <w:sz w:val="24"/>
          <w:szCs w:val="16"/>
        </w:rPr>
        <w:t>思凤溪</w:t>
      </w:r>
      <w:r>
        <w:rPr>
          <w:rFonts w:ascii="Times New Roman"/>
          <w:sz w:val="24"/>
          <w:szCs w:val="16"/>
        </w:rPr>
        <w:t>汇合，流域面积</w:t>
      </w:r>
      <w:r>
        <w:rPr>
          <w:rFonts w:ascii="Times New Roman"/>
          <w:sz w:val="24"/>
          <w:szCs w:val="16"/>
        </w:rPr>
        <w:t xml:space="preserve"> 597 </w:t>
      </w:r>
      <w:r>
        <w:rPr>
          <w:rFonts w:ascii="Times New Roman"/>
          <w:sz w:val="24"/>
          <w:szCs w:val="16"/>
        </w:rPr>
        <w:t>平方公里，境内面积</w:t>
      </w:r>
      <w:r>
        <w:rPr>
          <w:rFonts w:ascii="Times New Roman"/>
          <w:sz w:val="24"/>
          <w:szCs w:val="16"/>
        </w:rPr>
        <w:t xml:space="preserve"> 543.9 </w:t>
      </w:r>
      <w:r>
        <w:rPr>
          <w:rFonts w:ascii="Times New Roman"/>
          <w:sz w:val="24"/>
          <w:szCs w:val="16"/>
        </w:rPr>
        <w:t>平方公里；</w:t>
      </w:r>
      <w:r>
        <w:rPr>
          <w:rFonts w:ascii="Times New Roman" w:hint="eastAsia"/>
          <w:sz w:val="24"/>
          <w:szCs w:val="16"/>
        </w:rPr>
        <w:t>绿水河</w:t>
      </w:r>
      <w:r>
        <w:rPr>
          <w:rFonts w:ascii="Times New Roman"/>
          <w:sz w:val="24"/>
          <w:szCs w:val="16"/>
        </w:rPr>
        <w:t>流域面积</w:t>
      </w:r>
      <w:r>
        <w:rPr>
          <w:rFonts w:ascii="Times New Roman"/>
          <w:sz w:val="24"/>
          <w:szCs w:val="16"/>
        </w:rPr>
        <w:t xml:space="preserve">335.6 </w:t>
      </w:r>
      <w:r>
        <w:rPr>
          <w:rFonts w:ascii="Times New Roman"/>
          <w:sz w:val="24"/>
          <w:szCs w:val="16"/>
        </w:rPr>
        <w:t>平方公里；</w:t>
      </w:r>
      <w:r>
        <w:rPr>
          <w:rFonts w:ascii="Times New Roman" w:hint="eastAsia"/>
          <w:sz w:val="24"/>
          <w:szCs w:val="16"/>
        </w:rPr>
        <w:t>思凤溪</w:t>
      </w:r>
      <w:r>
        <w:rPr>
          <w:rFonts w:ascii="Times New Roman"/>
          <w:sz w:val="24"/>
          <w:szCs w:val="16"/>
        </w:rPr>
        <w:t>发源于巴中县群乐乡大沙坪，在仪陇县境内又称梯子河，自北向南流，入仪陇县境后，至义路乡折向南流。穿思德水库，曲折南流。至行锋村，左纳玉桥河，至龙桥乡，左纳龙桥河，至三河乡右纳骑龙河、灯塔河，过板桥乡出仪陇入营山县境。过三元、消水、二龙，于黄渡与西来的</w:t>
      </w:r>
      <w:r>
        <w:rPr>
          <w:rFonts w:ascii="Times New Roman" w:hint="eastAsia"/>
          <w:sz w:val="24"/>
          <w:szCs w:val="16"/>
        </w:rPr>
        <w:t>流江河</w:t>
      </w:r>
      <w:r>
        <w:rPr>
          <w:rFonts w:ascii="Times New Roman"/>
          <w:sz w:val="24"/>
          <w:szCs w:val="16"/>
        </w:rPr>
        <w:t>汇合，流域面积</w:t>
      </w:r>
      <w:r>
        <w:rPr>
          <w:rFonts w:ascii="Times New Roman"/>
          <w:sz w:val="24"/>
          <w:szCs w:val="16"/>
        </w:rPr>
        <w:t xml:space="preserve">511.8 </w:t>
      </w:r>
      <w:r>
        <w:rPr>
          <w:rFonts w:ascii="Times New Roman"/>
          <w:sz w:val="24"/>
          <w:szCs w:val="16"/>
        </w:rPr>
        <w:t>平方公里，境内面积</w:t>
      </w:r>
      <w:r>
        <w:rPr>
          <w:rFonts w:ascii="Times New Roman"/>
          <w:sz w:val="24"/>
          <w:szCs w:val="16"/>
        </w:rPr>
        <w:t xml:space="preserve"> 457.1 </w:t>
      </w:r>
      <w:r>
        <w:rPr>
          <w:rFonts w:ascii="Times New Roman"/>
          <w:sz w:val="24"/>
          <w:szCs w:val="16"/>
        </w:rPr>
        <w:t>平</w:t>
      </w:r>
      <w:r>
        <w:rPr>
          <w:rFonts w:ascii="Times New Roman"/>
          <w:sz w:val="24"/>
          <w:szCs w:val="16"/>
        </w:rPr>
        <w:lastRenderedPageBreak/>
        <w:t>方公里。嘉陵江水系的河流只有</w:t>
      </w:r>
      <w:r>
        <w:rPr>
          <w:rFonts w:ascii="Times New Roman" w:hint="eastAsia"/>
          <w:sz w:val="24"/>
          <w:szCs w:val="16"/>
        </w:rPr>
        <w:t>环山河</w:t>
      </w:r>
      <w:r>
        <w:rPr>
          <w:rFonts w:ascii="Times New Roman"/>
          <w:sz w:val="24"/>
          <w:szCs w:val="16"/>
        </w:rPr>
        <w:t>，该河贯穿于新政镇，其流域面积</w:t>
      </w:r>
      <w:r>
        <w:rPr>
          <w:rFonts w:ascii="Times New Roman"/>
          <w:sz w:val="24"/>
          <w:szCs w:val="16"/>
        </w:rPr>
        <w:t xml:space="preserve"> 246.6 </w:t>
      </w:r>
      <w:r>
        <w:rPr>
          <w:rFonts w:ascii="Times New Roman"/>
          <w:sz w:val="24"/>
          <w:szCs w:val="16"/>
        </w:rPr>
        <w:t>平方公里。</w:t>
      </w:r>
    </w:p>
    <w:p w:rsidR="006C378F" w:rsidRDefault="00E12213">
      <w:pPr>
        <w:pStyle w:val="3"/>
      </w:pPr>
      <w:r>
        <w:t>2.2.4</w:t>
      </w:r>
      <w:r>
        <w:t>植被</w:t>
      </w:r>
      <w:bookmarkEnd w:id="105"/>
    </w:p>
    <w:p w:rsidR="006C378F" w:rsidRDefault="00E12213">
      <w:pPr>
        <w:pStyle w:val="BZDL1"/>
        <w:spacing w:beforeLines="0" w:before="0" w:afterLines="0" w:after="0" w:line="360" w:lineRule="auto"/>
        <w:ind w:firstLine="480"/>
        <w:rPr>
          <w:rFonts w:ascii="Times New Roman"/>
          <w:sz w:val="24"/>
          <w:szCs w:val="16"/>
        </w:rPr>
      </w:pPr>
      <w:bookmarkStart w:id="106" w:name="_Toc371412991"/>
      <w:r>
        <w:rPr>
          <w:rFonts w:ascii="Times New Roman" w:hint="eastAsia"/>
          <w:sz w:val="24"/>
          <w:szCs w:val="16"/>
        </w:rPr>
        <w:t>仪陇县植被类型属于亚热带常绿阔叶林，</w:t>
      </w:r>
      <w:r>
        <w:rPr>
          <w:rFonts w:ascii="Times New Roman" w:hint="eastAsia"/>
          <w:sz w:val="24"/>
          <w:szCs w:val="16"/>
        </w:rPr>
        <w:t xml:space="preserve">50 </w:t>
      </w:r>
      <w:r>
        <w:rPr>
          <w:rFonts w:ascii="Times New Roman" w:hint="eastAsia"/>
          <w:sz w:val="24"/>
          <w:szCs w:val="16"/>
        </w:rPr>
        <w:t>年代初仪陇县人口稀少，山川秀美，林草覆盖率为</w:t>
      </w:r>
      <w:r>
        <w:rPr>
          <w:rFonts w:ascii="Times New Roman" w:hint="eastAsia"/>
          <w:sz w:val="24"/>
          <w:szCs w:val="16"/>
        </w:rPr>
        <w:t xml:space="preserve"> 30.3%</w:t>
      </w:r>
      <w:r>
        <w:rPr>
          <w:rFonts w:ascii="Times New Roman" w:hint="eastAsia"/>
          <w:sz w:val="24"/>
          <w:szCs w:val="16"/>
        </w:rPr>
        <w:t>，三河、板桥、立山、茶房乡等地森林茂密，覆盖率达</w:t>
      </w:r>
      <w:r>
        <w:rPr>
          <w:rFonts w:ascii="Times New Roman" w:hint="eastAsia"/>
          <w:sz w:val="24"/>
          <w:szCs w:val="16"/>
        </w:rPr>
        <w:t xml:space="preserve"> 40%</w:t>
      </w:r>
      <w:r>
        <w:rPr>
          <w:rFonts w:ascii="Times New Roman" w:hint="eastAsia"/>
          <w:sz w:val="24"/>
          <w:szCs w:val="16"/>
        </w:rPr>
        <w:t>。</w:t>
      </w:r>
      <w:r>
        <w:rPr>
          <w:rFonts w:ascii="Times New Roman" w:hint="eastAsia"/>
          <w:sz w:val="24"/>
          <w:szCs w:val="16"/>
        </w:rPr>
        <w:t xml:space="preserve"> </w:t>
      </w:r>
      <w:r>
        <w:rPr>
          <w:rFonts w:ascii="Times New Roman" w:hint="eastAsia"/>
          <w:sz w:val="24"/>
          <w:szCs w:val="16"/>
        </w:rPr>
        <w:t>目前，仪陇县的林草覆盖率为</w:t>
      </w:r>
      <w:r>
        <w:rPr>
          <w:rFonts w:ascii="Times New Roman" w:hint="eastAsia"/>
          <w:sz w:val="24"/>
          <w:szCs w:val="16"/>
        </w:rPr>
        <w:t xml:space="preserve"> 35%</w:t>
      </w:r>
      <w:r>
        <w:rPr>
          <w:rFonts w:ascii="Times New Roman" w:hint="eastAsia"/>
          <w:sz w:val="24"/>
          <w:szCs w:val="16"/>
        </w:rPr>
        <w:t>左右，主要用材林树种有松、柏、桤、桉、槐、柳树等，灌木树种主要有黄荆、马桑等，东部立山区一带的植被较好。</w:t>
      </w:r>
    </w:p>
    <w:p w:rsidR="006C378F" w:rsidRDefault="00E12213">
      <w:pPr>
        <w:pStyle w:val="3"/>
      </w:pPr>
      <w:r>
        <w:t>2.2.5</w:t>
      </w:r>
      <w:r>
        <w:t>土壤</w:t>
      </w:r>
      <w:bookmarkEnd w:id="106"/>
    </w:p>
    <w:p w:rsidR="006C378F" w:rsidRDefault="00E12213">
      <w:pPr>
        <w:pStyle w:val="BZDL1"/>
        <w:spacing w:beforeLines="0" w:before="0" w:afterLines="0" w:after="0" w:line="360" w:lineRule="auto"/>
        <w:ind w:firstLine="480"/>
        <w:rPr>
          <w:rFonts w:ascii="Times New Roman"/>
          <w:sz w:val="24"/>
          <w:szCs w:val="16"/>
        </w:rPr>
      </w:pPr>
      <w:bookmarkStart w:id="107" w:name="_Toc371412992"/>
      <w:bookmarkStart w:id="108" w:name="_Toc12564"/>
      <w:bookmarkStart w:id="109" w:name="_Toc7818"/>
      <w:r>
        <w:rPr>
          <w:rFonts w:ascii="Times New Roman" w:hint="eastAsia"/>
          <w:sz w:val="24"/>
          <w:szCs w:val="16"/>
        </w:rPr>
        <w:t>仪陇县境内土壤深受成土母岩影响。在特定的气候环境下，形成了以紫色土（石灰紫色土）、水稻土为主的土壤系列，紫色土约占全县耕地面积</w:t>
      </w:r>
      <w:r>
        <w:rPr>
          <w:rFonts w:ascii="Times New Roman" w:hint="eastAsia"/>
          <w:sz w:val="24"/>
          <w:szCs w:val="16"/>
        </w:rPr>
        <w:t>50%</w:t>
      </w:r>
      <w:r>
        <w:rPr>
          <w:rFonts w:ascii="Times New Roman" w:hint="eastAsia"/>
          <w:sz w:val="24"/>
          <w:szCs w:val="16"/>
        </w:rPr>
        <w:t>；水稻土约占全县耕地面积</w:t>
      </w:r>
      <w:r>
        <w:rPr>
          <w:rFonts w:ascii="Times New Roman" w:hint="eastAsia"/>
          <w:sz w:val="24"/>
          <w:szCs w:val="16"/>
        </w:rPr>
        <w:t>49.24%</w:t>
      </w:r>
      <w:r>
        <w:rPr>
          <w:rFonts w:ascii="Times New Roman" w:hint="eastAsia"/>
          <w:sz w:val="24"/>
          <w:szCs w:val="16"/>
        </w:rPr>
        <w:t>；潮土约占全县耕地面积</w:t>
      </w:r>
      <w:r>
        <w:rPr>
          <w:rFonts w:ascii="Times New Roman" w:hint="eastAsia"/>
          <w:sz w:val="24"/>
          <w:szCs w:val="16"/>
        </w:rPr>
        <w:t>0.2%</w:t>
      </w:r>
      <w:r>
        <w:rPr>
          <w:rFonts w:ascii="Times New Roman" w:hint="eastAsia"/>
          <w:sz w:val="24"/>
          <w:szCs w:val="16"/>
        </w:rPr>
        <w:t>；黄壤土约占全县耕地面积的</w:t>
      </w:r>
      <w:r>
        <w:rPr>
          <w:rFonts w:ascii="Times New Roman" w:hint="eastAsia"/>
          <w:sz w:val="24"/>
          <w:szCs w:val="16"/>
        </w:rPr>
        <w:t>0.56%</w:t>
      </w:r>
      <w:r>
        <w:rPr>
          <w:rFonts w:ascii="Times New Roman" w:hint="eastAsia"/>
          <w:sz w:val="24"/>
          <w:szCs w:val="16"/>
        </w:rPr>
        <w:t>。紫色土壤结构良好、疏松透气好、微生物多、宜种性广。</w:t>
      </w:r>
    </w:p>
    <w:p w:rsidR="006C378F" w:rsidRDefault="00E12213">
      <w:pPr>
        <w:pStyle w:val="2"/>
      </w:pPr>
      <w:bookmarkStart w:id="110" w:name="_Toc62180003"/>
      <w:bookmarkStart w:id="111" w:name="_Toc7660"/>
      <w:r>
        <w:t>2.3</w:t>
      </w:r>
      <w:r>
        <w:t>社会经济概况</w:t>
      </w:r>
      <w:bookmarkEnd w:id="107"/>
      <w:bookmarkEnd w:id="108"/>
      <w:bookmarkEnd w:id="109"/>
      <w:bookmarkEnd w:id="110"/>
      <w:bookmarkEnd w:id="111"/>
    </w:p>
    <w:p w:rsidR="006C378F" w:rsidRDefault="00E12213">
      <w:pPr>
        <w:pStyle w:val="BZDL1"/>
        <w:spacing w:beforeLines="0" w:before="0" w:afterLines="0" w:after="0" w:line="360" w:lineRule="auto"/>
        <w:ind w:firstLine="480"/>
        <w:rPr>
          <w:rFonts w:ascii="Times New Roman"/>
          <w:sz w:val="24"/>
          <w:szCs w:val="16"/>
        </w:rPr>
      </w:pPr>
      <w:bookmarkStart w:id="112" w:name="_Toc371412995"/>
      <w:r>
        <w:rPr>
          <w:rFonts w:ascii="Times New Roman" w:hint="eastAsia"/>
          <w:sz w:val="24"/>
          <w:szCs w:val="16"/>
        </w:rPr>
        <w:t>仪陇县位于东经</w:t>
      </w:r>
      <w:r>
        <w:rPr>
          <w:rFonts w:ascii="Times New Roman"/>
          <w:sz w:val="24"/>
          <w:szCs w:val="16"/>
        </w:rPr>
        <w:t>106°13'</w:t>
      </w:r>
      <w:r>
        <w:rPr>
          <w:rFonts w:ascii="Times New Roman"/>
          <w:sz w:val="24"/>
          <w:szCs w:val="16"/>
        </w:rPr>
        <w:t>～</w:t>
      </w:r>
      <w:r>
        <w:rPr>
          <w:rFonts w:ascii="Times New Roman"/>
          <w:sz w:val="24"/>
          <w:szCs w:val="16"/>
        </w:rPr>
        <w:t>106°52'</w:t>
      </w:r>
      <w:r>
        <w:rPr>
          <w:rFonts w:ascii="Times New Roman"/>
          <w:sz w:val="24"/>
          <w:szCs w:val="16"/>
        </w:rPr>
        <w:t>，北纬</w:t>
      </w:r>
      <w:r>
        <w:rPr>
          <w:rFonts w:ascii="Times New Roman"/>
          <w:sz w:val="24"/>
          <w:szCs w:val="16"/>
        </w:rPr>
        <w:t>31°11'</w:t>
      </w:r>
      <w:r>
        <w:rPr>
          <w:rFonts w:ascii="Times New Roman"/>
          <w:sz w:val="24"/>
          <w:szCs w:val="16"/>
        </w:rPr>
        <w:t>～</w:t>
      </w:r>
      <w:r>
        <w:rPr>
          <w:rFonts w:ascii="Times New Roman"/>
          <w:sz w:val="24"/>
          <w:szCs w:val="16"/>
        </w:rPr>
        <w:t>31°39'</w:t>
      </w:r>
      <w:r>
        <w:rPr>
          <w:rFonts w:ascii="Times New Roman"/>
          <w:sz w:val="24"/>
          <w:szCs w:val="16"/>
        </w:rPr>
        <w:t>。地处四川省</w:t>
      </w:r>
      <w:r>
        <w:rPr>
          <w:rFonts w:ascii="Times New Roman" w:hint="eastAsia"/>
          <w:sz w:val="24"/>
          <w:szCs w:val="16"/>
        </w:rPr>
        <w:t>南充市</w:t>
      </w:r>
      <w:r>
        <w:rPr>
          <w:rFonts w:ascii="Times New Roman"/>
          <w:sz w:val="24"/>
          <w:szCs w:val="16"/>
        </w:rPr>
        <w:t>东北部，东与平昌县为邻，南与营山县、蓬安县接壤，西连南部县、阆中市，北与巴中市巴州区毗连，南朝置县，</w:t>
      </w:r>
      <w:r>
        <w:rPr>
          <w:rFonts w:ascii="Times New Roman"/>
          <w:sz w:val="24"/>
          <w:szCs w:val="16"/>
        </w:rPr>
        <w:t>101</w:t>
      </w:r>
      <w:r>
        <w:rPr>
          <w:rFonts w:ascii="Times New Roman"/>
          <w:sz w:val="24"/>
          <w:szCs w:val="16"/>
        </w:rPr>
        <w:t>、</w:t>
      </w:r>
      <w:r>
        <w:rPr>
          <w:rFonts w:ascii="Times New Roman"/>
          <w:sz w:val="24"/>
          <w:szCs w:val="16"/>
        </w:rPr>
        <w:t>203</w:t>
      </w:r>
      <w:r>
        <w:rPr>
          <w:rFonts w:ascii="Times New Roman"/>
          <w:sz w:val="24"/>
          <w:szCs w:val="16"/>
        </w:rPr>
        <w:t>省道，</w:t>
      </w:r>
      <w:r>
        <w:rPr>
          <w:rFonts w:ascii="Times New Roman"/>
          <w:sz w:val="24"/>
          <w:szCs w:val="16"/>
        </w:rPr>
        <w:t>S2</w:t>
      </w:r>
      <w:hyperlink r:id="rId13" w:tgtFrame="https://baike.baidu.com/item/%E4%BB%AA%E9%99%87%E5%8E%BF/_blank" w:history="1">
        <w:r>
          <w:rPr>
            <w:rFonts w:ascii="Times New Roman"/>
            <w:sz w:val="24"/>
            <w:szCs w:val="16"/>
          </w:rPr>
          <w:t>成巴高速公路</w:t>
        </w:r>
      </w:hyperlink>
      <w:r>
        <w:rPr>
          <w:rFonts w:ascii="Times New Roman"/>
          <w:sz w:val="24"/>
          <w:szCs w:val="16"/>
        </w:rPr>
        <w:t>、</w:t>
      </w:r>
      <w:hyperlink r:id="rId14" w:tgtFrame="https://baike.baidu.com/item/%E4%BB%AA%E9%99%87%E5%8E%BF/_blank" w:history="1">
        <w:r>
          <w:rPr>
            <w:rFonts w:ascii="Times New Roman"/>
            <w:sz w:val="24"/>
            <w:szCs w:val="16"/>
          </w:rPr>
          <w:t>巴广渝高速公路</w:t>
        </w:r>
      </w:hyperlink>
      <w:r>
        <w:rPr>
          <w:rFonts w:ascii="Times New Roman"/>
          <w:sz w:val="24"/>
          <w:szCs w:val="16"/>
        </w:rPr>
        <w:t>和阆仪营高速公路贯穿仪陇县县境。县城距南充市区</w:t>
      </w:r>
      <w:r>
        <w:rPr>
          <w:rFonts w:ascii="Times New Roman"/>
          <w:sz w:val="24"/>
          <w:szCs w:val="16"/>
        </w:rPr>
        <w:t>69</w:t>
      </w:r>
      <w:r>
        <w:rPr>
          <w:rFonts w:ascii="Times New Roman"/>
          <w:sz w:val="24"/>
          <w:szCs w:val="16"/>
        </w:rPr>
        <w:t>公里，距省会成都市区</w:t>
      </w:r>
      <w:r>
        <w:rPr>
          <w:rFonts w:ascii="Times New Roman"/>
          <w:sz w:val="24"/>
          <w:szCs w:val="16"/>
        </w:rPr>
        <w:t>269</w:t>
      </w:r>
      <w:r>
        <w:rPr>
          <w:rFonts w:ascii="Times New Roman"/>
          <w:sz w:val="24"/>
          <w:szCs w:val="16"/>
        </w:rPr>
        <w:t>公里。</w:t>
      </w:r>
      <w:r>
        <w:rPr>
          <w:rFonts w:ascii="Times New Roman" w:hint="eastAsia"/>
          <w:sz w:val="24"/>
          <w:szCs w:val="16"/>
        </w:rPr>
        <w:t>2016</w:t>
      </w:r>
      <w:r>
        <w:rPr>
          <w:rFonts w:ascii="Times New Roman" w:hint="eastAsia"/>
          <w:sz w:val="24"/>
          <w:szCs w:val="16"/>
        </w:rPr>
        <w:t>年年末全县总人口</w:t>
      </w:r>
      <w:r>
        <w:rPr>
          <w:rFonts w:ascii="Times New Roman" w:hint="eastAsia"/>
          <w:sz w:val="24"/>
          <w:szCs w:val="16"/>
        </w:rPr>
        <w:t>1088665</w:t>
      </w:r>
      <w:r>
        <w:rPr>
          <w:rFonts w:ascii="Times New Roman" w:hint="eastAsia"/>
          <w:sz w:val="24"/>
          <w:szCs w:val="16"/>
        </w:rPr>
        <w:t>人，其中城镇常住人口</w:t>
      </w:r>
      <w:r>
        <w:rPr>
          <w:rFonts w:ascii="Times New Roman" w:hint="eastAsia"/>
          <w:sz w:val="24"/>
          <w:szCs w:val="16"/>
        </w:rPr>
        <w:t>35.92</w:t>
      </w:r>
      <w:r>
        <w:rPr>
          <w:rFonts w:ascii="Times New Roman" w:hint="eastAsia"/>
          <w:sz w:val="24"/>
          <w:szCs w:val="16"/>
        </w:rPr>
        <w:t>万人，全年出生人口</w:t>
      </w:r>
      <w:r>
        <w:rPr>
          <w:rFonts w:ascii="Times New Roman" w:hint="eastAsia"/>
          <w:sz w:val="24"/>
          <w:szCs w:val="16"/>
        </w:rPr>
        <w:t>10639</w:t>
      </w:r>
      <w:r>
        <w:rPr>
          <w:rFonts w:ascii="Times New Roman" w:hint="eastAsia"/>
          <w:sz w:val="24"/>
          <w:szCs w:val="16"/>
        </w:rPr>
        <w:t>人，出生率为</w:t>
      </w:r>
      <w:r>
        <w:rPr>
          <w:rFonts w:ascii="Times New Roman" w:hint="eastAsia"/>
          <w:sz w:val="24"/>
          <w:szCs w:val="16"/>
        </w:rPr>
        <w:t>9.67</w:t>
      </w:r>
      <w:r>
        <w:rPr>
          <w:rFonts w:ascii="Times New Roman" w:hint="eastAsia"/>
          <w:sz w:val="24"/>
          <w:szCs w:val="16"/>
        </w:rPr>
        <w:t>‰，死亡率为</w:t>
      </w:r>
      <w:r>
        <w:rPr>
          <w:rFonts w:ascii="Times New Roman" w:hint="eastAsia"/>
          <w:sz w:val="24"/>
          <w:szCs w:val="16"/>
        </w:rPr>
        <w:t>5.42</w:t>
      </w:r>
      <w:r>
        <w:rPr>
          <w:rFonts w:ascii="Times New Roman" w:hint="eastAsia"/>
          <w:sz w:val="24"/>
          <w:szCs w:val="16"/>
        </w:rPr>
        <w:t>‰；自然生长率为</w:t>
      </w:r>
      <w:r>
        <w:rPr>
          <w:rFonts w:ascii="Times New Roman" w:hint="eastAsia"/>
          <w:sz w:val="24"/>
          <w:szCs w:val="16"/>
        </w:rPr>
        <w:t>4.25</w:t>
      </w:r>
      <w:r>
        <w:rPr>
          <w:rFonts w:ascii="Times New Roman" w:hint="eastAsia"/>
          <w:sz w:val="24"/>
          <w:szCs w:val="16"/>
        </w:rPr>
        <w:t>‰。</w:t>
      </w:r>
    </w:p>
    <w:p w:rsidR="006C378F" w:rsidRDefault="00E12213">
      <w:pPr>
        <w:pStyle w:val="2"/>
      </w:pPr>
      <w:bookmarkStart w:id="113" w:name="_Toc15010"/>
      <w:bookmarkStart w:id="114" w:name="_Toc62180004"/>
      <w:bookmarkStart w:id="115" w:name="_Toc21403"/>
      <w:bookmarkStart w:id="116" w:name="_Toc29079"/>
      <w:r>
        <w:t>2.4</w:t>
      </w:r>
      <w:r>
        <w:t>土地利用现状</w:t>
      </w:r>
      <w:bookmarkEnd w:id="112"/>
      <w:bookmarkEnd w:id="113"/>
      <w:bookmarkEnd w:id="114"/>
      <w:bookmarkEnd w:id="115"/>
      <w:bookmarkEnd w:id="116"/>
    </w:p>
    <w:p w:rsidR="006C378F" w:rsidRDefault="00E12213">
      <w:pPr>
        <w:pStyle w:val="BZDL1"/>
        <w:spacing w:beforeLines="0" w:before="0" w:afterLines="0" w:after="0" w:line="360" w:lineRule="auto"/>
        <w:ind w:firstLine="480"/>
        <w:rPr>
          <w:rFonts w:ascii="Times New Roman"/>
          <w:sz w:val="24"/>
          <w:szCs w:val="16"/>
        </w:rPr>
      </w:pPr>
      <w:bookmarkStart w:id="117" w:name="_Toc13332"/>
      <w:bookmarkStart w:id="118" w:name="_Toc371412996"/>
      <w:bookmarkStart w:id="119" w:name="_Toc28252"/>
      <w:r>
        <w:rPr>
          <w:rFonts w:ascii="Times New Roman" w:hint="eastAsia"/>
          <w:sz w:val="24"/>
          <w:szCs w:val="16"/>
        </w:rPr>
        <w:t>根据仪陇县</w:t>
      </w:r>
      <w:r>
        <w:rPr>
          <w:rFonts w:ascii="Times New Roman" w:hint="eastAsia"/>
          <w:sz w:val="24"/>
          <w:szCs w:val="16"/>
        </w:rPr>
        <w:t xml:space="preserve"> 2014 </w:t>
      </w:r>
      <w:r>
        <w:rPr>
          <w:rFonts w:ascii="Times New Roman" w:hint="eastAsia"/>
          <w:sz w:val="24"/>
          <w:szCs w:val="16"/>
        </w:rPr>
        <w:t>年土地利用变更成果资料，全县土地总面积为</w:t>
      </w:r>
      <w:r>
        <w:rPr>
          <w:rFonts w:ascii="Times New Roman" w:hint="eastAsia"/>
          <w:sz w:val="24"/>
          <w:szCs w:val="16"/>
        </w:rPr>
        <w:t>179096.64  hm2</w:t>
      </w:r>
      <w:r>
        <w:rPr>
          <w:rFonts w:ascii="Times New Roman" w:hint="eastAsia"/>
          <w:sz w:val="24"/>
          <w:szCs w:val="16"/>
        </w:rPr>
        <w:t>。其中：耕地面积</w:t>
      </w:r>
      <w:r>
        <w:rPr>
          <w:rFonts w:ascii="Times New Roman" w:hint="eastAsia"/>
          <w:sz w:val="24"/>
          <w:szCs w:val="16"/>
        </w:rPr>
        <w:t xml:space="preserve"> 68894.04 hm2</w:t>
      </w:r>
      <w:r>
        <w:rPr>
          <w:rFonts w:ascii="Times New Roman" w:hint="eastAsia"/>
          <w:sz w:val="24"/>
          <w:szCs w:val="16"/>
        </w:rPr>
        <w:t>，占土地总面积的</w:t>
      </w:r>
      <w:r>
        <w:rPr>
          <w:rFonts w:ascii="Times New Roman" w:hint="eastAsia"/>
          <w:sz w:val="24"/>
          <w:szCs w:val="16"/>
        </w:rPr>
        <w:t>38.47%</w:t>
      </w:r>
      <w:r>
        <w:rPr>
          <w:rFonts w:ascii="Times New Roman" w:hint="eastAsia"/>
          <w:sz w:val="24"/>
          <w:szCs w:val="16"/>
        </w:rPr>
        <w:t>；园地面积</w:t>
      </w:r>
      <w:r>
        <w:rPr>
          <w:rFonts w:ascii="Times New Roman" w:hint="eastAsia"/>
          <w:sz w:val="24"/>
          <w:szCs w:val="16"/>
        </w:rPr>
        <w:t>10517.24  hm2</w:t>
      </w:r>
      <w:r>
        <w:rPr>
          <w:rFonts w:ascii="Times New Roman" w:hint="eastAsia"/>
          <w:sz w:val="24"/>
          <w:szCs w:val="16"/>
        </w:rPr>
        <w:t>，占土地总面积的</w:t>
      </w:r>
      <w:r>
        <w:rPr>
          <w:rFonts w:ascii="Times New Roman" w:hint="eastAsia"/>
          <w:sz w:val="24"/>
          <w:szCs w:val="16"/>
        </w:rPr>
        <w:t>5.87%</w:t>
      </w:r>
      <w:r>
        <w:rPr>
          <w:rFonts w:ascii="Times New Roman" w:hint="eastAsia"/>
          <w:sz w:val="24"/>
          <w:szCs w:val="16"/>
        </w:rPr>
        <w:t>；林地面积</w:t>
      </w:r>
      <w:r>
        <w:rPr>
          <w:rFonts w:ascii="Times New Roman" w:hint="eastAsia"/>
          <w:sz w:val="24"/>
          <w:szCs w:val="16"/>
        </w:rPr>
        <w:t>62066.75 hm2</w:t>
      </w:r>
      <w:r>
        <w:rPr>
          <w:rFonts w:ascii="Times New Roman" w:hint="eastAsia"/>
          <w:sz w:val="24"/>
          <w:szCs w:val="16"/>
        </w:rPr>
        <w:t>，占土地总面积的</w:t>
      </w:r>
      <w:r>
        <w:rPr>
          <w:rFonts w:ascii="Times New Roman" w:hint="eastAsia"/>
          <w:sz w:val="24"/>
          <w:szCs w:val="16"/>
        </w:rPr>
        <w:t>34.66%</w:t>
      </w:r>
      <w:r>
        <w:rPr>
          <w:rFonts w:ascii="Times New Roman" w:hint="eastAsia"/>
          <w:sz w:val="24"/>
          <w:szCs w:val="16"/>
        </w:rPr>
        <w:t>；草地面积</w:t>
      </w:r>
      <w:r>
        <w:rPr>
          <w:rFonts w:ascii="Times New Roman" w:hint="eastAsia"/>
          <w:sz w:val="24"/>
          <w:szCs w:val="16"/>
        </w:rPr>
        <w:t xml:space="preserve"> 438.18hm2</w:t>
      </w:r>
      <w:r>
        <w:rPr>
          <w:rFonts w:ascii="Times New Roman" w:hint="eastAsia"/>
          <w:sz w:val="24"/>
          <w:szCs w:val="16"/>
        </w:rPr>
        <w:t>，占土地总面积的</w:t>
      </w:r>
      <w:r>
        <w:rPr>
          <w:rFonts w:ascii="Times New Roman" w:hint="eastAsia"/>
          <w:sz w:val="24"/>
          <w:szCs w:val="16"/>
        </w:rPr>
        <w:t xml:space="preserve"> 0.24%</w:t>
      </w:r>
      <w:r>
        <w:rPr>
          <w:rFonts w:ascii="Times New Roman" w:hint="eastAsia"/>
          <w:sz w:val="24"/>
          <w:szCs w:val="16"/>
        </w:rPr>
        <w:t>；城镇村及工矿用地面积</w:t>
      </w:r>
      <w:r>
        <w:rPr>
          <w:rFonts w:ascii="Times New Roman" w:hint="eastAsia"/>
          <w:sz w:val="24"/>
          <w:szCs w:val="16"/>
        </w:rPr>
        <w:t xml:space="preserve"> 14755.53hm2</w:t>
      </w:r>
      <w:r>
        <w:rPr>
          <w:rFonts w:ascii="Times New Roman" w:hint="eastAsia"/>
          <w:sz w:val="24"/>
          <w:szCs w:val="16"/>
        </w:rPr>
        <w:t>，占土地总面积的</w:t>
      </w:r>
      <w:r>
        <w:rPr>
          <w:rFonts w:ascii="Times New Roman" w:hint="eastAsia"/>
          <w:sz w:val="24"/>
          <w:szCs w:val="16"/>
        </w:rPr>
        <w:t>8.24%</w:t>
      </w:r>
      <w:r>
        <w:rPr>
          <w:rFonts w:ascii="Times New Roman" w:hint="eastAsia"/>
          <w:sz w:val="24"/>
          <w:szCs w:val="16"/>
        </w:rPr>
        <w:t>；交通用地面积</w:t>
      </w:r>
      <w:r>
        <w:rPr>
          <w:rFonts w:ascii="Times New Roman" w:hint="eastAsia"/>
          <w:sz w:val="24"/>
          <w:szCs w:val="16"/>
        </w:rPr>
        <w:t>2645.35 hm2</w:t>
      </w:r>
      <w:r>
        <w:rPr>
          <w:rFonts w:ascii="Times New Roman" w:hint="eastAsia"/>
          <w:sz w:val="24"/>
          <w:szCs w:val="16"/>
        </w:rPr>
        <w:t>，占土地面积的</w:t>
      </w:r>
      <w:r>
        <w:rPr>
          <w:rFonts w:ascii="Times New Roman" w:hint="eastAsia"/>
          <w:sz w:val="24"/>
          <w:szCs w:val="16"/>
        </w:rPr>
        <w:t>1.48%</w:t>
      </w:r>
      <w:r>
        <w:rPr>
          <w:rFonts w:ascii="Times New Roman" w:hint="eastAsia"/>
          <w:sz w:val="24"/>
          <w:szCs w:val="16"/>
        </w:rPr>
        <w:t>；水域用地面积</w:t>
      </w:r>
      <w:r>
        <w:rPr>
          <w:rFonts w:ascii="Times New Roman" w:hint="eastAsia"/>
          <w:sz w:val="24"/>
          <w:szCs w:val="16"/>
        </w:rPr>
        <w:t>4727.18 hm2</w:t>
      </w:r>
      <w:r>
        <w:rPr>
          <w:rFonts w:ascii="Times New Roman" w:hint="eastAsia"/>
          <w:sz w:val="24"/>
          <w:szCs w:val="16"/>
        </w:rPr>
        <w:t>，占土地总面积的</w:t>
      </w:r>
      <w:r>
        <w:rPr>
          <w:rFonts w:ascii="Times New Roman" w:hint="eastAsia"/>
          <w:sz w:val="24"/>
          <w:szCs w:val="16"/>
        </w:rPr>
        <w:t xml:space="preserve"> 2.64</w:t>
      </w:r>
      <w:r>
        <w:rPr>
          <w:rFonts w:ascii="Times New Roman" w:hint="eastAsia"/>
          <w:sz w:val="24"/>
          <w:szCs w:val="16"/>
        </w:rPr>
        <w:t>％。其他土地</w:t>
      </w:r>
      <w:r>
        <w:rPr>
          <w:rFonts w:ascii="Times New Roman" w:hint="eastAsia"/>
          <w:sz w:val="24"/>
          <w:szCs w:val="16"/>
        </w:rPr>
        <w:t>150.52 hm2</w:t>
      </w:r>
      <w:r>
        <w:rPr>
          <w:rFonts w:ascii="Times New Roman" w:hint="eastAsia"/>
          <w:sz w:val="24"/>
          <w:szCs w:val="16"/>
        </w:rPr>
        <w:t>，占土地总面积的</w:t>
      </w:r>
      <w:r>
        <w:rPr>
          <w:rFonts w:ascii="Times New Roman" w:hint="eastAsia"/>
          <w:sz w:val="24"/>
          <w:szCs w:val="16"/>
        </w:rPr>
        <w:t>8.40%</w:t>
      </w:r>
      <w:r>
        <w:rPr>
          <w:rFonts w:ascii="Times New Roman" w:hint="eastAsia"/>
          <w:sz w:val="24"/>
          <w:szCs w:val="16"/>
        </w:rPr>
        <w:t>。</w:t>
      </w:r>
    </w:p>
    <w:p w:rsidR="006C378F" w:rsidRDefault="00E12213">
      <w:pPr>
        <w:pStyle w:val="af7"/>
      </w:pPr>
      <w:r>
        <w:rPr>
          <w:rFonts w:hint="eastAsia"/>
        </w:rPr>
        <w:t>表</w:t>
      </w:r>
      <w:r>
        <w:rPr>
          <w:rFonts w:hint="eastAsia"/>
        </w:rPr>
        <w:t xml:space="preserve">2-1 </w:t>
      </w:r>
      <w:r>
        <w:rPr>
          <w:rFonts w:hint="eastAsia"/>
        </w:rPr>
        <w:t>土地利用现状表</w:t>
      </w:r>
      <w:r>
        <w:rPr>
          <w:rFonts w:hint="eastAsia"/>
        </w:rPr>
        <w:t xml:space="preserve">   </w:t>
      </w:r>
      <w:r>
        <w:rPr>
          <w:rFonts w:hint="eastAsia"/>
        </w:rPr>
        <w:t>单位：</w:t>
      </w:r>
      <w:r>
        <w:rPr>
          <w:rFonts w:hint="eastAsia"/>
        </w:rPr>
        <w:t>km</w:t>
      </w:r>
      <w:r>
        <w:rPr>
          <w:rFonts w:hint="eastAsia"/>
          <w:vertAlign w:val="superscript"/>
        </w:rPr>
        <w:t>2</w:t>
      </w:r>
    </w:p>
    <w:tbl>
      <w:tblPr>
        <w:tblStyle w:val="ab"/>
        <w:tblW w:w="0" w:type="auto"/>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949"/>
        <w:gridCol w:w="738"/>
        <w:gridCol w:w="744"/>
        <w:gridCol w:w="588"/>
        <w:gridCol w:w="768"/>
        <w:gridCol w:w="642"/>
        <w:gridCol w:w="663"/>
        <w:gridCol w:w="1695"/>
        <w:gridCol w:w="900"/>
        <w:gridCol w:w="832"/>
      </w:tblGrid>
      <w:tr w:rsidR="006C378F">
        <w:trPr>
          <w:trHeight w:val="340"/>
        </w:trPr>
        <w:tc>
          <w:tcPr>
            <w:tcW w:w="949" w:type="dxa"/>
            <w:tcBorders>
              <w:tl2br w:val="nil"/>
              <w:tr2bl w:val="nil"/>
            </w:tcBorders>
            <w:vAlign w:val="center"/>
          </w:tcPr>
          <w:p w:rsidR="006C378F" w:rsidRDefault="00E12213">
            <w:pPr>
              <w:pStyle w:val="af8"/>
              <w:rPr>
                <w:sz w:val="18"/>
                <w:szCs w:val="18"/>
              </w:rPr>
            </w:pPr>
            <w:r>
              <w:rPr>
                <w:rFonts w:hint="eastAsia"/>
                <w:sz w:val="18"/>
                <w:szCs w:val="18"/>
              </w:rPr>
              <w:t>名称</w:t>
            </w:r>
          </w:p>
        </w:tc>
        <w:tc>
          <w:tcPr>
            <w:tcW w:w="738" w:type="dxa"/>
            <w:tcBorders>
              <w:tl2br w:val="nil"/>
              <w:tr2bl w:val="nil"/>
            </w:tcBorders>
            <w:vAlign w:val="center"/>
          </w:tcPr>
          <w:p w:rsidR="006C378F" w:rsidRDefault="00E12213">
            <w:pPr>
              <w:pStyle w:val="af8"/>
              <w:rPr>
                <w:sz w:val="18"/>
                <w:szCs w:val="18"/>
              </w:rPr>
            </w:pPr>
            <w:r>
              <w:rPr>
                <w:rFonts w:hint="eastAsia"/>
                <w:sz w:val="18"/>
                <w:szCs w:val="18"/>
              </w:rPr>
              <w:t>耕地</w:t>
            </w:r>
          </w:p>
        </w:tc>
        <w:tc>
          <w:tcPr>
            <w:tcW w:w="744" w:type="dxa"/>
            <w:tcBorders>
              <w:tl2br w:val="nil"/>
              <w:tr2bl w:val="nil"/>
            </w:tcBorders>
            <w:vAlign w:val="center"/>
          </w:tcPr>
          <w:p w:rsidR="006C378F" w:rsidRDefault="00E12213">
            <w:pPr>
              <w:pStyle w:val="af8"/>
              <w:rPr>
                <w:sz w:val="18"/>
                <w:szCs w:val="18"/>
              </w:rPr>
            </w:pPr>
            <w:r>
              <w:rPr>
                <w:rFonts w:hint="eastAsia"/>
                <w:sz w:val="18"/>
                <w:szCs w:val="18"/>
              </w:rPr>
              <w:t>林地</w:t>
            </w:r>
          </w:p>
        </w:tc>
        <w:tc>
          <w:tcPr>
            <w:tcW w:w="588" w:type="dxa"/>
            <w:tcBorders>
              <w:tl2br w:val="nil"/>
              <w:tr2bl w:val="nil"/>
            </w:tcBorders>
            <w:vAlign w:val="center"/>
          </w:tcPr>
          <w:p w:rsidR="006C378F" w:rsidRDefault="00E12213">
            <w:pPr>
              <w:pStyle w:val="af8"/>
              <w:rPr>
                <w:sz w:val="18"/>
                <w:szCs w:val="18"/>
              </w:rPr>
            </w:pPr>
            <w:r>
              <w:rPr>
                <w:rFonts w:hint="eastAsia"/>
                <w:sz w:val="18"/>
                <w:szCs w:val="18"/>
              </w:rPr>
              <w:t>草地</w:t>
            </w:r>
          </w:p>
        </w:tc>
        <w:tc>
          <w:tcPr>
            <w:tcW w:w="768" w:type="dxa"/>
            <w:tcBorders>
              <w:tl2br w:val="nil"/>
              <w:tr2bl w:val="nil"/>
            </w:tcBorders>
            <w:vAlign w:val="center"/>
          </w:tcPr>
          <w:p w:rsidR="006C378F" w:rsidRDefault="00E12213">
            <w:pPr>
              <w:pStyle w:val="af8"/>
              <w:rPr>
                <w:sz w:val="18"/>
                <w:szCs w:val="18"/>
              </w:rPr>
            </w:pPr>
            <w:r>
              <w:rPr>
                <w:rFonts w:hint="eastAsia"/>
                <w:sz w:val="18"/>
                <w:szCs w:val="18"/>
              </w:rPr>
              <w:t>园地</w:t>
            </w:r>
          </w:p>
        </w:tc>
        <w:tc>
          <w:tcPr>
            <w:tcW w:w="642" w:type="dxa"/>
            <w:tcBorders>
              <w:tl2br w:val="nil"/>
              <w:tr2bl w:val="nil"/>
            </w:tcBorders>
            <w:vAlign w:val="center"/>
          </w:tcPr>
          <w:p w:rsidR="006C378F" w:rsidRDefault="00E12213">
            <w:pPr>
              <w:pStyle w:val="af8"/>
              <w:rPr>
                <w:sz w:val="18"/>
                <w:szCs w:val="18"/>
              </w:rPr>
            </w:pPr>
            <w:r>
              <w:rPr>
                <w:rFonts w:hint="eastAsia"/>
                <w:sz w:val="18"/>
                <w:szCs w:val="18"/>
              </w:rPr>
              <w:t>水域</w:t>
            </w:r>
          </w:p>
        </w:tc>
        <w:tc>
          <w:tcPr>
            <w:tcW w:w="663" w:type="dxa"/>
            <w:tcBorders>
              <w:tl2br w:val="nil"/>
              <w:tr2bl w:val="nil"/>
            </w:tcBorders>
            <w:vAlign w:val="center"/>
          </w:tcPr>
          <w:p w:rsidR="006C378F" w:rsidRDefault="00E12213">
            <w:pPr>
              <w:pStyle w:val="af8"/>
              <w:rPr>
                <w:sz w:val="18"/>
                <w:szCs w:val="18"/>
              </w:rPr>
            </w:pPr>
            <w:r>
              <w:rPr>
                <w:rFonts w:hint="eastAsia"/>
                <w:sz w:val="18"/>
                <w:szCs w:val="18"/>
              </w:rPr>
              <w:t>交通</w:t>
            </w:r>
          </w:p>
        </w:tc>
        <w:tc>
          <w:tcPr>
            <w:tcW w:w="1695" w:type="dxa"/>
            <w:tcBorders>
              <w:tl2br w:val="nil"/>
              <w:tr2bl w:val="nil"/>
            </w:tcBorders>
            <w:vAlign w:val="center"/>
          </w:tcPr>
          <w:p w:rsidR="006C378F" w:rsidRDefault="00E12213">
            <w:pPr>
              <w:pStyle w:val="af8"/>
              <w:rPr>
                <w:sz w:val="18"/>
                <w:szCs w:val="18"/>
              </w:rPr>
            </w:pPr>
            <w:r>
              <w:rPr>
                <w:rFonts w:hint="eastAsia"/>
                <w:sz w:val="18"/>
                <w:szCs w:val="18"/>
              </w:rPr>
              <w:t>城镇村及工矿用地</w:t>
            </w:r>
          </w:p>
        </w:tc>
        <w:tc>
          <w:tcPr>
            <w:tcW w:w="900" w:type="dxa"/>
            <w:tcBorders>
              <w:tl2br w:val="nil"/>
              <w:tr2bl w:val="nil"/>
            </w:tcBorders>
            <w:vAlign w:val="center"/>
          </w:tcPr>
          <w:p w:rsidR="006C378F" w:rsidRDefault="00E12213">
            <w:pPr>
              <w:pStyle w:val="af8"/>
              <w:rPr>
                <w:sz w:val="18"/>
                <w:szCs w:val="18"/>
              </w:rPr>
            </w:pPr>
            <w:r>
              <w:rPr>
                <w:rFonts w:hint="eastAsia"/>
                <w:sz w:val="18"/>
                <w:szCs w:val="18"/>
              </w:rPr>
              <w:t>其他</w:t>
            </w:r>
          </w:p>
          <w:p w:rsidR="006C378F" w:rsidRDefault="00E12213">
            <w:pPr>
              <w:pStyle w:val="af8"/>
              <w:rPr>
                <w:sz w:val="18"/>
                <w:szCs w:val="18"/>
              </w:rPr>
            </w:pPr>
            <w:r>
              <w:rPr>
                <w:rFonts w:hint="eastAsia"/>
                <w:sz w:val="18"/>
                <w:szCs w:val="18"/>
              </w:rPr>
              <w:t>土地</w:t>
            </w:r>
          </w:p>
        </w:tc>
        <w:tc>
          <w:tcPr>
            <w:tcW w:w="832" w:type="dxa"/>
            <w:tcBorders>
              <w:tl2br w:val="nil"/>
              <w:tr2bl w:val="nil"/>
            </w:tcBorders>
            <w:vAlign w:val="center"/>
          </w:tcPr>
          <w:p w:rsidR="006C378F" w:rsidRDefault="00E12213">
            <w:pPr>
              <w:pStyle w:val="af8"/>
              <w:rPr>
                <w:sz w:val="18"/>
                <w:szCs w:val="18"/>
              </w:rPr>
            </w:pPr>
            <w:r>
              <w:rPr>
                <w:rFonts w:hint="eastAsia"/>
                <w:sz w:val="18"/>
                <w:szCs w:val="18"/>
              </w:rPr>
              <w:t>合计</w:t>
            </w:r>
          </w:p>
        </w:tc>
      </w:tr>
      <w:tr w:rsidR="006C378F">
        <w:trPr>
          <w:trHeight w:val="340"/>
        </w:trPr>
        <w:tc>
          <w:tcPr>
            <w:tcW w:w="949" w:type="dxa"/>
            <w:tcBorders>
              <w:tl2br w:val="nil"/>
              <w:tr2bl w:val="nil"/>
            </w:tcBorders>
            <w:vAlign w:val="center"/>
          </w:tcPr>
          <w:p w:rsidR="006C378F" w:rsidRDefault="00E12213">
            <w:pPr>
              <w:pStyle w:val="af8"/>
              <w:rPr>
                <w:sz w:val="18"/>
                <w:szCs w:val="18"/>
              </w:rPr>
            </w:pPr>
            <w:r>
              <w:rPr>
                <w:rFonts w:hint="eastAsia"/>
                <w:sz w:val="18"/>
                <w:szCs w:val="18"/>
              </w:rPr>
              <w:t>仪陇县</w:t>
            </w:r>
          </w:p>
        </w:tc>
        <w:tc>
          <w:tcPr>
            <w:tcW w:w="738" w:type="dxa"/>
            <w:tcBorders>
              <w:tl2br w:val="nil"/>
              <w:tr2bl w:val="nil"/>
            </w:tcBorders>
            <w:vAlign w:val="center"/>
          </w:tcPr>
          <w:p w:rsidR="006C378F" w:rsidRDefault="00E12213">
            <w:pPr>
              <w:pStyle w:val="af8"/>
              <w:rPr>
                <w:sz w:val="18"/>
                <w:szCs w:val="18"/>
              </w:rPr>
            </w:pPr>
            <w:r>
              <w:rPr>
                <w:rFonts w:hint="eastAsia"/>
                <w:sz w:val="18"/>
                <w:szCs w:val="18"/>
              </w:rPr>
              <w:t>688.94</w:t>
            </w:r>
          </w:p>
        </w:tc>
        <w:tc>
          <w:tcPr>
            <w:tcW w:w="744" w:type="dxa"/>
            <w:tcBorders>
              <w:tl2br w:val="nil"/>
              <w:tr2bl w:val="nil"/>
            </w:tcBorders>
            <w:vAlign w:val="center"/>
          </w:tcPr>
          <w:p w:rsidR="006C378F" w:rsidRDefault="00E12213">
            <w:pPr>
              <w:pStyle w:val="af8"/>
              <w:rPr>
                <w:sz w:val="18"/>
                <w:szCs w:val="18"/>
              </w:rPr>
            </w:pPr>
            <w:r>
              <w:rPr>
                <w:rFonts w:hint="eastAsia"/>
                <w:sz w:val="18"/>
                <w:szCs w:val="18"/>
              </w:rPr>
              <w:t>620.67</w:t>
            </w:r>
          </w:p>
        </w:tc>
        <w:tc>
          <w:tcPr>
            <w:tcW w:w="588" w:type="dxa"/>
            <w:tcBorders>
              <w:tl2br w:val="nil"/>
              <w:tr2bl w:val="nil"/>
            </w:tcBorders>
            <w:vAlign w:val="center"/>
          </w:tcPr>
          <w:p w:rsidR="006C378F" w:rsidRDefault="00E12213">
            <w:pPr>
              <w:pStyle w:val="af8"/>
              <w:rPr>
                <w:sz w:val="18"/>
                <w:szCs w:val="18"/>
              </w:rPr>
            </w:pPr>
            <w:r>
              <w:rPr>
                <w:rFonts w:hint="eastAsia"/>
                <w:sz w:val="18"/>
                <w:szCs w:val="18"/>
              </w:rPr>
              <w:t>4.38</w:t>
            </w:r>
          </w:p>
        </w:tc>
        <w:tc>
          <w:tcPr>
            <w:tcW w:w="768" w:type="dxa"/>
            <w:tcBorders>
              <w:tl2br w:val="nil"/>
              <w:tr2bl w:val="nil"/>
            </w:tcBorders>
            <w:vAlign w:val="center"/>
          </w:tcPr>
          <w:p w:rsidR="006C378F" w:rsidRDefault="00E12213">
            <w:pPr>
              <w:pStyle w:val="af8"/>
              <w:rPr>
                <w:sz w:val="18"/>
                <w:szCs w:val="18"/>
              </w:rPr>
            </w:pPr>
            <w:r>
              <w:rPr>
                <w:rFonts w:hint="eastAsia"/>
                <w:sz w:val="18"/>
                <w:szCs w:val="18"/>
              </w:rPr>
              <w:t>105.17</w:t>
            </w:r>
          </w:p>
        </w:tc>
        <w:tc>
          <w:tcPr>
            <w:tcW w:w="642" w:type="dxa"/>
            <w:tcBorders>
              <w:tl2br w:val="nil"/>
              <w:tr2bl w:val="nil"/>
            </w:tcBorders>
            <w:vAlign w:val="center"/>
          </w:tcPr>
          <w:p w:rsidR="006C378F" w:rsidRDefault="00E12213">
            <w:pPr>
              <w:pStyle w:val="af8"/>
              <w:rPr>
                <w:sz w:val="18"/>
                <w:szCs w:val="18"/>
              </w:rPr>
            </w:pPr>
            <w:r>
              <w:rPr>
                <w:rFonts w:hint="eastAsia"/>
                <w:sz w:val="18"/>
                <w:szCs w:val="18"/>
              </w:rPr>
              <w:t>47.27</w:t>
            </w:r>
          </w:p>
        </w:tc>
        <w:tc>
          <w:tcPr>
            <w:tcW w:w="663" w:type="dxa"/>
            <w:tcBorders>
              <w:tl2br w:val="nil"/>
              <w:tr2bl w:val="nil"/>
            </w:tcBorders>
            <w:vAlign w:val="center"/>
          </w:tcPr>
          <w:p w:rsidR="006C378F" w:rsidRDefault="00E12213">
            <w:pPr>
              <w:pStyle w:val="af8"/>
              <w:rPr>
                <w:sz w:val="18"/>
                <w:szCs w:val="18"/>
              </w:rPr>
            </w:pPr>
            <w:r>
              <w:rPr>
                <w:rFonts w:hint="eastAsia"/>
                <w:sz w:val="18"/>
                <w:szCs w:val="18"/>
              </w:rPr>
              <w:t>26.45</w:t>
            </w:r>
          </w:p>
        </w:tc>
        <w:tc>
          <w:tcPr>
            <w:tcW w:w="1695" w:type="dxa"/>
            <w:tcBorders>
              <w:tl2br w:val="nil"/>
              <w:tr2bl w:val="nil"/>
            </w:tcBorders>
            <w:vAlign w:val="center"/>
          </w:tcPr>
          <w:p w:rsidR="006C378F" w:rsidRDefault="00E12213">
            <w:pPr>
              <w:pStyle w:val="af8"/>
              <w:rPr>
                <w:sz w:val="18"/>
                <w:szCs w:val="18"/>
              </w:rPr>
            </w:pPr>
            <w:r>
              <w:rPr>
                <w:rFonts w:hint="eastAsia"/>
                <w:sz w:val="18"/>
                <w:szCs w:val="18"/>
              </w:rPr>
              <w:t>147.56</w:t>
            </w:r>
          </w:p>
        </w:tc>
        <w:tc>
          <w:tcPr>
            <w:tcW w:w="900" w:type="dxa"/>
            <w:tcBorders>
              <w:tl2br w:val="nil"/>
              <w:tr2bl w:val="nil"/>
            </w:tcBorders>
            <w:vAlign w:val="center"/>
          </w:tcPr>
          <w:p w:rsidR="006C378F" w:rsidRDefault="00E12213">
            <w:pPr>
              <w:pStyle w:val="af8"/>
              <w:rPr>
                <w:sz w:val="18"/>
                <w:szCs w:val="18"/>
              </w:rPr>
            </w:pPr>
            <w:r>
              <w:rPr>
                <w:rFonts w:hint="eastAsia"/>
                <w:sz w:val="18"/>
                <w:szCs w:val="18"/>
              </w:rPr>
              <w:t>150.52</w:t>
            </w:r>
          </w:p>
        </w:tc>
        <w:tc>
          <w:tcPr>
            <w:tcW w:w="832" w:type="dxa"/>
            <w:tcBorders>
              <w:tl2br w:val="nil"/>
              <w:tr2bl w:val="nil"/>
            </w:tcBorders>
            <w:vAlign w:val="center"/>
          </w:tcPr>
          <w:p w:rsidR="006C378F" w:rsidRDefault="00E12213">
            <w:pPr>
              <w:pStyle w:val="af8"/>
              <w:rPr>
                <w:sz w:val="18"/>
                <w:szCs w:val="18"/>
              </w:rPr>
            </w:pPr>
            <w:r>
              <w:rPr>
                <w:rFonts w:hint="eastAsia"/>
                <w:sz w:val="18"/>
                <w:szCs w:val="18"/>
              </w:rPr>
              <w:t>1790.97</w:t>
            </w:r>
          </w:p>
        </w:tc>
      </w:tr>
      <w:tr w:rsidR="006C378F">
        <w:trPr>
          <w:trHeight w:val="340"/>
        </w:trPr>
        <w:tc>
          <w:tcPr>
            <w:tcW w:w="949" w:type="dxa"/>
            <w:tcBorders>
              <w:tl2br w:val="nil"/>
              <w:tr2bl w:val="nil"/>
            </w:tcBorders>
            <w:vAlign w:val="center"/>
          </w:tcPr>
          <w:p w:rsidR="006C378F" w:rsidRDefault="00E12213">
            <w:pPr>
              <w:pStyle w:val="af8"/>
              <w:rPr>
                <w:sz w:val="18"/>
                <w:szCs w:val="18"/>
              </w:rPr>
            </w:pPr>
            <w:r>
              <w:rPr>
                <w:rFonts w:hint="eastAsia"/>
                <w:sz w:val="18"/>
                <w:szCs w:val="18"/>
              </w:rPr>
              <w:t>占比（</w:t>
            </w:r>
            <w:r>
              <w:rPr>
                <w:rFonts w:hint="eastAsia"/>
                <w:sz w:val="18"/>
                <w:szCs w:val="18"/>
              </w:rPr>
              <w:t>%</w:t>
            </w:r>
            <w:r>
              <w:rPr>
                <w:rFonts w:hint="eastAsia"/>
                <w:sz w:val="18"/>
                <w:szCs w:val="18"/>
              </w:rPr>
              <w:t>）</w:t>
            </w:r>
          </w:p>
        </w:tc>
        <w:tc>
          <w:tcPr>
            <w:tcW w:w="738" w:type="dxa"/>
            <w:tcBorders>
              <w:tl2br w:val="nil"/>
              <w:tr2bl w:val="nil"/>
            </w:tcBorders>
            <w:vAlign w:val="center"/>
          </w:tcPr>
          <w:p w:rsidR="006C378F" w:rsidRDefault="00E12213">
            <w:pPr>
              <w:pStyle w:val="af8"/>
              <w:rPr>
                <w:sz w:val="18"/>
                <w:szCs w:val="18"/>
              </w:rPr>
            </w:pPr>
            <w:r>
              <w:rPr>
                <w:rFonts w:hint="eastAsia"/>
                <w:sz w:val="18"/>
                <w:szCs w:val="18"/>
              </w:rPr>
              <w:t>38.47</w:t>
            </w:r>
          </w:p>
        </w:tc>
        <w:tc>
          <w:tcPr>
            <w:tcW w:w="744" w:type="dxa"/>
            <w:tcBorders>
              <w:tl2br w:val="nil"/>
              <w:tr2bl w:val="nil"/>
            </w:tcBorders>
            <w:vAlign w:val="center"/>
          </w:tcPr>
          <w:p w:rsidR="006C378F" w:rsidRDefault="00E12213">
            <w:pPr>
              <w:pStyle w:val="af8"/>
              <w:rPr>
                <w:sz w:val="18"/>
                <w:szCs w:val="18"/>
              </w:rPr>
            </w:pPr>
            <w:r>
              <w:rPr>
                <w:rFonts w:hint="eastAsia"/>
                <w:sz w:val="18"/>
                <w:szCs w:val="18"/>
              </w:rPr>
              <w:t>34.66</w:t>
            </w:r>
          </w:p>
        </w:tc>
        <w:tc>
          <w:tcPr>
            <w:tcW w:w="588" w:type="dxa"/>
            <w:tcBorders>
              <w:tl2br w:val="nil"/>
              <w:tr2bl w:val="nil"/>
            </w:tcBorders>
            <w:vAlign w:val="center"/>
          </w:tcPr>
          <w:p w:rsidR="006C378F" w:rsidRDefault="00E12213">
            <w:pPr>
              <w:pStyle w:val="af8"/>
              <w:rPr>
                <w:sz w:val="18"/>
                <w:szCs w:val="18"/>
              </w:rPr>
            </w:pPr>
            <w:r>
              <w:rPr>
                <w:rFonts w:hint="eastAsia"/>
                <w:sz w:val="18"/>
                <w:szCs w:val="18"/>
              </w:rPr>
              <w:t>0.24</w:t>
            </w:r>
          </w:p>
        </w:tc>
        <w:tc>
          <w:tcPr>
            <w:tcW w:w="768" w:type="dxa"/>
            <w:tcBorders>
              <w:tl2br w:val="nil"/>
              <w:tr2bl w:val="nil"/>
            </w:tcBorders>
            <w:vAlign w:val="center"/>
          </w:tcPr>
          <w:p w:rsidR="006C378F" w:rsidRDefault="00E12213">
            <w:pPr>
              <w:pStyle w:val="af8"/>
              <w:rPr>
                <w:sz w:val="18"/>
                <w:szCs w:val="18"/>
              </w:rPr>
            </w:pPr>
            <w:r>
              <w:rPr>
                <w:rFonts w:hint="eastAsia"/>
                <w:sz w:val="18"/>
                <w:szCs w:val="18"/>
              </w:rPr>
              <w:t>5.87</w:t>
            </w:r>
          </w:p>
        </w:tc>
        <w:tc>
          <w:tcPr>
            <w:tcW w:w="642" w:type="dxa"/>
            <w:tcBorders>
              <w:tl2br w:val="nil"/>
              <w:tr2bl w:val="nil"/>
            </w:tcBorders>
            <w:vAlign w:val="center"/>
          </w:tcPr>
          <w:p w:rsidR="006C378F" w:rsidRDefault="00E12213">
            <w:pPr>
              <w:pStyle w:val="af8"/>
              <w:rPr>
                <w:sz w:val="18"/>
                <w:szCs w:val="18"/>
              </w:rPr>
            </w:pPr>
            <w:r>
              <w:rPr>
                <w:rFonts w:hint="eastAsia"/>
                <w:sz w:val="18"/>
                <w:szCs w:val="18"/>
              </w:rPr>
              <w:t>2.64</w:t>
            </w:r>
          </w:p>
        </w:tc>
        <w:tc>
          <w:tcPr>
            <w:tcW w:w="663" w:type="dxa"/>
            <w:tcBorders>
              <w:tl2br w:val="nil"/>
              <w:tr2bl w:val="nil"/>
            </w:tcBorders>
            <w:vAlign w:val="center"/>
          </w:tcPr>
          <w:p w:rsidR="006C378F" w:rsidRDefault="00E12213">
            <w:pPr>
              <w:pStyle w:val="af8"/>
              <w:rPr>
                <w:sz w:val="18"/>
                <w:szCs w:val="18"/>
              </w:rPr>
            </w:pPr>
            <w:r>
              <w:rPr>
                <w:rFonts w:hint="eastAsia"/>
                <w:sz w:val="18"/>
                <w:szCs w:val="18"/>
              </w:rPr>
              <w:t>1.48</w:t>
            </w:r>
          </w:p>
        </w:tc>
        <w:tc>
          <w:tcPr>
            <w:tcW w:w="1695" w:type="dxa"/>
            <w:tcBorders>
              <w:tl2br w:val="nil"/>
              <w:tr2bl w:val="nil"/>
            </w:tcBorders>
            <w:vAlign w:val="center"/>
          </w:tcPr>
          <w:p w:rsidR="006C378F" w:rsidRDefault="00E12213">
            <w:pPr>
              <w:pStyle w:val="af8"/>
              <w:rPr>
                <w:sz w:val="18"/>
                <w:szCs w:val="18"/>
              </w:rPr>
            </w:pPr>
            <w:r>
              <w:rPr>
                <w:rFonts w:hint="eastAsia"/>
                <w:sz w:val="18"/>
                <w:szCs w:val="18"/>
              </w:rPr>
              <w:t>8.24</w:t>
            </w:r>
          </w:p>
        </w:tc>
        <w:tc>
          <w:tcPr>
            <w:tcW w:w="900" w:type="dxa"/>
            <w:tcBorders>
              <w:tl2br w:val="nil"/>
              <w:tr2bl w:val="nil"/>
            </w:tcBorders>
            <w:vAlign w:val="center"/>
          </w:tcPr>
          <w:p w:rsidR="006C378F" w:rsidRDefault="00E12213">
            <w:pPr>
              <w:pStyle w:val="af8"/>
              <w:rPr>
                <w:sz w:val="18"/>
                <w:szCs w:val="18"/>
              </w:rPr>
            </w:pPr>
            <w:r>
              <w:rPr>
                <w:rFonts w:hint="eastAsia"/>
                <w:sz w:val="18"/>
                <w:szCs w:val="18"/>
              </w:rPr>
              <w:t>8.40</w:t>
            </w:r>
          </w:p>
        </w:tc>
        <w:tc>
          <w:tcPr>
            <w:tcW w:w="832" w:type="dxa"/>
            <w:tcBorders>
              <w:tl2br w:val="nil"/>
              <w:tr2bl w:val="nil"/>
            </w:tcBorders>
            <w:vAlign w:val="center"/>
          </w:tcPr>
          <w:p w:rsidR="006C378F" w:rsidRDefault="00E12213">
            <w:pPr>
              <w:pStyle w:val="af8"/>
              <w:rPr>
                <w:sz w:val="18"/>
                <w:szCs w:val="18"/>
              </w:rPr>
            </w:pPr>
            <w:r>
              <w:rPr>
                <w:rFonts w:hint="eastAsia"/>
                <w:sz w:val="18"/>
                <w:szCs w:val="18"/>
              </w:rPr>
              <w:t>100</w:t>
            </w:r>
          </w:p>
        </w:tc>
      </w:tr>
    </w:tbl>
    <w:p w:rsidR="006C378F" w:rsidRDefault="00E12213">
      <w:pPr>
        <w:pStyle w:val="2"/>
      </w:pPr>
      <w:bookmarkStart w:id="120" w:name="_Toc62180005"/>
      <w:bookmarkStart w:id="121" w:name="_Toc7773"/>
      <w:r>
        <w:lastRenderedPageBreak/>
        <w:t>2.5</w:t>
      </w:r>
      <w:r>
        <w:t>水土流失现状</w:t>
      </w:r>
      <w:bookmarkEnd w:id="117"/>
      <w:bookmarkEnd w:id="118"/>
      <w:bookmarkEnd w:id="119"/>
      <w:bookmarkEnd w:id="120"/>
      <w:bookmarkEnd w:id="121"/>
    </w:p>
    <w:p w:rsidR="006C378F" w:rsidRDefault="00E12213">
      <w:pPr>
        <w:pStyle w:val="3"/>
      </w:pPr>
      <w:bookmarkStart w:id="122" w:name="_Toc15143"/>
      <w:bookmarkStart w:id="123" w:name="_Toc30046"/>
      <w:bookmarkStart w:id="124" w:name="_Toc371412997"/>
      <w:r>
        <w:rPr>
          <w:rFonts w:hint="eastAsia"/>
        </w:rPr>
        <w:t>2.5.1</w:t>
      </w:r>
      <w:r>
        <w:rPr>
          <w:rFonts w:hint="eastAsia"/>
        </w:rPr>
        <w:t>项目区水土流失现状</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1</w:t>
      </w:r>
      <w:r>
        <w:rPr>
          <w:rFonts w:ascii="Times New Roman" w:hint="eastAsia"/>
          <w:sz w:val="24"/>
          <w:szCs w:val="16"/>
        </w:rPr>
        <w:t>、仪陇县水土流失现状</w:t>
      </w:r>
    </w:p>
    <w:p w:rsidR="006C378F" w:rsidRDefault="00E12213">
      <w:pPr>
        <w:pStyle w:val="BZDL1"/>
        <w:spacing w:beforeLines="0" w:before="0" w:afterLines="0" w:after="0" w:line="360" w:lineRule="auto"/>
        <w:ind w:firstLine="480"/>
        <w:rPr>
          <w:rFonts w:ascii="Times New Roman"/>
          <w:sz w:val="24"/>
          <w:szCs w:val="16"/>
        </w:rPr>
      </w:pPr>
      <w:r>
        <w:rPr>
          <w:rFonts w:ascii="Times New Roman"/>
          <w:sz w:val="24"/>
          <w:szCs w:val="16"/>
        </w:rPr>
        <w:t>根据《全国水土保持规划国家级水土流失重点预防区和重点治理区复核划分成果》（办水保</w:t>
      </w:r>
      <w:r>
        <w:rPr>
          <w:rFonts w:ascii="Times New Roman"/>
          <w:sz w:val="24"/>
          <w:szCs w:val="16"/>
        </w:rPr>
        <w:t>[2013]188</w:t>
      </w:r>
      <w:r>
        <w:rPr>
          <w:rFonts w:ascii="Times New Roman"/>
          <w:sz w:val="24"/>
          <w:szCs w:val="16"/>
        </w:rPr>
        <w:t>号）和《四川省水利厅关于印发四川省省级水土流失重点预防区和重点治理区划分成果的通知》（川水函</w:t>
      </w:r>
      <w:r>
        <w:rPr>
          <w:rFonts w:ascii="Times New Roman"/>
          <w:sz w:val="24"/>
          <w:szCs w:val="16"/>
        </w:rPr>
        <w:t>[2017]482</w:t>
      </w:r>
      <w:r>
        <w:rPr>
          <w:rFonts w:ascii="Times New Roman"/>
          <w:sz w:val="24"/>
          <w:szCs w:val="16"/>
        </w:rPr>
        <w:t>号）的规定，工程所在的</w:t>
      </w:r>
      <w:r>
        <w:rPr>
          <w:rFonts w:ascii="Times New Roman" w:hint="eastAsia"/>
          <w:sz w:val="24"/>
          <w:szCs w:val="16"/>
        </w:rPr>
        <w:t>南充市仪陇县属于嘉陵江及沱江中下游国家级水土流失重点治理区</w:t>
      </w:r>
      <w:r>
        <w:rPr>
          <w:rFonts w:ascii="Times New Roman"/>
          <w:sz w:val="24"/>
          <w:szCs w:val="16"/>
        </w:rPr>
        <w:t>，</w:t>
      </w:r>
      <w:r>
        <w:rPr>
          <w:rFonts w:ascii="Times New Roman" w:hint="eastAsia"/>
          <w:sz w:val="24"/>
          <w:szCs w:val="16"/>
        </w:rPr>
        <w:t>不属于</w:t>
      </w:r>
      <w:r>
        <w:rPr>
          <w:rFonts w:ascii="Times New Roman"/>
          <w:sz w:val="24"/>
          <w:szCs w:val="16"/>
        </w:rPr>
        <w:t>四川省省级水土流失重点预防区和重点治理区的范围内。水土流失主要以水力侵蚀为主，表现形式为面蚀、片蚀、沟蚀等，水土流失容许值为</w:t>
      </w:r>
      <w:r>
        <w:rPr>
          <w:rFonts w:ascii="Times New Roman"/>
          <w:sz w:val="24"/>
          <w:szCs w:val="16"/>
        </w:rPr>
        <w:t>500t/km²·a</w:t>
      </w:r>
      <w:r>
        <w:rPr>
          <w:rFonts w:ascii="Times New Roman"/>
          <w:sz w:val="24"/>
          <w:szCs w:val="16"/>
        </w:rPr>
        <w:t>。</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2</w:t>
      </w:r>
      <w:r>
        <w:rPr>
          <w:rFonts w:ascii="Times New Roman" w:hint="eastAsia"/>
          <w:sz w:val="24"/>
          <w:szCs w:val="16"/>
        </w:rPr>
        <w:t>、仪陇县水土流失现状</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仪陇县的水土流失类型以水蚀中的面蚀和沟蚀为主，平均沟壑密度</w:t>
      </w:r>
      <w:r>
        <w:rPr>
          <w:rFonts w:ascii="Times New Roman" w:hint="eastAsia"/>
          <w:sz w:val="24"/>
          <w:szCs w:val="16"/>
        </w:rPr>
        <w:t>1.2km/</w:t>
      </w:r>
      <w:r>
        <w:rPr>
          <w:rFonts w:ascii="Times New Roman" w:hint="eastAsia"/>
          <w:sz w:val="24"/>
          <w:szCs w:val="16"/>
        </w:rPr>
        <w:t>平方公里，面蚀占流失面积的</w:t>
      </w:r>
      <w:r>
        <w:rPr>
          <w:rFonts w:ascii="Times New Roman" w:hint="eastAsia"/>
          <w:sz w:val="24"/>
          <w:szCs w:val="16"/>
        </w:rPr>
        <w:t>89%</w:t>
      </w:r>
      <w:r>
        <w:rPr>
          <w:rFonts w:ascii="Times New Roman" w:hint="eastAsia"/>
          <w:sz w:val="24"/>
          <w:szCs w:val="16"/>
        </w:rPr>
        <w:t>。水土流失面积为</w:t>
      </w:r>
      <w:r>
        <w:rPr>
          <w:rFonts w:ascii="Times New Roman" w:hint="eastAsia"/>
          <w:sz w:val="24"/>
          <w:szCs w:val="16"/>
        </w:rPr>
        <w:t>865.85</w:t>
      </w:r>
      <w:r>
        <w:rPr>
          <w:rFonts w:ascii="Times New Roman" w:hint="eastAsia"/>
          <w:sz w:val="24"/>
          <w:szCs w:val="16"/>
        </w:rPr>
        <w:t>平方公里，占土地总面积的</w:t>
      </w:r>
      <w:r>
        <w:rPr>
          <w:rFonts w:ascii="Times New Roman" w:hint="eastAsia"/>
          <w:sz w:val="24"/>
          <w:szCs w:val="16"/>
        </w:rPr>
        <w:t>48.35%</w:t>
      </w:r>
      <w:r>
        <w:rPr>
          <w:rFonts w:ascii="Times New Roman" w:hint="eastAsia"/>
          <w:sz w:val="24"/>
          <w:szCs w:val="16"/>
        </w:rPr>
        <w:t>。其中轻度侵蚀为</w:t>
      </w:r>
      <w:r>
        <w:rPr>
          <w:rFonts w:ascii="Times New Roman" w:hint="eastAsia"/>
          <w:sz w:val="24"/>
          <w:szCs w:val="16"/>
        </w:rPr>
        <w:t>205.67</w:t>
      </w:r>
      <w:r>
        <w:rPr>
          <w:rFonts w:ascii="Times New Roman" w:hint="eastAsia"/>
          <w:sz w:val="24"/>
          <w:szCs w:val="16"/>
        </w:rPr>
        <w:t>平方公里，占流失面积的</w:t>
      </w:r>
      <w:r>
        <w:rPr>
          <w:rFonts w:ascii="Times New Roman" w:hint="eastAsia"/>
          <w:sz w:val="24"/>
          <w:szCs w:val="16"/>
        </w:rPr>
        <w:t>23.75%</w:t>
      </w:r>
      <w:r>
        <w:rPr>
          <w:rFonts w:ascii="Times New Roman" w:hint="eastAsia"/>
          <w:sz w:val="24"/>
          <w:szCs w:val="16"/>
        </w:rPr>
        <w:t>，中度为</w:t>
      </w:r>
      <w:r>
        <w:rPr>
          <w:rFonts w:ascii="Times New Roman" w:hint="eastAsia"/>
          <w:sz w:val="24"/>
          <w:szCs w:val="16"/>
        </w:rPr>
        <w:t>348.22</w:t>
      </w:r>
      <w:r>
        <w:rPr>
          <w:rFonts w:ascii="Times New Roman" w:hint="eastAsia"/>
          <w:sz w:val="24"/>
          <w:szCs w:val="16"/>
        </w:rPr>
        <w:t>平方公里，占流失面积的</w:t>
      </w:r>
      <w:r>
        <w:rPr>
          <w:rFonts w:ascii="Times New Roman" w:hint="eastAsia"/>
          <w:sz w:val="24"/>
          <w:szCs w:val="16"/>
        </w:rPr>
        <w:t>40.22%</w:t>
      </w:r>
      <w:r>
        <w:rPr>
          <w:rFonts w:ascii="Times New Roman" w:hint="eastAsia"/>
          <w:sz w:val="24"/>
          <w:szCs w:val="16"/>
        </w:rPr>
        <w:t>，强度侵蚀为</w:t>
      </w:r>
      <w:r>
        <w:rPr>
          <w:rFonts w:ascii="Times New Roman" w:hint="eastAsia"/>
          <w:sz w:val="24"/>
          <w:szCs w:val="16"/>
        </w:rPr>
        <w:t>180.75</w:t>
      </w:r>
      <w:r>
        <w:rPr>
          <w:rFonts w:ascii="Times New Roman" w:hint="eastAsia"/>
          <w:sz w:val="24"/>
          <w:szCs w:val="16"/>
        </w:rPr>
        <w:t>平方公里，占流失面积的</w:t>
      </w:r>
      <w:r>
        <w:rPr>
          <w:rFonts w:ascii="Times New Roman" w:hint="eastAsia"/>
          <w:sz w:val="24"/>
          <w:szCs w:val="16"/>
        </w:rPr>
        <w:t>20.87%</w:t>
      </w:r>
      <w:r>
        <w:rPr>
          <w:rFonts w:ascii="Times New Roman" w:hint="eastAsia"/>
          <w:sz w:val="24"/>
          <w:szCs w:val="16"/>
        </w:rPr>
        <w:t>，极强烈侵蚀为</w:t>
      </w:r>
      <w:r>
        <w:rPr>
          <w:rFonts w:ascii="Times New Roman" w:hint="eastAsia"/>
          <w:sz w:val="24"/>
          <w:szCs w:val="16"/>
        </w:rPr>
        <w:t>83.45</w:t>
      </w:r>
      <w:r>
        <w:rPr>
          <w:rFonts w:ascii="Times New Roman" w:hint="eastAsia"/>
          <w:sz w:val="24"/>
          <w:szCs w:val="16"/>
        </w:rPr>
        <w:t>平方公里，仅占流失面积的</w:t>
      </w:r>
      <w:r>
        <w:rPr>
          <w:rFonts w:ascii="Times New Roman" w:hint="eastAsia"/>
          <w:sz w:val="24"/>
          <w:szCs w:val="16"/>
        </w:rPr>
        <w:t>9.64%</w:t>
      </w:r>
      <w:r>
        <w:rPr>
          <w:rFonts w:ascii="Times New Roman" w:hint="eastAsia"/>
          <w:sz w:val="24"/>
          <w:szCs w:val="16"/>
        </w:rPr>
        <w:t>，剧烈侵蚀为</w:t>
      </w:r>
      <w:r>
        <w:rPr>
          <w:rFonts w:ascii="Times New Roman" w:hint="eastAsia"/>
          <w:sz w:val="24"/>
          <w:szCs w:val="16"/>
        </w:rPr>
        <w:t>47.76</w:t>
      </w:r>
      <w:r>
        <w:rPr>
          <w:rFonts w:ascii="Times New Roman" w:hint="eastAsia"/>
          <w:sz w:val="24"/>
          <w:szCs w:val="16"/>
        </w:rPr>
        <w:t>平方公里，占流失面积的</w:t>
      </w:r>
      <w:r>
        <w:rPr>
          <w:rFonts w:ascii="Times New Roman" w:hint="eastAsia"/>
          <w:sz w:val="24"/>
          <w:szCs w:val="16"/>
        </w:rPr>
        <w:t>5.52%</w:t>
      </w:r>
      <w:r>
        <w:rPr>
          <w:rFonts w:ascii="Times New Roman" w:hint="eastAsia"/>
          <w:sz w:val="24"/>
          <w:szCs w:val="16"/>
        </w:rPr>
        <w:t>。</w:t>
      </w:r>
      <w:r>
        <w:rPr>
          <w:rFonts w:ascii="Times New Roman" w:hint="eastAsia"/>
          <w:sz w:val="24"/>
          <w:szCs w:val="16"/>
        </w:rPr>
        <w:t xml:space="preserve"> </w:t>
      </w:r>
    </w:p>
    <w:p w:rsidR="006C378F" w:rsidRDefault="00E12213">
      <w:pPr>
        <w:pStyle w:val="af7"/>
      </w:pPr>
      <w:r>
        <w:rPr>
          <w:rFonts w:hint="eastAsia"/>
        </w:rPr>
        <w:t>表</w:t>
      </w:r>
      <w:r>
        <w:rPr>
          <w:rFonts w:hint="eastAsia"/>
        </w:rPr>
        <w:t xml:space="preserve">2-2  </w:t>
      </w:r>
      <w:r>
        <w:rPr>
          <w:rFonts w:hint="eastAsia"/>
        </w:rPr>
        <w:t>水土流失现状表</w:t>
      </w:r>
      <w:r>
        <w:rPr>
          <w:rFonts w:hint="eastAsia"/>
        </w:rPr>
        <w:t xml:space="preserve">   </w:t>
      </w:r>
      <w:r>
        <w:rPr>
          <w:rFonts w:hint="eastAsia"/>
        </w:rPr>
        <w:t>单位：</w:t>
      </w:r>
      <w:r>
        <w:rPr>
          <w:rFonts w:hint="eastAsia"/>
        </w:rPr>
        <w:t>km</w:t>
      </w:r>
      <w:r>
        <w:rPr>
          <w:rFonts w:hint="eastAsia"/>
          <w:vertAlign w:val="superscript"/>
        </w:rPr>
        <w:t>2</w:t>
      </w:r>
      <w:r>
        <w:rPr>
          <w:rFonts w:hint="eastAsia"/>
        </w:rPr>
        <w:t>，</w:t>
      </w:r>
      <w:r>
        <w:rPr>
          <w:rFonts w:hint="eastAsia"/>
        </w:rPr>
        <w:t>%</w:t>
      </w:r>
    </w:p>
    <w:tbl>
      <w:tblPr>
        <w:tblStyle w:val="ab"/>
        <w:tblW w:w="0" w:type="auto"/>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2130"/>
        <w:gridCol w:w="2130"/>
        <w:gridCol w:w="2131"/>
        <w:gridCol w:w="2131"/>
      </w:tblGrid>
      <w:tr w:rsidR="006C378F">
        <w:trPr>
          <w:trHeight w:val="340"/>
        </w:trPr>
        <w:tc>
          <w:tcPr>
            <w:tcW w:w="2130" w:type="dxa"/>
            <w:tcBorders>
              <w:tl2br w:val="nil"/>
              <w:tr2bl w:val="nil"/>
            </w:tcBorders>
            <w:vAlign w:val="center"/>
          </w:tcPr>
          <w:p w:rsidR="006C378F" w:rsidRDefault="00E12213">
            <w:pPr>
              <w:pStyle w:val="af8"/>
              <w:ind w:firstLine="420"/>
            </w:pPr>
            <w:r>
              <w:rPr>
                <w:rFonts w:hint="eastAsia"/>
              </w:rPr>
              <w:t>侵蚀强度</w:t>
            </w:r>
          </w:p>
        </w:tc>
        <w:tc>
          <w:tcPr>
            <w:tcW w:w="2130" w:type="dxa"/>
            <w:tcBorders>
              <w:tl2br w:val="nil"/>
              <w:tr2bl w:val="nil"/>
            </w:tcBorders>
            <w:vAlign w:val="center"/>
          </w:tcPr>
          <w:p w:rsidR="006C378F" w:rsidRDefault="00E12213">
            <w:pPr>
              <w:pStyle w:val="af8"/>
              <w:ind w:firstLine="420"/>
            </w:pPr>
            <w:r>
              <w:rPr>
                <w:rFonts w:hint="eastAsia"/>
              </w:rPr>
              <w:t>面积</w:t>
            </w:r>
          </w:p>
        </w:tc>
        <w:tc>
          <w:tcPr>
            <w:tcW w:w="2131" w:type="dxa"/>
            <w:tcBorders>
              <w:tl2br w:val="nil"/>
              <w:tr2bl w:val="nil"/>
            </w:tcBorders>
            <w:vAlign w:val="center"/>
          </w:tcPr>
          <w:p w:rsidR="006C378F" w:rsidRDefault="00E12213">
            <w:pPr>
              <w:pStyle w:val="af8"/>
              <w:ind w:firstLine="420"/>
            </w:pPr>
            <w:r>
              <w:rPr>
                <w:rFonts w:hint="eastAsia"/>
              </w:rPr>
              <w:t>占流失面积比</w:t>
            </w:r>
          </w:p>
        </w:tc>
        <w:tc>
          <w:tcPr>
            <w:tcW w:w="2131" w:type="dxa"/>
            <w:tcBorders>
              <w:tl2br w:val="nil"/>
              <w:tr2bl w:val="nil"/>
            </w:tcBorders>
            <w:vAlign w:val="center"/>
          </w:tcPr>
          <w:p w:rsidR="006C378F" w:rsidRDefault="00E12213">
            <w:pPr>
              <w:pStyle w:val="af8"/>
              <w:ind w:firstLine="420"/>
            </w:pPr>
            <w:r>
              <w:rPr>
                <w:rFonts w:hint="eastAsia"/>
              </w:rPr>
              <w:t>占土地面积比</w:t>
            </w:r>
          </w:p>
        </w:tc>
      </w:tr>
      <w:tr w:rsidR="006C378F">
        <w:trPr>
          <w:trHeight w:val="340"/>
        </w:trPr>
        <w:tc>
          <w:tcPr>
            <w:tcW w:w="2130" w:type="dxa"/>
            <w:tcBorders>
              <w:tl2br w:val="nil"/>
              <w:tr2bl w:val="nil"/>
            </w:tcBorders>
            <w:vAlign w:val="center"/>
          </w:tcPr>
          <w:p w:rsidR="006C378F" w:rsidRDefault="00E12213">
            <w:pPr>
              <w:pStyle w:val="af8"/>
              <w:ind w:firstLine="420"/>
            </w:pPr>
            <w:r>
              <w:rPr>
                <w:rFonts w:hint="eastAsia"/>
              </w:rPr>
              <w:t>轻度</w:t>
            </w:r>
          </w:p>
        </w:tc>
        <w:tc>
          <w:tcPr>
            <w:tcW w:w="2130" w:type="dxa"/>
            <w:tcBorders>
              <w:tl2br w:val="nil"/>
              <w:tr2bl w:val="nil"/>
            </w:tcBorders>
            <w:vAlign w:val="center"/>
          </w:tcPr>
          <w:p w:rsidR="006C378F" w:rsidRDefault="00E12213">
            <w:pPr>
              <w:pStyle w:val="af8"/>
              <w:ind w:firstLine="420"/>
            </w:pPr>
            <w:r>
              <w:rPr>
                <w:rFonts w:hint="eastAsia"/>
              </w:rPr>
              <w:t>205.67</w:t>
            </w:r>
          </w:p>
        </w:tc>
        <w:tc>
          <w:tcPr>
            <w:tcW w:w="2131" w:type="dxa"/>
            <w:tcBorders>
              <w:tl2br w:val="nil"/>
              <w:tr2bl w:val="nil"/>
            </w:tcBorders>
            <w:vAlign w:val="center"/>
          </w:tcPr>
          <w:p w:rsidR="006C378F" w:rsidRDefault="00E12213">
            <w:pPr>
              <w:pStyle w:val="af8"/>
              <w:ind w:firstLine="420"/>
            </w:pPr>
            <w:r>
              <w:rPr>
                <w:rFonts w:hint="eastAsia"/>
              </w:rPr>
              <w:t>23.75</w:t>
            </w:r>
          </w:p>
        </w:tc>
        <w:tc>
          <w:tcPr>
            <w:tcW w:w="2131" w:type="dxa"/>
            <w:tcBorders>
              <w:tl2br w:val="nil"/>
              <w:tr2bl w:val="nil"/>
            </w:tcBorders>
            <w:vAlign w:val="center"/>
          </w:tcPr>
          <w:p w:rsidR="006C378F" w:rsidRDefault="00E12213">
            <w:pPr>
              <w:pStyle w:val="af8"/>
              <w:ind w:firstLine="420"/>
            </w:pPr>
            <w:r>
              <w:rPr>
                <w:rFonts w:hint="eastAsia"/>
              </w:rPr>
              <w:t>11.48</w:t>
            </w:r>
          </w:p>
        </w:tc>
      </w:tr>
      <w:tr w:rsidR="006C378F">
        <w:trPr>
          <w:trHeight w:val="340"/>
        </w:trPr>
        <w:tc>
          <w:tcPr>
            <w:tcW w:w="2130" w:type="dxa"/>
            <w:tcBorders>
              <w:tl2br w:val="nil"/>
              <w:tr2bl w:val="nil"/>
            </w:tcBorders>
            <w:vAlign w:val="center"/>
          </w:tcPr>
          <w:p w:rsidR="006C378F" w:rsidRDefault="00E12213">
            <w:pPr>
              <w:pStyle w:val="af8"/>
              <w:ind w:firstLine="420"/>
            </w:pPr>
            <w:r>
              <w:rPr>
                <w:rFonts w:hint="eastAsia"/>
              </w:rPr>
              <w:t>中度</w:t>
            </w:r>
          </w:p>
        </w:tc>
        <w:tc>
          <w:tcPr>
            <w:tcW w:w="2130" w:type="dxa"/>
            <w:tcBorders>
              <w:tl2br w:val="nil"/>
              <w:tr2bl w:val="nil"/>
            </w:tcBorders>
            <w:vAlign w:val="center"/>
          </w:tcPr>
          <w:p w:rsidR="006C378F" w:rsidRDefault="00E12213">
            <w:pPr>
              <w:pStyle w:val="af8"/>
              <w:ind w:firstLine="420"/>
            </w:pPr>
            <w:r>
              <w:rPr>
                <w:rFonts w:hint="eastAsia"/>
              </w:rPr>
              <w:t>348.22</w:t>
            </w:r>
          </w:p>
        </w:tc>
        <w:tc>
          <w:tcPr>
            <w:tcW w:w="2131" w:type="dxa"/>
            <w:tcBorders>
              <w:tl2br w:val="nil"/>
              <w:tr2bl w:val="nil"/>
            </w:tcBorders>
            <w:vAlign w:val="center"/>
          </w:tcPr>
          <w:p w:rsidR="006C378F" w:rsidRDefault="00E12213">
            <w:pPr>
              <w:pStyle w:val="af8"/>
              <w:ind w:firstLine="420"/>
            </w:pPr>
            <w:r>
              <w:rPr>
                <w:rFonts w:hint="eastAsia"/>
              </w:rPr>
              <w:t>40.22</w:t>
            </w:r>
          </w:p>
        </w:tc>
        <w:tc>
          <w:tcPr>
            <w:tcW w:w="2131" w:type="dxa"/>
            <w:tcBorders>
              <w:tl2br w:val="nil"/>
              <w:tr2bl w:val="nil"/>
            </w:tcBorders>
            <w:vAlign w:val="center"/>
          </w:tcPr>
          <w:p w:rsidR="006C378F" w:rsidRDefault="00E12213">
            <w:pPr>
              <w:pStyle w:val="af8"/>
              <w:ind w:firstLine="420"/>
            </w:pPr>
            <w:r>
              <w:rPr>
                <w:rFonts w:hint="eastAsia"/>
              </w:rPr>
              <w:t>19.45</w:t>
            </w:r>
          </w:p>
        </w:tc>
      </w:tr>
      <w:tr w:rsidR="006C378F">
        <w:trPr>
          <w:trHeight w:val="340"/>
        </w:trPr>
        <w:tc>
          <w:tcPr>
            <w:tcW w:w="2130" w:type="dxa"/>
            <w:tcBorders>
              <w:tl2br w:val="nil"/>
              <w:tr2bl w:val="nil"/>
            </w:tcBorders>
            <w:vAlign w:val="center"/>
          </w:tcPr>
          <w:p w:rsidR="006C378F" w:rsidRDefault="00E12213">
            <w:pPr>
              <w:pStyle w:val="af8"/>
              <w:ind w:firstLine="420"/>
            </w:pPr>
            <w:r>
              <w:rPr>
                <w:rFonts w:hint="eastAsia"/>
              </w:rPr>
              <w:t>强烈</w:t>
            </w:r>
          </w:p>
        </w:tc>
        <w:tc>
          <w:tcPr>
            <w:tcW w:w="2130" w:type="dxa"/>
            <w:tcBorders>
              <w:tl2br w:val="nil"/>
              <w:tr2bl w:val="nil"/>
            </w:tcBorders>
            <w:vAlign w:val="center"/>
          </w:tcPr>
          <w:p w:rsidR="006C378F" w:rsidRDefault="00E12213">
            <w:pPr>
              <w:pStyle w:val="af8"/>
              <w:ind w:firstLine="420"/>
            </w:pPr>
            <w:r>
              <w:rPr>
                <w:rFonts w:hint="eastAsia"/>
              </w:rPr>
              <w:t>180.75</w:t>
            </w:r>
          </w:p>
        </w:tc>
        <w:tc>
          <w:tcPr>
            <w:tcW w:w="2131" w:type="dxa"/>
            <w:tcBorders>
              <w:tl2br w:val="nil"/>
              <w:tr2bl w:val="nil"/>
            </w:tcBorders>
            <w:vAlign w:val="center"/>
          </w:tcPr>
          <w:p w:rsidR="006C378F" w:rsidRDefault="00E12213">
            <w:pPr>
              <w:pStyle w:val="af8"/>
              <w:ind w:firstLine="420"/>
            </w:pPr>
            <w:r>
              <w:rPr>
                <w:rFonts w:hint="eastAsia"/>
              </w:rPr>
              <w:t>20.87</w:t>
            </w:r>
          </w:p>
        </w:tc>
        <w:tc>
          <w:tcPr>
            <w:tcW w:w="2131" w:type="dxa"/>
            <w:tcBorders>
              <w:tl2br w:val="nil"/>
              <w:tr2bl w:val="nil"/>
            </w:tcBorders>
            <w:vAlign w:val="center"/>
          </w:tcPr>
          <w:p w:rsidR="006C378F" w:rsidRDefault="00E12213">
            <w:pPr>
              <w:pStyle w:val="af8"/>
              <w:ind w:firstLine="420"/>
            </w:pPr>
            <w:r>
              <w:rPr>
                <w:rFonts w:hint="eastAsia"/>
              </w:rPr>
              <w:t>10.09</w:t>
            </w:r>
          </w:p>
        </w:tc>
      </w:tr>
      <w:tr w:rsidR="006C378F">
        <w:trPr>
          <w:trHeight w:val="340"/>
        </w:trPr>
        <w:tc>
          <w:tcPr>
            <w:tcW w:w="2130" w:type="dxa"/>
            <w:tcBorders>
              <w:tl2br w:val="nil"/>
              <w:tr2bl w:val="nil"/>
            </w:tcBorders>
            <w:vAlign w:val="center"/>
          </w:tcPr>
          <w:p w:rsidR="006C378F" w:rsidRDefault="00E12213">
            <w:pPr>
              <w:pStyle w:val="af8"/>
              <w:ind w:firstLine="420"/>
            </w:pPr>
            <w:r>
              <w:rPr>
                <w:rFonts w:hint="eastAsia"/>
              </w:rPr>
              <w:t>极强烈</w:t>
            </w:r>
          </w:p>
        </w:tc>
        <w:tc>
          <w:tcPr>
            <w:tcW w:w="2130" w:type="dxa"/>
            <w:tcBorders>
              <w:tl2br w:val="nil"/>
              <w:tr2bl w:val="nil"/>
            </w:tcBorders>
            <w:vAlign w:val="center"/>
          </w:tcPr>
          <w:p w:rsidR="006C378F" w:rsidRDefault="00E12213">
            <w:pPr>
              <w:pStyle w:val="af8"/>
              <w:ind w:firstLine="420"/>
            </w:pPr>
            <w:r>
              <w:rPr>
                <w:rFonts w:hint="eastAsia"/>
              </w:rPr>
              <w:t>83.45</w:t>
            </w:r>
          </w:p>
        </w:tc>
        <w:tc>
          <w:tcPr>
            <w:tcW w:w="2131" w:type="dxa"/>
            <w:tcBorders>
              <w:tl2br w:val="nil"/>
              <w:tr2bl w:val="nil"/>
            </w:tcBorders>
            <w:vAlign w:val="center"/>
          </w:tcPr>
          <w:p w:rsidR="006C378F" w:rsidRDefault="00E12213">
            <w:pPr>
              <w:pStyle w:val="af8"/>
              <w:ind w:firstLine="420"/>
            </w:pPr>
            <w:r>
              <w:rPr>
                <w:rFonts w:hint="eastAsia"/>
              </w:rPr>
              <w:t>9.64</w:t>
            </w:r>
          </w:p>
        </w:tc>
        <w:tc>
          <w:tcPr>
            <w:tcW w:w="2131" w:type="dxa"/>
            <w:tcBorders>
              <w:tl2br w:val="nil"/>
              <w:tr2bl w:val="nil"/>
            </w:tcBorders>
            <w:vAlign w:val="center"/>
          </w:tcPr>
          <w:p w:rsidR="006C378F" w:rsidRDefault="00E12213">
            <w:pPr>
              <w:pStyle w:val="af8"/>
              <w:ind w:firstLine="420"/>
            </w:pPr>
            <w:r>
              <w:rPr>
                <w:rFonts w:hint="eastAsia"/>
              </w:rPr>
              <w:t>4.66</w:t>
            </w:r>
          </w:p>
        </w:tc>
      </w:tr>
      <w:tr w:rsidR="006C378F">
        <w:trPr>
          <w:trHeight w:val="340"/>
        </w:trPr>
        <w:tc>
          <w:tcPr>
            <w:tcW w:w="2130" w:type="dxa"/>
            <w:tcBorders>
              <w:tl2br w:val="nil"/>
              <w:tr2bl w:val="nil"/>
            </w:tcBorders>
            <w:vAlign w:val="center"/>
          </w:tcPr>
          <w:p w:rsidR="006C378F" w:rsidRDefault="00E12213">
            <w:pPr>
              <w:pStyle w:val="af8"/>
              <w:ind w:firstLine="420"/>
            </w:pPr>
            <w:r>
              <w:rPr>
                <w:rFonts w:hint="eastAsia"/>
              </w:rPr>
              <w:t>剧烈</w:t>
            </w:r>
          </w:p>
        </w:tc>
        <w:tc>
          <w:tcPr>
            <w:tcW w:w="2130" w:type="dxa"/>
            <w:tcBorders>
              <w:tl2br w:val="nil"/>
              <w:tr2bl w:val="nil"/>
            </w:tcBorders>
            <w:vAlign w:val="center"/>
          </w:tcPr>
          <w:p w:rsidR="006C378F" w:rsidRDefault="00E12213">
            <w:pPr>
              <w:pStyle w:val="af8"/>
              <w:ind w:firstLine="420"/>
            </w:pPr>
            <w:r>
              <w:rPr>
                <w:rFonts w:hint="eastAsia"/>
              </w:rPr>
              <w:t>47.76</w:t>
            </w:r>
          </w:p>
        </w:tc>
        <w:tc>
          <w:tcPr>
            <w:tcW w:w="2131" w:type="dxa"/>
            <w:tcBorders>
              <w:tl2br w:val="nil"/>
              <w:tr2bl w:val="nil"/>
            </w:tcBorders>
            <w:vAlign w:val="center"/>
          </w:tcPr>
          <w:p w:rsidR="006C378F" w:rsidRDefault="00E12213">
            <w:pPr>
              <w:pStyle w:val="af8"/>
              <w:ind w:firstLine="420"/>
            </w:pPr>
            <w:r>
              <w:rPr>
                <w:rFonts w:hint="eastAsia"/>
              </w:rPr>
              <w:t>5.52</w:t>
            </w:r>
          </w:p>
        </w:tc>
        <w:tc>
          <w:tcPr>
            <w:tcW w:w="2131" w:type="dxa"/>
            <w:tcBorders>
              <w:tl2br w:val="nil"/>
              <w:tr2bl w:val="nil"/>
            </w:tcBorders>
            <w:vAlign w:val="center"/>
          </w:tcPr>
          <w:p w:rsidR="006C378F" w:rsidRDefault="00E12213">
            <w:pPr>
              <w:pStyle w:val="af8"/>
              <w:ind w:firstLine="420"/>
            </w:pPr>
            <w:r>
              <w:rPr>
                <w:rFonts w:hint="eastAsia"/>
              </w:rPr>
              <w:t>2.67</w:t>
            </w:r>
          </w:p>
        </w:tc>
      </w:tr>
      <w:tr w:rsidR="006C378F">
        <w:trPr>
          <w:trHeight w:val="340"/>
        </w:trPr>
        <w:tc>
          <w:tcPr>
            <w:tcW w:w="2130" w:type="dxa"/>
            <w:tcBorders>
              <w:tl2br w:val="nil"/>
              <w:tr2bl w:val="nil"/>
            </w:tcBorders>
            <w:vAlign w:val="center"/>
          </w:tcPr>
          <w:p w:rsidR="006C378F" w:rsidRDefault="00E12213">
            <w:pPr>
              <w:pStyle w:val="af8"/>
              <w:ind w:firstLine="420"/>
            </w:pPr>
            <w:r>
              <w:rPr>
                <w:rFonts w:hint="eastAsia"/>
              </w:rPr>
              <w:t>合计</w:t>
            </w:r>
          </w:p>
        </w:tc>
        <w:tc>
          <w:tcPr>
            <w:tcW w:w="2130" w:type="dxa"/>
            <w:tcBorders>
              <w:tl2br w:val="nil"/>
              <w:tr2bl w:val="nil"/>
            </w:tcBorders>
            <w:vAlign w:val="center"/>
          </w:tcPr>
          <w:p w:rsidR="006C378F" w:rsidRDefault="00E12213">
            <w:pPr>
              <w:pStyle w:val="af8"/>
              <w:ind w:firstLine="420"/>
            </w:pPr>
            <w:r>
              <w:rPr>
                <w:rFonts w:hint="eastAsia"/>
              </w:rPr>
              <w:t>865.85</w:t>
            </w:r>
          </w:p>
        </w:tc>
        <w:tc>
          <w:tcPr>
            <w:tcW w:w="2131" w:type="dxa"/>
            <w:tcBorders>
              <w:tl2br w:val="nil"/>
              <w:tr2bl w:val="nil"/>
            </w:tcBorders>
            <w:vAlign w:val="center"/>
          </w:tcPr>
          <w:p w:rsidR="006C378F" w:rsidRDefault="00E12213">
            <w:pPr>
              <w:pStyle w:val="af8"/>
              <w:ind w:firstLine="420"/>
            </w:pPr>
            <w:r>
              <w:rPr>
                <w:rFonts w:hint="eastAsia"/>
              </w:rPr>
              <w:t>100</w:t>
            </w:r>
          </w:p>
        </w:tc>
        <w:tc>
          <w:tcPr>
            <w:tcW w:w="2131" w:type="dxa"/>
            <w:tcBorders>
              <w:tl2br w:val="nil"/>
              <w:tr2bl w:val="nil"/>
            </w:tcBorders>
            <w:vAlign w:val="center"/>
          </w:tcPr>
          <w:p w:rsidR="006C378F" w:rsidRDefault="00E12213">
            <w:pPr>
              <w:pStyle w:val="af8"/>
              <w:ind w:firstLine="420"/>
            </w:pPr>
            <w:r>
              <w:rPr>
                <w:rFonts w:hint="eastAsia"/>
              </w:rPr>
              <w:t>48.35</w:t>
            </w:r>
          </w:p>
        </w:tc>
      </w:tr>
    </w:tbl>
    <w:p w:rsidR="006C378F" w:rsidRDefault="00E12213">
      <w:pPr>
        <w:pStyle w:val="3"/>
      </w:pPr>
      <w:r>
        <w:rPr>
          <w:rFonts w:hint="eastAsia"/>
        </w:rPr>
        <w:t>2.5.2</w:t>
      </w:r>
      <w:r>
        <w:rPr>
          <w:rFonts w:hint="eastAsia"/>
        </w:rPr>
        <w:t>工程区水土流失现状</w:t>
      </w:r>
    </w:p>
    <w:p w:rsidR="006C378F" w:rsidRDefault="00E12213">
      <w:pPr>
        <w:pStyle w:val="BZDL1"/>
        <w:spacing w:beforeLines="0" w:before="0" w:afterLines="0" w:after="0" w:line="360" w:lineRule="auto"/>
        <w:ind w:firstLine="480"/>
        <w:rPr>
          <w:rFonts w:ascii="Times New Roman"/>
          <w:sz w:val="24"/>
          <w:szCs w:val="16"/>
        </w:rPr>
      </w:pPr>
      <w:r>
        <w:rPr>
          <w:rFonts w:ascii="Times New Roman"/>
          <w:sz w:val="24"/>
          <w:szCs w:val="16"/>
        </w:rPr>
        <w:t>工程区水土流失类型主要为水力侵蚀。根据</w:t>
      </w:r>
      <w:r>
        <w:rPr>
          <w:rFonts w:ascii="Times New Roman" w:hint="eastAsia"/>
          <w:sz w:val="24"/>
          <w:szCs w:val="16"/>
        </w:rPr>
        <w:t>仪陇县</w:t>
      </w:r>
      <w:r>
        <w:rPr>
          <w:rFonts w:ascii="Times New Roman"/>
          <w:sz w:val="24"/>
          <w:szCs w:val="16"/>
        </w:rPr>
        <w:t>土壤侵蚀遥感资料，结合现场踏勘调查工程区土地利用类型、面积、地形坡度和林草覆盖率等，同时结合项目区地貌、土壤和气候特征，参照《土壤侵蚀分类分级标准》（</w:t>
      </w:r>
      <w:r>
        <w:rPr>
          <w:rFonts w:ascii="Times New Roman"/>
          <w:sz w:val="24"/>
          <w:szCs w:val="16"/>
        </w:rPr>
        <w:t>SL190-2007</w:t>
      </w:r>
      <w:r>
        <w:rPr>
          <w:rFonts w:ascii="Times New Roman"/>
          <w:sz w:val="24"/>
          <w:szCs w:val="16"/>
        </w:rPr>
        <w:t>）确定各用地类型的土壤侵蚀强度及各扰动区域区土壤侵蚀模数背景值。经计算，项目区平均土壤侵蚀模数背景值为</w:t>
      </w:r>
      <w:r>
        <w:rPr>
          <w:rFonts w:ascii="Times New Roman" w:hint="eastAsia"/>
          <w:sz w:val="24"/>
          <w:szCs w:val="16"/>
        </w:rPr>
        <w:t>519</w:t>
      </w:r>
      <w:r>
        <w:rPr>
          <w:rFonts w:ascii="Times New Roman"/>
          <w:sz w:val="24"/>
          <w:szCs w:val="16"/>
        </w:rPr>
        <w:t>t/km²•a</w:t>
      </w:r>
      <w:r>
        <w:rPr>
          <w:rFonts w:ascii="Times New Roman"/>
          <w:sz w:val="24"/>
          <w:szCs w:val="16"/>
        </w:rPr>
        <w:t>，工程区的土壤侵蚀强度为轻度。</w:t>
      </w:r>
    </w:p>
    <w:p w:rsidR="006C378F" w:rsidRDefault="00E12213">
      <w:pPr>
        <w:pStyle w:val="af7"/>
        <w:rPr>
          <w:szCs w:val="24"/>
        </w:rPr>
      </w:pPr>
      <w:r>
        <w:rPr>
          <w:szCs w:val="24"/>
        </w:rPr>
        <w:br w:type="page"/>
      </w:r>
    </w:p>
    <w:p w:rsidR="006C378F" w:rsidRDefault="00E12213">
      <w:pPr>
        <w:pStyle w:val="2"/>
      </w:pPr>
      <w:bookmarkStart w:id="125" w:name="_Toc62180006"/>
      <w:bookmarkStart w:id="126" w:name="_Toc29227"/>
      <w:r>
        <w:lastRenderedPageBreak/>
        <w:t>2.6</w:t>
      </w:r>
      <w:r>
        <w:t>项目区水土保持现状</w:t>
      </w:r>
      <w:bookmarkEnd w:id="122"/>
      <w:bookmarkEnd w:id="123"/>
      <w:bookmarkEnd w:id="124"/>
      <w:bookmarkEnd w:id="125"/>
      <w:bookmarkEnd w:id="126"/>
    </w:p>
    <w:p w:rsidR="006C378F" w:rsidRDefault="00E12213">
      <w:pPr>
        <w:pStyle w:val="BZDL1"/>
        <w:spacing w:beforeLines="0" w:before="0" w:afterLines="0" w:after="0" w:line="360" w:lineRule="auto"/>
        <w:ind w:firstLine="480"/>
        <w:rPr>
          <w:rFonts w:ascii="Times New Roman"/>
          <w:sz w:val="24"/>
          <w:szCs w:val="16"/>
        </w:rPr>
      </w:pPr>
      <w:bookmarkStart w:id="127" w:name="_Toc371412998"/>
      <w:r>
        <w:rPr>
          <w:rFonts w:ascii="Times New Roman" w:hint="eastAsia"/>
          <w:sz w:val="24"/>
          <w:szCs w:val="16"/>
        </w:rPr>
        <w:t>近年来，仪陇县水务局积极狠抓水土流失治理和水土保持预防监督，多措并举实施水土保持：结合各镇农村产业结构调整和退耕还林工程，建设水土保持防护林；采取修梯田、</w:t>
      </w:r>
      <w:r>
        <w:rPr>
          <w:rFonts w:ascii="Times New Roman"/>
          <w:sz w:val="24"/>
          <w:szCs w:val="16"/>
        </w:rPr>
        <w:t>“</w:t>
      </w:r>
      <w:r>
        <w:rPr>
          <w:rFonts w:ascii="Times New Roman" w:hint="eastAsia"/>
          <w:sz w:val="24"/>
          <w:szCs w:val="16"/>
        </w:rPr>
        <w:t>免耕法</w:t>
      </w:r>
      <w:r>
        <w:rPr>
          <w:rFonts w:ascii="Times New Roman"/>
          <w:sz w:val="24"/>
          <w:szCs w:val="16"/>
        </w:rPr>
        <w:t>”</w:t>
      </w:r>
      <w:r>
        <w:rPr>
          <w:rFonts w:ascii="Times New Roman" w:hint="eastAsia"/>
          <w:sz w:val="24"/>
          <w:szCs w:val="16"/>
        </w:rPr>
        <w:t>等措施推行保土耕作，减少丘陵坡耕地的水土流失；结合水利、水土保持工程建设，强化水系绿化，实施小流域综合治理，新修蓄水池</w:t>
      </w:r>
      <w:r>
        <w:rPr>
          <w:rFonts w:ascii="Times New Roman"/>
          <w:sz w:val="24"/>
          <w:szCs w:val="16"/>
        </w:rPr>
        <w:t>3000</w:t>
      </w:r>
      <w:r>
        <w:rPr>
          <w:rFonts w:ascii="Times New Roman" w:hint="eastAsia"/>
          <w:sz w:val="24"/>
          <w:szCs w:val="16"/>
        </w:rPr>
        <w:t>多座，堰塘</w:t>
      </w:r>
      <w:r>
        <w:rPr>
          <w:rFonts w:ascii="Times New Roman"/>
          <w:sz w:val="24"/>
          <w:szCs w:val="16"/>
        </w:rPr>
        <w:t>8000</w:t>
      </w:r>
      <w:r>
        <w:rPr>
          <w:rFonts w:ascii="Times New Roman" w:hint="eastAsia"/>
          <w:sz w:val="24"/>
          <w:szCs w:val="16"/>
        </w:rPr>
        <w:t>多座；加强生产开发建设项目水土流失防治和监管力度，控制和减少人为水土流失。</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经实地勘查工程区附近已建和在建的类似工程，总结出常见的水土保持措施如下：</w:t>
      </w:r>
      <w:r>
        <w:rPr>
          <w:rFonts w:ascii="Times New Roman"/>
          <w:sz w:val="24"/>
          <w:szCs w:val="16"/>
        </w:rPr>
        <w:t xml:space="preserve"> </w:t>
      </w:r>
    </w:p>
    <w:p w:rsidR="006C378F" w:rsidRDefault="00E12213">
      <w:pPr>
        <w:pStyle w:val="BZDL1"/>
        <w:spacing w:beforeLines="0" w:before="0" w:afterLines="0" w:after="0" w:line="360" w:lineRule="auto"/>
        <w:ind w:firstLine="480"/>
        <w:rPr>
          <w:rFonts w:ascii="Times New Roman"/>
          <w:sz w:val="24"/>
          <w:szCs w:val="16"/>
        </w:rPr>
      </w:pPr>
      <w:r>
        <w:rPr>
          <w:rFonts w:ascii="Times New Roman"/>
          <w:sz w:val="24"/>
          <w:szCs w:val="16"/>
        </w:rPr>
        <w:t>1</w:t>
      </w:r>
      <w:r>
        <w:rPr>
          <w:rFonts w:ascii="Times New Roman" w:hint="eastAsia"/>
          <w:sz w:val="24"/>
          <w:szCs w:val="16"/>
        </w:rPr>
        <w:t>、工程措施</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表土剥离：施工进场前、基础开挖前对临时占地区、建构筑物占地区进行表土剥离，并堆放于周围施工临时占地区域内。</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排水工程：为保证工程地基稳定、防治冲刷和水毁，因地制宜地采取防洪排导措施，将降水及坡面水引出工程区范围，排入市政管网或附近河流。</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拦渣工程：按照先拦后弃的原则，对弃渣场采取挡土墙挡护、排水沟排除坡面汇水等措施。</w:t>
      </w:r>
    </w:p>
    <w:p w:rsidR="006C378F" w:rsidRDefault="00E12213">
      <w:pPr>
        <w:pStyle w:val="BZDL1"/>
        <w:spacing w:beforeLines="0" w:before="0" w:afterLines="0" w:after="0" w:line="360" w:lineRule="auto"/>
        <w:ind w:firstLine="480"/>
        <w:rPr>
          <w:rFonts w:ascii="Times New Roman"/>
          <w:sz w:val="24"/>
          <w:szCs w:val="16"/>
        </w:rPr>
      </w:pPr>
      <w:r>
        <w:rPr>
          <w:rFonts w:ascii="Times New Roman"/>
          <w:sz w:val="24"/>
          <w:szCs w:val="16"/>
        </w:rPr>
        <w:t>2</w:t>
      </w:r>
      <w:r>
        <w:rPr>
          <w:rFonts w:ascii="Times New Roman" w:hint="eastAsia"/>
          <w:sz w:val="24"/>
          <w:szCs w:val="16"/>
        </w:rPr>
        <w:t>、植物措施</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施工结束后，对临时占地区进行植被恢复，原为耕地的进行复垦，其余占地进行绿化。</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弃渣堆放完成后，对其顶面及坡面进行绿化，防治水土流失。</w:t>
      </w:r>
    </w:p>
    <w:p w:rsidR="006C378F" w:rsidRDefault="00E12213">
      <w:pPr>
        <w:pStyle w:val="BZDL1"/>
        <w:spacing w:beforeLines="0" w:before="0" w:afterLines="0" w:after="0" w:line="360" w:lineRule="auto"/>
        <w:ind w:firstLine="480"/>
        <w:rPr>
          <w:rFonts w:ascii="Times New Roman"/>
          <w:sz w:val="24"/>
          <w:szCs w:val="16"/>
        </w:rPr>
      </w:pPr>
      <w:r>
        <w:rPr>
          <w:rFonts w:ascii="Times New Roman"/>
          <w:sz w:val="24"/>
          <w:szCs w:val="16"/>
        </w:rPr>
        <w:t>3</w:t>
      </w:r>
      <w:r>
        <w:rPr>
          <w:rFonts w:ascii="Times New Roman" w:hint="eastAsia"/>
          <w:sz w:val="24"/>
          <w:szCs w:val="16"/>
        </w:rPr>
        <w:t>、施工临时工程</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裸露面临时遮盖：对施工开挖、填筑、堆置、土料运输等形成的裸露面，采用防雨布进行临时遮盖。</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围墙或彩钢板围栏：对邻近城镇、居民点的施工区采用围墙或彩钢板围栏进行临时围护，实行封闭施工，既可达到水土保持目的，又能降低施工对附近居民的影响。</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临时排水：在降水汇集区施工可修建临时截排水沟，减小地表径流对施工面的冲刷。</w:t>
      </w:r>
    </w:p>
    <w:p w:rsidR="006C378F" w:rsidRDefault="00E12213">
      <w:pPr>
        <w:pStyle w:val="BZDL1"/>
        <w:spacing w:beforeLines="0" w:before="0" w:afterLines="0" w:after="0" w:line="360" w:lineRule="auto"/>
        <w:ind w:firstLine="480"/>
        <w:rPr>
          <w:rFonts w:ascii="Times New Roman"/>
          <w:sz w:val="24"/>
          <w:szCs w:val="16"/>
        </w:rPr>
      </w:pPr>
      <w:r>
        <w:rPr>
          <w:rFonts w:ascii="Times New Roman"/>
          <w:sz w:val="24"/>
          <w:szCs w:val="16"/>
        </w:rPr>
        <w:t>4</w:t>
      </w:r>
      <w:r>
        <w:rPr>
          <w:rFonts w:ascii="Times New Roman" w:hint="eastAsia"/>
          <w:sz w:val="24"/>
          <w:szCs w:val="16"/>
        </w:rPr>
        <w:t>、施工管理</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树立按</w:t>
      </w:r>
      <w:r>
        <w:rPr>
          <w:rFonts w:ascii="Times New Roman"/>
          <w:sz w:val="24"/>
          <w:szCs w:val="16"/>
        </w:rPr>
        <w:t>“</w:t>
      </w:r>
      <w:r>
        <w:rPr>
          <w:rFonts w:ascii="Times New Roman" w:hint="eastAsia"/>
          <w:sz w:val="24"/>
          <w:szCs w:val="16"/>
        </w:rPr>
        <w:t>规范</w:t>
      </w:r>
      <w:r>
        <w:rPr>
          <w:rFonts w:ascii="Times New Roman"/>
          <w:sz w:val="24"/>
          <w:szCs w:val="16"/>
        </w:rPr>
        <w:t>”</w:t>
      </w:r>
      <w:r>
        <w:rPr>
          <w:rFonts w:ascii="Times New Roman" w:hint="eastAsia"/>
          <w:sz w:val="24"/>
          <w:szCs w:val="16"/>
        </w:rPr>
        <w:t>和</w:t>
      </w:r>
      <w:r>
        <w:rPr>
          <w:rFonts w:ascii="Times New Roman"/>
          <w:sz w:val="24"/>
          <w:szCs w:val="16"/>
        </w:rPr>
        <w:t>“</w:t>
      </w:r>
      <w:r>
        <w:rPr>
          <w:rFonts w:ascii="Times New Roman" w:hint="eastAsia"/>
          <w:sz w:val="24"/>
          <w:szCs w:val="16"/>
        </w:rPr>
        <w:t>惯例</w:t>
      </w:r>
      <w:r>
        <w:rPr>
          <w:rFonts w:ascii="Times New Roman"/>
          <w:sz w:val="24"/>
          <w:szCs w:val="16"/>
        </w:rPr>
        <w:t>”</w:t>
      </w:r>
      <w:r>
        <w:rPr>
          <w:rFonts w:ascii="Times New Roman" w:hint="eastAsia"/>
          <w:sz w:val="24"/>
          <w:szCs w:val="16"/>
        </w:rPr>
        <w:t>运作的观念，建立</w:t>
      </w:r>
      <w:r>
        <w:rPr>
          <w:rFonts w:ascii="Times New Roman"/>
          <w:sz w:val="24"/>
          <w:szCs w:val="16"/>
        </w:rPr>
        <w:t>“</w:t>
      </w:r>
      <w:r>
        <w:rPr>
          <w:rFonts w:ascii="Times New Roman" w:hint="eastAsia"/>
          <w:sz w:val="24"/>
          <w:szCs w:val="16"/>
        </w:rPr>
        <w:t>工程监理制和业主代表驻地制相结合</w:t>
      </w:r>
      <w:r>
        <w:rPr>
          <w:rFonts w:ascii="Times New Roman"/>
          <w:sz w:val="24"/>
          <w:szCs w:val="16"/>
        </w:rPr>
        <w:t>”</w:t>
      </w:r>
      <w:r>
        <w:rPr>
          <w:rFonts w:ascii="Times New Roman" w:hint="eastAsia"/>
          <w:sz w:val="24"/>
          <w:szCs w:val="16"/>
        </w:rPr>
        <w:t>的管理模式。具体做法是：在施工阶段将做好水土保持工作明确写入施工合同中；利用各种奖惩措施促使施工单位采取科学、合理的施工工艺，保证工程区影响范围内的土体稳定性；搞好工程建设自身的水土保持工作，尽量减少扰动地表面积，从现场施工方面减少工程带来的水土流失影响。</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lastRenderedPageBreak/>
        <w:t>通过上述水土保持措施的实施，可有效减少因工程建设新增的水土流失，其经验值得本项目借鉴。</w:t>
      </w:r>
    </w:p>
    <w:p w:rsidR="006C378F" w:rsidRDefault="00E12213">
      <w:pPr>
        <w:pStyle w:val="2"/>
      </w:pPr>
      <w:bookmarkStart w:id="128" w:name="_Toc62180007"/>
      <w:bookmarkStart w:id="129" w:name="_Toc23756"/>
      <w:bookmarkStart w:id="130" w:name="_Toc6356"/>
      <w:bookmarkStart w:id="131" w:name="_Toc4945"/>
      <w:r>
        <w:t>2.7</w:t>
      </w:r>
      <w:r>
        <w:t>水土流失防治经验</w:t>
      </w:r>
      <w:bookmarkEnd w:id="127"/>
      <w:bookmarkEnd w:id="128"/>
      <w:bookmarkEnd w:id="129"/>
      <w:bookmarkEnd w:id="130"/>
      <w:bookmarkEnd w:id="131"/>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通过对当地相关技术人员的调查访问，并对工程区附近项目的实地踏勘，在当地工程建设中经常使用和成功的水土保持经验及采取的防护措施主要</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项目由于其特性，其管线开挖部分回填完成后进行土地整治或硬化，项目实施完毕后项目建设区的水土流失能够有效的到治理；项目主要为绿化和建筑物覆盖，水土流失可以达到微度水平。经查阅相关资料及现场调查，仪陇县采取的较为成功的水土保持经验及防护措施主要有排水工程、临时遮盖措施、临时排水措施、绿化措施等，该类措施能够有效防治项目建设期及林草恢复期的水土流失，其成功经验可供同类项目水土流失防治措施设置提供参考。</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1</w:t>
      </w:r>
      <w:r>
        <w:rPr>
          <w:rFonts w:ascii="Times New Roman" w:hint="eastAsia"/>
          <w:sz w:val="24"/>
          <w:szCs w:val="16"/>
        </w:rPr>
        <w:t>、工程措施</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为了保证工程地基稳定、防止冲刷和水毁，结合地形、地质、地形条件因地制宜地采取综合排水措施，能够有效排导场内汇水，避免漫流冲刷造成水土流失，为满足后期绿化需要及保护表土资源，对占用的耕地施工结束后进行土地整治等，主要有排水沟、表土剥离、表土回覆、土地整治等工程措施。</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2</w:t>
      </w:r>
      <w:r>
        <w:rPr>
          <w:rFonts w:ascii="Times New Roman" w:hint="eastAsia"/>
          <w:sz w:val="24"/>
          <w:szCs w:val="16"/>
        </w:rPr>
        <w:t>、临时措施</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临时挡护：在工程建设中存在临时堆土，根据区域同类项目实施经验调查，主要采取土堆坡脚临时挡护措施、临时堆料挡护措施等，施工结束后及时拆除编织土袋，用于场地回填利用，土袋挡护能够有效防治临时堆土堆料散落造成水土流失。临时遮盖：对施工开挖、填筑、堆置、土料运输等裸露面，利用防雨布进行临时压盖，能够有效防止降雨冲刷导致水土流失，同时防止风力作用扬尘污染空气，具有良好的水土保持效果。围墙或采钢板围栏措施：项目在施工过程中从安全角度考虑，整个施工场地均采取围墙或采钢板围栏措施进行围挡，实施封闭施工，该措施能够有效控制项目施工对周边地表的扰动，一定程度上达到水土保持的目的，但该类措施主要是从项目安全施工角度考虑设置。临时排水措施：施工期基坑周边及基坑内部设置临时排水沟及沉沙池，排导项目区的汇水，减轻汇水漫流冲刷，减轻水土流失，水土保持效果显著。</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3</w:t>
      </w:r>
      <w:r>
        <w:rPr>
          <w:rFonts w:ascii="Times New Roman" w:hint="eastAsia"/>
          <w:sz w:val="24"/>
          <w:szCs w:val="16"/>
        </w:rPr>
        <w:t>、植物措施</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项目及周边的同类型项目的绿化工程经验，对本项目及今后同类项目的建设都具有重要的借鉴作用，为工程开展水土保持工作提供了较好的借鉴经验。项目为提高项目品</w:t>
      </w:r>
      <w:r>
        <w:rPr>
          <w:rFonts w:ascii="Times New Roman" w:hint="eastAsia"/>
          <w:sz w:val="24"/>
          <w:szCs w:val="16"/>
        </w:rPr>
        <w:lastRenderedPageBreak/>
        <w:t>质，绿化和美化环境的要求，本着</w:t>
      </w:r>
      <w:r>
        <w:rPr>
          <w:rFonts w:ascii="Times New Roman"/>
          <w:sz w:val="24"/>
          <w:szCs w:val="16"/>
        </w:rPr>
        <w:t>“</w:t>
      </w:r>
      <w:r>
        <w:rPr>
          <w:rFonts w:ascii="Times New Roman" w:hint="eastAsia"/>
          <w:sz w:val="24"/>
          <w:szCs w:val="16"/>
        </w:rPr>
        <w:t>舒适、美观、生态</w:t>
      </w:r>
      <w:r>
        <w:rPr>
          <w:rFonts w:ascii="Times New Roman"/>
          <w:sz w:val="24"/>
          <w:szCs w:val="16"/>
        </w:rPr>
        <w:t>”</w:t>
      </w:r>
      <w:r>
        <w:rPr>
          <w:rFonts w:ascii="Times New Roman" w:hint="eastAsia"/>
          <w:sz w:val="24"/>
          <w:szCs w:val="16"/>
        </w:rPr>
        <w:t>的原则，根据项目区的立地条件和气候特点，选择适生能力强、速生优质、栽植和养护容易的优良树草种，对景观绿化区采用由灌、草、藤本植物为一体的立体绿化防护措施。区域绿化美化所选植物种类参见下表</w:t>
      </w:r>
      <w:r>
        <w:rPr>
          <w:rFonts w:ascii="Times New Roman" w:hint="eastAsia"/>
          <w:sz w:val="24"/>
          <w:szCs w:val="16"/>
        </w:rPr>
        <w:t>2-4</w:t>
      </w:r>
      <w:r>
        <w:rPr>
          <w:rFonts w:ascii="Times New Roman" w:hint="eastAsia"/>
          <w:sz w:val="24"/>
          <w:szCs w:val="16"/>
        </w:rPr>
        <w:t>。</w:t>
      </w:r>
    </w:p>
    <w:p w:rsidR="006C378F" w:rsidRDefault="00E12213">
      <w:pPr>
        <w:pStyle w:val="af7"/>
      </w:pPr>
      <w:r>
        <w:rPr>
          <w:rFonts w:hint="eastAsia"/>
        </w:rPr>
        <w:t>表</w:t>
      </w:r>
      <w:r>
        <w:rPr>
          <w:rFonts w:hint="eastAsia"/>
        </w:rPr>
        <w:t>2-4</w:t>
      </w:r>
      <w:r>
        <w:rPr>
          <w:rFonts w:hint="eastAsia"/>
        </w:rPr>
        <w:t>项目区景观绿化植物配置参考表</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16"/>
        <w:gridCol w:w="1800"/>
        <w:gridCol w:w="5806"/>
      </w:tblGrid>
      <w:tr w:rsidR="006C378F">
        <w:trPr>
          <w:trHeight w:val="247"/>
          <w:tblHeader/>
          <w:jc w:val="center"/>
        </w:trPr>
        <w:tc>
          <w:tcPr>
            <w:tcW w:w="916" w:type="dxa"/>
            <w:tcBorders>
              <w:tl2br w:val="nil"/>
              <w:tr2bl w:val="nil"/>
            </w:tcBorders>
            <w:vAlign w:val="center"/>
          </w:tcPr>
          <w:p w:rsidR="006C378F" w:rsidRDefault="00E12213">
            <w:pPr>
              <w:pStyle w:val="af8"/>
            </w:pPr>
            <w:r>
              <w:rPr>
                <w:rFonts w:hint="eastAsia"/>
              </w:rPr>
              <w:t>树草种名称</w:t>
            </w:r>
          </w:p>
        </w:tc>
        <w:tc>
          <w:tcPr>
            <w:tcW w:w="1800" w:type="dxa"/>
            <w:tcBorders>
              <w:tl2br w:val="nil"/>
              <w:tr2bl w:val="nil"/>
            </w:tcBorders>
            <w:vAlign w:val="center"/>
          </w:tcPr>
          <w:p w:rsidR="006C378F" w:rsidRDefault="00E12213">
            <w:pPr>
              <w:pStyle w:val="af8"/>
            </w:pPr>
            <w:r>
              <w:rPr>
                <w:rFonts w:hint="eastAsia"/>
              </w:rPr>
              <w:t>拉丁名</w:t>
            </w:r>
          </w:p>
        </w:tc>
        <w:tc>
          <w:tcPr>
            <w:tcW w:w="5806" w:type="dxa"/>
            <w:tcBorders>
              <w:tl2br w:val="nil"/>
              <w:tr2bl w:val="nil"/>
            </w:tcBorders>
            <w:vAlign w:val="center"/>
          </w:tcPr>
          <w:p w:rsidR="006C378F" w:rsidRDefault="00E12213">
            <w:pPr>
              <w:pStyle w:val="af8"/>
            </w:pPr>
            <w:r>
              <w:rPr>
                <w:rFonts w:hint="eastAsia"/>
              </w:rPr>
              <w:t>树、草种特性及分布</w:t>
            </w:r>
          </w:p>
        </w:tc>
      </w:tr>
      <w:tr w:rsidR="006C378F">
        <w:trPr>
          <w:trHeight w:val="247"/>
          <w:jc w:val="center"/>
        </w:trPr>
        <w:tc>
          <w:tcPr>
            <w:tcW w:w="916" w:type="dxa"/>
            <w:tcBorders>
              <w:tl2br w:val="nil"/>
              <w:tr2bl w:val="nil"/>
            </w:tcBorders>
            <w:vAlign w:val="center"/>
          </w:tcPr>
          <w:p w:rsidR="006C378F" w:rsidRDefault="00E12213">
            <w:pPr>
              <w:pStyle w:val="af8"/>
            </w:pPr>
            <w:r>
              <w:rPr>
                <w:rFonts w:hint="eastAsia"/>
              </w:rPr>
              <w:t>水杉</w:t>
            </w:r>
          </w:p>
        </w:tc>
        <w:tc>
          <w:tcPr>
            <w:tcW w:w="1800" w:type="dxa"/>
            <w:tcBorders>
              <w:tl2br w:val="nil"/>
              <w:tr2bl w:val="nil"/>
            </w:tcBorders>
            <w:vAlign w:val="center"/>
          </w:tcPr>
          <w:p w:rsidR="006C378F" w:rsidRDefault="00E12213">
            <w:pPr>
              <w:pStyle w:val="af8"/>
            </w:pPr>
            <w:r>
              <w:t>Metasequoia glyptostroboides Hu et Cheng</w:t>
            </w:r>
          </w:p>
        </w:tc>
        <w:tc>
          <w:tcPr>
            <w:tcW w:w="5806" w:type="dxa"/>
            <w:tcBorders>
              <w:tl2br w:val="nil"/>
              <w:tr2bl w:val="nil"/>
            </w:tcBorders>
            <w:vAlign w:val="center"/>
          </w:tcPr>
          <w:p w:rsidR="006C378F" w:rsidRDefault="00E12213">
            <w:pPr>
              <w:pStyle w:val="af8"/>
            </w:pPr>
            <w:r>
              <w:rPr>
                <w:rFonts w:hint="eastAsia"/>
              </w:rPr>
              <w:t>乔木，高达</w:t>
            </w:r>
            <w:r>
              <w:t>35</w:t>
            </w:r>
            <w:r>
              <w:rPr>
                <w:rFonts w:hint="eastAsia"/>
              </w:rPr>
              <w:t>米，胸径达</w:t>
            </w:r>
            <w:r>
              <w:t>2.5</w:t>
            </w:r>
            <w:r>
              <w:rPr>
                <w:rFonts w:hint="eastAsia"/>
              </w:rPr>
              <w:t>米；适应性强，喜光，稍耐阴。喜温暖湿润气候，稍耐寒。不耐干旱和瘠薄，根系发达。萌蘖、萌芽力均强，耐修剪。</w:t>
            </w:r>
          </w:p>
        </w:tc>
      </w:tr>
      <w:tr w:rsidR="006C378F">
        <w:trPr>
          <w:trHeight w:val="247"/>
          <w:jc w:val="center"/>
        </w:trPr>
        <w:tc>
          <w:tcPr>
            <w:tcW w:w="916" w:type="dxa"/>
            <w:tcBorders>
              <w:tl2br w:val="nil"/>
              <w:tr2bl w:val="nil"/>
            </w:tcBorders>
            <w:vAlign w:val="center"/>
          </w:tcPr>
          <w:p w:rsidR="006C378F" w:rsidRDefault="00E12213">
            <w:pPr>
              <w:pStyle w:val="af8"/>
            </w:pPr>
            <w:r>
              <w:rPr>
                <w:rFonts w:hint="eastAsia"/>
              </w:rPr>
              <w:t>桤木</w:t>
            </w:r>
          </w:p>
        </w:tc>
        <w:tc>
          <w:tcPr>
            <w:tcW w:w="1800" w:type="dxa"/>
            <w:tcBorders>
              <w:tl2br w:val="nil"/>
              <w:tr2bl w:val="nil"/>
            </w:tcBorders>
            <w:vAlign w:val="center"/>
          </w:tcPr>
          <w:p w:rsidR="006C378F" w:rsidRDefault="00E12213">
            <w:pPr>
              <w:pStyle w:val="af8"/>
            </w:pPr>
            <w:r>
              <w:t>Alnus cremastogyne Burk.</w:t>
            </w:r>
          </w:p>
        </w:tc>
        <w:tc>
          <w:tcPr>
            <w:tcW w:w="5806" w:type="dxa"/>
            <w:tcBorders>
              <w:tl2br w:val="nil"/>
              <w:tr2bl w:val="nil"/>
            </w:tcBorders>
            <w:vAlign w:val="center"/>
          </w:tcPr>
          <w:p w:rsidR="006C378F" w:rsidRDefault="00E12213">
            <w:pPr>
              <w:pStyle w:val="af8"/>
            </w:pPr>
            <w:r>
              <w:rPr>
                <w:rFonts w:hint="eastAsia"/>
              </w:rPr>
              <w:t>常绿乔木，喜光，稍耐水湿，侧方庇荫，侧根发达，喜温湿，耐寒性差，能在钙质土上生长，是紫色土页岩钙质土、石灰岩山地钙质土的主要针叶树种。</w:t>
            </w:r>
          </w:p>
        </w:tc>
      </w:tr>
      <w:tr w:rsidR="006C378F">
        <w:trPr>
          <w:trHeight w:val="247"/>
          <w:jc w:val="center"/>
        </w:trPr>
        <w:tc>
          <w:tcPr>
            <w:tcW w:w="916" w:type="dxa"/>
            <w:tcBorders>
              <w:tl2br w:val="nil"/>
              <w:tr2bl w:val="nil"/>
            </w:tcBorders>
            <w:vAlign w:val="center"/>
          </w:tcPr>
          <w:p w:rsidR="006C378F" w:rsidRDefault="00E12213">
            <w:pPr>
              <w:pStyle w:val="af8"/>
            </w:pPr>
            <w:r>
              <w:rPr>
                <w:rFonts w:hint="eastAsia"/>
              </w:rPr>
              <w:t>小叶榕</w:t>
            </w:r>
          </w:p>
        </w:tc>
        <w:tc>
          <w:tcPr>
            <w:tcW w:w="1800" w:type="dxa"/>
            <w:tcBorders>
              <w:tl2br w:val="nil"/>
              <w:tr2bl w:val="nil"/>
            </w:tcBorders>
            <w:vAlign w:val="center"/>
          </w:tcPr>
          <w:p w:rsidR="006C378F" w:rsidRDefault="00E12213">
            <w:pPr>
              <w:pStyle w:val="af8"/>
            </w:pPr>
            <w:r>
              <w:t>Ficus microcarpa var.pusillifolia</w:t>
            </w:r>
          </w:p>
        </w:tc>
        <w:tc>
          <w:tcPr>
            <w:tcW w:w="5806" w:type="dxa"/>
            <w:tcBorders>
              <w:tl2br w:val="nil"/>
              <w:tr2bl w:val="nil"/>
            </w:tcBorders>
            <w:vAlign w:val="center"/>
          </w:tcPr>
          <w:p w:rsidR="006C378F" w:rsidRDefault="00E12213">
            <w:pPr>
              <w:pStyle w:val="af8"/>
            </w:pPr>
            <w:r>
              <w:rPr>
                <w:rFonts w:hint="eastAsia"/>
              </w:rPr>
              <w:t>小叶榕是常绿小乔木。树冠伞形或圆形。高度</w:t>
            </w:r>
            <w:r>
              <w:t>×</w:t>
            </w:r>
            <w:r>
              <w:rPr>
                <w:rFonts w:hint="eastAsia"/>
              </w:rPr>
              <w:t>冠幅：榕树</w:t>
            </w:r>
            <w:r>
              <w:t>20m×15m</w:t>
            </w:r>
            <w:r>
              <w:rPr>
                <w:rFonts w:hint="eastAsia"/>
              </w:rPr>
              <w:t>。小叶榕</w:t>
            </w:r>
            <w:r>
              <w:t>6m×4m</w:t>
            </w:r>
            <w:r>
              <w:rPr>
                <w:rFonts w:hint="eastAsia"/>
              </w:rPr>
              <w:t>。质感：中色泽：叶色深绿。果实绿转淡红褐色。热带树种，生长中至见快。耐热、怕旱、耐湿、耐瘠、耐阴、耐风、抗污染、耐剪、易移植、寿命长。中国西南部广泛分布，主要作为景观绿化树种。</w:t>
            </w:r>
          </w:p>
        </w:tc>
      </w:tr>
      <w:tr w:rsidR="006C378F">
        <w:trPr>
          <w:trHeight w:val="247"/>
          <w:jc w:val="center"/>
        </w:trPr>
        <w:tc>
          <w:tcPr>
            <w:tcW w:w="916" w:type="dxa"/>
            <w:tcBorders>
              <w:tl2br w:val="nil"/>
              <w:tr2bl w:val="nil"/>
            </w:tcBorders>
            <w:vAlign w:val="center"/>
          </w:tcPr>
          <w:p w:rsidR="006C378F" w:rsidRDefault="00E12213">
            <w:pPr>
              <w:pStyle w:val="af8"/>
            </w:pPr>
            <w:r>
              <w:rPr>
                <w:rFonts w:hint="eastAsia"/>
              </w:rPr>
              <w:t>香樟</w:t>
            </w:r>
          </w:p>
        </w:tc>
        <w:tc>
          <w:tcPr>
            <w:tcW w:w="1800" w:type="dxa"/>
            <w:tcBorders>
              <w:tl2br w:val="nil"/>
              <w:tr2bl w:val="nil"/>
            </w:tcBorders>
            <w:vAlign w:val="center"/>
          </w:tcPr>
          <w:p w:rsidR="006C378F" w:rsidRDefault="00E12213">
            <w:pPr>
              <w:pStyle w:val="af8"/>
            </w:pPr>
            <w:r>
              <w:t>Cinnamomum camphora (L.) Presl.</w:t>
            </w:r>
          </w:p>
        </w:tc>
        <w:tc>
          <w:tcPr>
            <w:tcW w:w="5806" w:type="dxa"/>
            <w:tcBorders>
              <w:tl2br w:val="nil"/>
              <w:tr2bl w:val="nil"/>
            </w:tcBorders>
            <w:vAlign w:val="center"/>
          </w:tcPr>
          <w:p w:rsidR="006C378F" w:rsidRDefault="00E12213">
            <w:pPr>
              <w:pStyle w:val="af8"/>
            </w:pPr>
            <w:r>
              <w:rPr>
                <w:rFonts w:hint="eastAsia"/>
              </w:rPr>
              <w:t>喜光，稍耐荫；喜温暖湿润气候，耐寒性不强，对土壤要求不严，较耐水湿，但当移植时要注意保持土壤湿度，水涝容易导致烂根缺氧而死，但不耐干旱、瘠薄和盐碱土。主根发达，深根性，能抗风。萌芽力强，耐修剪。生长速度中等，树形巨大如伞，能遮阴避凉。存活期长，可以生长为成百上千年的参天古木，有很强的吸烟滞尘、涵养水源、固土防沙和美化环境的能力。此外抗海潮风及耐烟尘和抗有毒气体能力，并能吸收多种有毒气体，较能适应城市环境。</w:t>
            </w:r>
          </w:p>
        </w:tc>
      </w:tr>
      <w:tr w:rsidR="006C378F">
        <w:trPr>
          <w:trHeight w:val="247"/>
          <w:jc w:val="center"/>
        </w:trPr>
        <w:tc>
          <w:tcPr>
            <w:tcW w:w="916" w:type="dxa"/>
            <w:tcBorders>
              <w:tl2br w:val="nil"/>
              <w:tr2bl w:val="nil"/>
            </w:tcBorders>
            <w:vAlign w:val="center"/>
          </w:tcPr>
          <w:p w:rsidR="006C378F" w:rsidRDefault="00E12213">
            <w:pPr>
              <w:pStyle w:val="af8"/>
            </w:pPr>
            <w:r>
              <w:rPr>
                <w:rFonts w:hint="eastAsia"/>
              </w:rPr>
              <w:t>小叶</w:t>
            </w:r>
          </w:p>
          <w:p w:rsidR="006C378F" w:rsidRDefault="00E12213">
            <w:pPr>
              <w:pStyle w:val="af8"/>
            </w:pPr>
            <w:r>
              <w:rPr>
                <w:rFonts w:hint="eastAsia"/>
              </w:rPr>
              <w:t>女贞</w:t>
            </w:r>
          </w:p>
        </w:tc>
        <w:tc>
          <w:tcPr>
            <w:tcW w:w="1800" w:type="dxa"/>
            <w:tcBorders>
              <w:tl2br w:val="nil"/>
              <w:tr2bl w:val="nil"/>
            </w:tcBorders>
            <w:vAlign w:val="center"/>
          </w:tcPr>
          <w:p w:rsidR="006C378F" w:rsidRDefault="00E12213">
            <w:pPr>
              <w:pStyle w:val="af8"/>
            </w:pPr>
            <w:r>
              <w:t>Ligustrum quihoui Carr.</w:t>
            </w:r>
          </w:p>
        </w:tc>
        <w:tc>
          <w:tcPr>
            <w:tcW w:w="5806" w:type="dxa"/>
            <w:tcBorders>
              <w:tl2br w:val="nil"/>
              <w:tr2bl w:val="nil"/>
            </w:tcBorders>
            <w:vAlign w:val="center"/>
          </w:tcPr>
          <w:p w:rsidR="006C378F" w:rsidRDefault="00E12213">
            <w:pPr>
              <w:pStyle w:val="af8"/>
            </w:pPr>
            <w:r>
              <w:rPr>
                <w:rFonts w:hint="eastAsia"/>
              </w:rPr>
              <w:t>落叶或半常绿灌木，喜光，稍耐荫，较耐寒，性强健。西南地区及四川盆地均分布，常用于景观树种。</w:t>
            </w:r>
          </w:p>
        </w:tc>
      </w:tr>
      <w:tr w:rsidR="006C378F">
        <w:trPr>
          <w:trHeight w:val="1520"/>
          <w:jc w:val="center"/>
        </w:trPr>
        <w:tc>
          <w:tcPr>
            <w:tcW w:w="916" w:type="dxa"/>
            <w:tcBorders>
              <w:tl2br w:val="nil"/>
              <w:tr2bl w:val="nil"/>
            </w:tcBorders>
            <w:vAlign w:val="center"/>
          </w:tcPr>
          <w:p w:rsidR="006C378F" w:rsidRDefault="00E12213">
            <w:pPr>
              <w:pStyle w:val="af8"/>
            </w:pPr>
            <w:r>
              <w:rPr>
                <w:rFonts w:hint="eastAsia"/>
              </w:rPr>
              <w:t>小叶黄杨</w:t>
            </w:r>
          </w:p>
        </w:tc>
        <w:tc>
          <w:tcPr>
            <w:tcW w:w="1800" w:type="dxa"/>
            <w:tcBorders>
              <w:tl2br w:val="nil"/>
              <w:tr2bl w:val="nil"/>
            </w:tcBorders>
            <w:vAlign w:val="center"/>
          </w:tcPr>
          <w:p w:rsidR="006C378F" w:rsidRDefault="00E12213">
            <w:pPr>
              <w:pStyle w:val="af8"/>
            </w:pPr>
            <w:r>
              <w:t>Buxus sinica (Rehd. et Wils.) Cheng subsp. sinica var. parvifolia M. Cheng</w:t>
            </w:r>
          </w:p>
        </w:tc>
        <w:tc>
          <w:tcPr>
            <w:tcW w:w="5806" w:type="dxa"/>
            <w:tcBorders>
              <w:tl2br w:val="nil"/>
              <w:tr2bl w:val="nil"/>
            </w:tcBorders>
            <w:vAlign w:val="center"/>
          </w:tcPr>
          <w:p w:rsidR="006C378F" w:rsidRDefault="00E12213">
            <w:pPr>
              <w:pStyle w:val="af8"/>
            </w:pPr>
            <w:r>
              <w:rPr>
                <w:rFonts w:hint="eastAsia"/>
              </w:rPr>
              <w:t>常绿灌木，高</w:t>
            </w:r>
            <w:r>
              <w:t>2m</w:t>
            </w:r>
            <w:r>
              <w:rPr>
                <w:rFonts w:hint="eastAsia"/>
              </w:rPr>
              <w:t>。茎枝四楞，光滑，密集，小枝节间长</w:t>
            </w:r>
            <w:r>
              <w:t>3~5mm</w:t>
            </w:r>
            <w:r>
              <w:rPr>
                <w:rFonts w:hint="eastAsia"/>
              </w:rPr>
              <w:t>。性喜肥沃湿润土壤，忌酸性土壤。抗逆性强，耐水肥，抗污染，能吸收空气中的二氧化硫等有毒气体，有耐寒，耐盐碱、抗病虫害等许多特性。花期</w:t>
            </w:r>
            <w:r>
              <w:t>3~4</w:t>
            </w:r>
            <w:r>
              <w:rPr>
                <w:rFonts w:hint="eastAsia"/>
              </w:rPr>
              <w:t>月，果期</w:t>
            </w:r>
            <w:r>
              <w:t>8-9</w:t>
            </w:r>
            <w:r>
              <w:rPr>
                <w:rFonts w:hint="eastAsia"/>
              </w:rPr>
              <w:t>月。</w:t>
            </w:r>
          </w:p>
        </w:tc>
      </w:tr>
      <w:tr w:rsidR="006C378F">
        <w:trPr>
          <w:trHeight w:val="247"/>
          <w:jc w:val="center"/>
        </w:trPr>
        <w:tc>
          <w:tcPr>
            <w:tcW w:w="916" w:type="dxa"/>
            <w:tcBorders>
              <w:tl2br w:val="nil"/>
              <w:tr2bl w:val="nil"/>
            </w:tcBorders>
            <w:vAlign w:val="center"/>
          </w:tcPr>
          <w:p w:rsidR="006C378F" w:rsidRDefault="00E12213">
            <w:pPr>
              <w:pStyle w:val="af8"/>
            </w:pPr>
            <w:r>
              <w:rPr>
                <w:rFonts w:hint="eastAsia"/>
              </w:rPr>
              <w:t>红花继木</w:t>
            </w:r>
          </w:p>
        </w:tc>
        <w:tc>
          <w:tcPr>
            <w:tcW w:w="1800" w:type="dxa"/>
            <w:tcBorders>
              <w:tl2br w:val="nil"/>
              <w:tr2bl w:val="nil"/>
            </w:tcBorders>
            <w:vAlign w:val="center"/>
          </w:tcPr>
          <w:p w:rsidR="006C378F" w:rsidRDefault="00E12213">
            <w:pPr>
              <w:pStyle w:val="af8"/>
            </w:pPr>
            <w:r>
              <w:t>Loropetalum chinense var.rubrum</w:t>
            </w:r>
          </w:p>
        </w:tc>
        <w:tc>
          <w:tcPr>
            <w:tcW w:w="5806" w:type="dxa"/>
            <w:tcBorders>
              <w:tl2br w:val="nil"/>
              <w:tr2bl w:val="nil"/>
            </w:tcBorders>
            <w:vAlign w:val="center"/>
          </w:tcPr>
          <w:p w:rsidR="006C378F" w:rsidRDefault="00E12213">
            <w:pPr>
              <w:pStyle w:val="af8"/>
            </w:pPr>
            <w:r>
              <w:rPr>
                <w:rFonts w:hint="eastAsia"/>
              </w:rPr>
              <w:t>多年生半灌木，作一、二年生栽培，喜光，喜温暖湿润环境，对土壤要求不严，半耐寒或不耐寒。</w:t>
            </w:r>
          </w:p>
        </w:tc>
      </w:tr>
      <w:tr w:rsidR="006C378F">
        <w:trPr>
          <w:trHeight w:val="306"/>
          <w:jc w:val="center"/>
        </w:trPr>
        <w:tc>
          <w:tcPr>
            <w:tcW w:w="916" w:type="dxa"/>
            <w:tcBorders>
              <w:tl2br w:val="nil"/>
              <w:tr2bl w:val="nil"/>
            </w:tcBorders>
            <w:vAlign w:val="center"/>
          </w:tcPr>
          <w:p w:rsidR="006C378F" w:rsidRDefault="00E12213">
            <w:pPr>
              <w:pStyle w:val="af8"/>
            </w:pPr>
            <w:r>
              <w:rPr>
                <w:rFonts w:hint="eastAsia"/>
              </w:rPr>
              <w:t>麦冬草</w:t>
            </w:r>
          </w:p>
        </w:tc>
        <w:tc>
          <w:tcPr>
            <w:tcW w:w="1800" w:type="dxa"/>
            <w:tcBorders>
              <w:tl2br w:val="nil"/>
              <w:tr2bl w:val="nil"/>
            </w:tcBorders>
            <w:vAlign w:val="center"/>
          </w:tcPr>
          <w:p w:rsidR="006C378F" w:rsidRDefault="00E12213">
            <w:pPr>
              <w:pStyle w:val="af8"/>
            </w:pPr>
            <w:r>
              <w:t>Ophiopogogon japonicus</w:t>
            </w:r>
            <w:r>
              <w:rPr>
                <w:rFonts w:hint="eastAsia"/>
              </w:rPr>
              <w:t>（</w:t>
            </w:r>
            <w:r>
              <w:t>L</w:t>
            </w:r>
            <w:r>
              <w:rPr>
                <w:rFonts w:hint="eastAsia"/>
              </w:rPr>
              <w:t>．</w:t>
            </w:r>
            <w:r>
              <w:t>f</w:t>
            </w:r>
            <w:r>
              <w:rPr>
                <w:rFonts w:hint="eastAsia"/>
              </w:rPr>
              <w:t>．）</w:t>
            </w:r>
            <w:r>
              <w:t>Ker-Gawl</w:t>
            </w:r>
            <w:r>
              <w:rPr>
                <w:rFonts w:hint="eastAsia"/>
              </w:rPr>
              <w:t>．</w:t>
            </w:r>
          </w:p>
        </w:tc>
        <w:tc>
          <w:tcPr>
            <w:tcW w:w="5806" w:type="dxa"/>
            <w:tcBorders>
              <w:tl2br w:val="nil"/>
              <w:tr2bl w:val="nil"/>
            </w:tcBorders>
            <w:vAlign w:val="center"/>
          </w:tcPr>
          <w:p w:rsidR="006C378F" w:rsidRDefault="00E12213">
            <w:pPr>
              <w:pStyle w:val="af8"/>
            </w:pPr>
            <w:r>
              <w:rPr>
                <w:rFonts w:hint="eastAsia"/>
              </w:rPr>
              <w:t>麦冬喜温暖湿润、较荫蔽的环境。耐寒，忌强光和高温，</w:t>
            </w:r>
            <w:r>
              <w:t>7</w:t>
            </w:r>
            <w:r>
              <w:rPr>
                <w:rFonts w:hint="eastAsia"/>
              </w:rPr>
              <w:t>月见花时，地下块根开始形成，</w:t>
            </w:r>
            <w:r>
              <w:t>9</w:t>
            </w:r>
            <w:r>
              <w:rPr>
                <w:rFonts w:hint="eastAsia"/>
              </w:rPr>
              <w:t>－</w:t>
            </w:r>
            <w:r>
              <w:t>10</w:t>
            </w:r>
            <w:r>
              <w:rPr>
                <w:rFonts w:hint="eastAsia"/>
              </w:rPr>
              <w:t>月为发根盛期，储存种子，注意时间，长期存储会导致种子活性降低，播种不理想。麦冬草冬季常绿，全年不落叶，是重要的药材和绿化植物。</w:t>
            </w:r>
          </w:p>
        </w:tc>
      </w:tr>
      <w:tr w:rsidR="006C378F">
        <w:trPr>
          <w:trHeight w:val="306"/>
          <w:jc w:val="center"/>
        </w:trPr>
        <w:tc>
          <w:tcPr>
            <w:tcW w:w="916" w:type="dxa"/>
            <w:tcBorders>
              <w:tl2br w:val="nil"/>
              <w:tr2bl w:val="nil"/>
            </w:tcBorders>
            <w:vAlign w:val="center"/>
          </w:tcPr>
          <w:p w:rsidR="006C378F" w:rsidRDefault="00E12213">
            <w:pPr>
              <w:pStyle w:val="af8"/>
            </w:pPr>
            <w:r>
              <w:rPr>
                <w:rFonts w:hint="eastAsia"/>
              </w:rPr>
              <w:t>三叶草</w:t>
            </w:r>
          </w:p>
        </w:tc>
        <w:tc>
          <w:tcPr>
            <w:tcW w:w="1800" w:type="dxa"/>
            <w:tcBorders>
              <w:tl2br w:val="nil"/>
              <w:tr2bl w:val="nil"/>
            </w:tcBorders>
            <w:vAlign w:val="center"/>
          </w:tcPr>
          <w:p w:rsidR="006C378F" w:rsidRDefault="00E12213">
            <w:pPr>
              <w:pStyle w:val="af8"/>
            </w:pPr>
            <w:r>
              <w:t>Trifolium</w:t>
            </w:r>
          </w:p>
        </w:tc>
        <w:tc>
          <w:tcPr>
            <w:tcW w:w="5806" w:type="dxa"/>
            <w:tcBorders>
              <w:tl2br w:val="nil"/>
              <w:tr2bl w:val="nil"/>
            </w:tcBorders>
            <w:vAlign w:val="center"/>
          </w:tcPr>
          <w:p w:rsidR="006C378F" w:rsidRDefault="00E12213">
            <w:pPr>
              <w:pStyle w:val="af8"/>
            </w:pPr>
            <w:r>
              <w:rPr>
                <w:rFonts w:hint="eastAsia"/>
              </w:rPr>
              <w:t>小叶型、耐热、耐瘠、观赏优美，低矮、抗寒。种子活力强、深绿、新绿化草种。成坪快、固土能力强。西南地区及四川盆地均有不同面积的分布。</w:t>
            </w:r>
          </w:p>
        </w:tc>
      </w:tr>
    </w:tbl>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4</w:t>
      </w:r>
      <w:r>
        <w:rPr>
          <w:rFonts w:ascii="Times New Roman" w:hint="eastAsia"/>
          <w:sz w:val="24"/>
          <w:szCs w:val="16"/>
        </w:rPr>
        <w:t>、施工管理措施</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借鉴本项目及同类型项目建设成功的施工管理措施及经验，树立按</w:t>
      </w:r>
      <w:r>
        <w:rPr>
          <w:rFonts w:ascii="Times New Roman"/>
          <w:sz w:val="24"/>
          <w:szCs w:val="16"/>
        </w:rPr>
        <w:t>“</w:t>
      </w:r>
      <w:r>
        <w:rPr>
          <w:rFonts w:ascii="Times New Roman" w:hint="eastAsia"/>
          <w:sz w:val="24"/>
          <w:szCs w:val="16"/>
        </w:rPr>
        <w:t>规范</w:t>
      </w:r>
      <w:r>
        <w:rPr>
          <w:rFonts w:ascii="Times New Roman"/>
          <w:sz w:val="24"/>
          <w:szCs w:val="16"/>
        </w:rPr>
        <w:t>”</w:t>
      </w:r>
      <w:r>
        <w:rPr>
          <w:rFonts w:ascii="Times New Roman" w:hint="eastAsia"/>
          <w:sz w:val="24"/>
          <w:szCs w:val="16"/>
        </w:rPr>
        <w:t>和</w:t>
      </w:r>
      <w:r>
        <w:rPr>
          <w:rFonts w:ascii="Times New Roman"/>
          <w:sz w:val="24"/>
          <w:szCs w:val="16"/>
        </w:rPr>
        <w:t>“</w:t>
      </w:r>
      <w:r>
        <w:rPr>
          <w:rFonts w:ascii="Times New Roman" w:hint="eastAsia"/>
          <w:sz w:val="24"/>
          <w:szCs w:val="16"/>
        </w:rPr>
        <w:t>惯例</w:t>
      </w:r>
      <w:r>
        <w:rPr>
          <w:rFonts w:ascii="Times New Roman"/>
          <w:sz w:val="24"/>
          <w:szCs w:val="16"/>
        </w:rPr>
        <w:t>”</w:t>
      </w:r>
      <w:r>
        <w:rPr>
          <w:rFonts w:ascii="Times New Roman" w:hint="eastAsia"/>
          <w:sz w:val="24"/>
          <w:szCs w:val="16"/>
        </w:rPr>
        <w:t>运作的观念，建立</w:t>
      </w:r>
      <w:r>
        <w:rPr>
          <w:rFonts w:ascii="Times New Roman"/>
          <w:sz w:val="24"/>
          <w:szCs w:val="16"/>
        </w:rPr>
        <w:t>“</w:t>
      </w:r>
      <w:r>
        <w:rPr>
          <w:rFonts w:ascii="Times New Roman" w:hint="eastAsia"/>
          <w:sz w:val="24"/>
          <w:szCs w:val="16"/>
        </w:rPr>
        <w:t>工程监理制和业主代表驻地制相结合</w:t>
      </w:r>
      <w:r>
        <w:rPr>
          <w:rFonts w:ascii="Times New Roman"/>
          <w:sz w:val="24"/>
          <w:szCs w:val="16"/>
        </w:rPr>
        <w:t>”</w:t>
      </w:r>
      <w:r>
        <w:rPr>
          <w:rFonts w:ascii="Times New Roman" w:hint="eastAsia"/>
          <w:sz w:val="24"/>
          <w:szCs w:val="16"/>
        </w:rPr>
        <w:t>的管理模式。具体做法是：在</w:t>
      </w:r>
      <w:r>
        <w:rPr>
          <w:rFonts w:ascii="Times New Roman" w:hint="eastAsia"/>
          <w:sz w:val="24"/>
          <w:szCs w:val="16"/>
        </w:rPr>
        <w:lastRenderedPageBreak/>
        <w:t>施工阶段将作好水土保持工作明确写入施工合同中，利用各种奖惩措施促使施工单位采取科学、合理的施工工艺，保证项目建设影响范围内的土体稳定性，搞好项目建设自身的水土保持工作，尽量减少扰动地表面积，从现场施工尽量减少工程带来的水土流失影响。</w:t>
      </w:r>
    </w:p>
    <w:p w:rsidR="006C378F" w:rsidRDefault="00E12213">
      <w:pPr>
        <w:pStyle w:val="BZDL1"/>
        <w:spacing w:beforeLines="0" w:before="0" w:afterLines="0" w:after="0" w:line="360" w:lineRule="auto"/>
        <w:ind w:firstLine="480"/>
        <w:rPr>
          <w:rFonts w:ascii="Times New Roman"/>
          <w:sz w:val="24"/>
          <w:szCs w:val="16"/>
        </w:rPr>
      </w:pPr>
      <w:r>
        <w:rPr>
          <w:rFonts w:ascii="Times New Roman" w:hint="eastAsia"/>
          <w:sz w:val="24"/>
          <w:szCs w:val="16"/>
        </w:rPr>
        <w:t>以下为类似工程水土保持措施实景图片，对本项目具有借鉴意义。</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60"/>
        <w:gridCol w:w="4260"/>
      </w:tblGrid>
      <w:tr w:rsidR="006C378F">
        <w:trPr>
          <w:trHeight w:val="20"/>
        </w:trPr>
        <w:tc>
          <w:tcPr>
            <w:tcW w:w="4260" w:type="dxa"/>
            <w:tcBorders>
              <w:top w:val="single" w:sz="4" w:space="0" w:color="000000"/>
              <w:left w:val="single" w:sz="4" w:space="0" w:color="000000"/>
              <w:bottom w:val="single" w:sz="4" w:space="0" w:color="000000"/>
              <w:right w:val="single" w:sz="4" w:space="0" w:color="000000"/>
            </w:tcBorders>
          </w:tcPr>
          <w:p w:rsidR="006C378F" w:rsidRDefault="00E12213">
            <w:pPr>
              <w:widowControl/>
              <w:jc w:val="center"/>
              <w:rPr>
                <w:b/>
                <w:szCs w:val="24"/>
              </w:rPr>
            </w:pPr>
            <w:r>
              <w:rPr>
                <w:rFonts w:ascii="Calibri" w:eastAsia="宋体" w:hAnsi="Calibri"/>
                <w:noProof/>
                <w:sz w:val="21"/>
              </w:rPr>
              <w:drawing>
                <wp:inline distT="0" distB="0" distL="0" distR="0">
                  <wp:extent cx="2558415" cy="194881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558415" cy="1948815"/>
                          </a:xfrm>
                          <a:prstGeom prst="rect">
                            <a:avLst/>
                          </a:prstGeom>
                          <a:noFill/>
                          <a:ln>
                            <a:noFill/>
                          </a:ln>
                        </pic:spPr>
                      </pic:pic>
                    </a:graphicData>
                  </a:graphic>
                </wp:inline>
              </w:drawing>
            </w:r>
            <w:r>
              <w:rPr>
                <w:rStyle w:val="Char0"/>
                <w:rFonts w:hint="eastAsia"/>
              </w:rPr>
              <w:t>图</w:t>
            </w:r>
            <w:r>
              <w:rPr>
                <w:rStyle w:val="Char0"/>
                <w:rFonts w:hint="eastAsia"/>
              </w:rPr>
              <w:t>2-</w:t>
            </w:r>
            <w:r>
              <w:rPr>
                <w:rStyle w:val="Char0"/>
              </w:rPr>
              <w:t xml:space="preserve">1  </w:t>
            </w:r>
            <w:r>
              <w:rPr>
                <w:rStyle w:val="Char0"/>
                <w:rFonts w:hint="eastAsia"/>
              </w:rPr>
              <w:t>密目网苫盖</w:t>
            </w:r>
          </w:p>
        </w:tc>
        <w:tc>
          <w:tcPr>
            <w:tcW w:w="4260" w:type="dxa"/>
            <w:tcBorders>
              <w:top w:val="single" w:sz="4" w:space="0" w:color="000000"/>
              <w:left w:val="single" w:sz="4" w:space="0" w:color="000000"/>
              <w:bottom w:val="single" w:sz="4" w:space="0" w:color="000000"/>
              <w:right w:val="single" w:sz="4" w:space="0" w:color="000000"/>
            </w:tcBorders>
          </w:tcPr>
          <w:p w:rsidR="006C378F" w:rsidRDefault="00E12213">
            <w:pPr>
              <w:widowControl/>
              <w:jc w:val="center"/>
              <w:rPr>
                <w:b/>
                <w:szCs w:val="24"/>
              </w:rPr>
            </w:pPr>
            <w:r>
              <w:rPr>
                <w:noProof/>
              </w:rPr>
              <w:drawing>
                <wp:inline distT="0" distB="0" distL="0" distR="0">
                  <wp:extent cx="2558415" cy="194881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558415" cy="1948815"/>
                          </a:xfrm>
                          <a:prstGeom prst="rect">
                            <a:avLst/>
                          </a:prstGeom>
                          <a:noFill/>
                          <a:ln>
                            <a:noFill/>
                          </a:ln>
                        </pic:spPr>
                      </pic:pic>
                    </a:graphicData>
                  </a:graphic>
                </wp:inline>
              </w:drawing>
            </w:r>
            <w:r>
              <w:rPr>
                <w:rStyle w:val="Char0"/>
                <w:rFonts w:hint="eastAsia"/>
              </w:rPr>
              <w:t>图</w:t>
            </w:r>
            <w:r>
              <w:rPr>
                <w:rStyle w:val="Char0"/>
                <w:rFonts w:hint="eastAsia"/>
              </w:rPr>
              <w:t>2-</w:t>
            </w:r>
            <w:r>
              <w:rPr>
                <w:rStyle w:val="Char0"/>
              </w:rPr>
              <w:t xml:space="preserve">2  </w:t>
            </w:r>
            <w:r>
              <w:rPr>
                <w:rStyle w:val="Char0"/>
                <w:rFonts w:hint="eastAsia"/>
              </w:rPr>
              <w:t>防雨布苫盖及土袋拦挡</w:t>
            </w:r>
          </w:p>
        </w:tc>
      </w:tr>
      <w:tr w:rsidR="006C378F">
        <w:trPr>
          <w:trHeight w:val="20"/>
        </w:trPr>
        <w:tc>
          <w:tcPr>
            <w:tcW w:w="4260" w:type="dxa"/>
            <w:tcBorders>
              <w:top w:val="single" w:sz="4" w:space="0" w:color="000000"/>
              <w:left w:val="single" w:sz="4" w:space="0" w:color="000000"/>
              <w:bottom w:val="single" w:sz="4" w:space="0" w:color="000000"/>
              <w:right w:val="single" w:sz="4" w:space="0" w:color="000000"/>
            </w:tcBorders>
          </w:tcPr>
          <w:p w:rsidR="006C378F" w:rsidRDefault="00E12213">
            <w:pPr>
              <w:widowControl/>
              <w:jc w:val="center"/>
              <w:rPr>
                <w:b/>
                <w:szCs w:val="24"/>
              </w:rPr>
            </w:pPr>
            <w:r>
              <w:rPr>
                <w:b/>
                <w:noProof/>
                <w:szCs w:val="24"/>
              </w:rPr>
              <w:drawing>
                <wp:inline distT="0" distB="0" distL="0" distR="0">
                  <wp:extent cx="2558415" cy="1905000"/>
                  <wp:effectExtent l="0" t="0" r="0" b="0"/>
                  <wp:docPr id="8" name="图片 8" descr="说明: Q1_~{RZPDX((EORS3C}@)M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说明: Q1_~{RZPDX((EORS3C}@)M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558415" cy="1905000"/>
                          </a:xfrm>
                          <a:prstGeom prst="rect">
                            <a:avLst/>
                          </a:prstGeom>
                          <a:noFill/>
                          <a:ln>
                            <a:noFill/>
                          </a:ln>
                        </pic:spPr>
                      </pic:pic>
                    </a:graphicData>
                  </a:graphic>
                </wp:inline>
              </w:drawing>
            </w:r>
            <w:r>
              <w:rPr>
                <w:rStyle w:val="Char0"/>
                <w:rFonts w:hint="eastAsia"/>
              </w:rPr>
              <w:t>图</w:t>
            </w:r>
            <w:r>
              <w:rPr>
                <w:rStyle w:val="Char0"/>
                <w:rFonts w:hint="eastAsia"/>
              </w:rPr>
              <w:t>2-</w:t>
            </w:r>
            <w:r>
              <w:rPr>
                <w:rStyle w:val="Char0"/>
              </w:rPr>
              <w:t xml:space="preserve">3  </w:t>
            </w:r>
            <w:r>
              <w:rPr>
                <w:rStyle w:val="Char0"/>
                <w:rFonts w:hint="eastAsia"/>
              </w:rPr>
              <w:t>集水坑</w:t>
            </w:r>
          </w:p>
        </w:tc>
        <w:tc>
          <w:tcPr>
            <w:tcW w:w="4260" w:type="dxa"/>
            <w:tcBorders>
              <w:top w:val="single" w:sz="4" w:space="0" w:color="000000"/>
              <w:left w:val="single" w:sz="4" w:space="0" w:color="000000"/>
              <w:bottom w:val="single" w:sz="4" w:space="0" w:color="000000"/>
              <w:right w:val="single" w:sz="4" w:space="0" w:color="000000"/>
            </w:tcBorders>
          </w:tcPr>
          <w:p w:rsidR="006C378F" w:rsidRDefault="00E12213">
            <w:pPr>
              <w:widowControl/>
              <w:jc w:val="center"/>
              <w:rPr>
                <w:b/>
                <w:szCs w:val="24"/>
              </w:rPr>
            </w:pPr>
            <w:r>
              <w:rPr>
                <w:b/>
                <w:noProof/>
                <w:szCs w:val="24"/>
              </w:rPr>
              <w:drawing>
                <wp:inline distT="0" distB="0" distL="0" distR="0">
                  <wp:extent cx="2558415" cy="1926590"/>
                  <wp:effectExtent l="0" t="0" r="0" b="0"/>
                  <wp:docPr id="6" name="图片 6" descr="说明: V%TWWO6{XM2Z6PAVC[I[3Z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说明: V%TWWO6{XM2Z6PAVC[I[3Z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558415" cy="1926590"/>
                          </a:xfrm>
                          <a:prstGeom prst="rect">
                            <a:avLst/>
                          </a:prstGeom>
                          <a:noFill/>
                          <a:ln>
                            <a:noFill/>
                          </a:ln>
                        </pic:spPr>
                      </pic:pic>
                    </a:graphicData>
                  </a:graphic>
                </wp:inline>
              </w:drawing>
            </w:r>
            <w:r>
              <w:rPr>
                <w:rStyle w:val="Char0"/>
                <w:rFonts w:hint="eastAsia"/>
              </w:rPr>
              <w:t>图</w:t>
            </w:r>
            <w:r>
              <w:rPr>
                <w:rStyle w:val="Char0"/>
                <w:rFonts w:hint="eastAsia"/>
              </w:rPr>
              <w:t>2-</w:t>
            </w:r>
            <w:r>
              <w:rPr>
                <w:rStyle w:val="Char0"/>
              </w:rPr>
              <w:t xml:space="preserve">4  </w:t>
            </w:r>
            <w:r>
              <w:rPr>
                <w:rStyle w:val="Char0"/>
                <w:rFonts w:hint="eastAsia"/>
              </w:rPr>
              <w:t>临时排水沟</w:t>
            </w:r>
          </w:p>
        </w:tc>
      </w:tr>
      <w:bookmarkEnd w:id="92"/>
      <w:bookmarkEnd w:id="93"/>
      <w:bookmarkEnd w:id="94"/>
      <w:bookmarkEnd w:id="95"/>
      <w:bookmarkEnd w:id="96"/>
    </w:tbl>
    <w:p w:rsidR="006C378F" w:rsidRDefault="006C378F">
      <w:pPr>
        <w:pStyle w:val="08522"/>
      </w:pPr>
    </w:p>
    <w:p w:rsidR="006C378F" w:rsidRDefault="00E12213">
      <w:pPr>
        <w:sectPr w:rsidR="006C378F">
          <w:pgSz w:w="11906" w:h="16838"/>
          <w:pgMar w:top="1417" w:right="1418" w:bottom="1417" w:left="1418" w:header="851" w:footer="992" w:gutter="0"/>
          <w:cols w:space="720"/>
          <w:docGrid w:linePitch="312"/>
        </w:sectPr>
      </w:pPr>
      <w:r>
        <w:br w:type="page"/>
      </w:r>
    </w:p>
    <w:p w:rsidR="006C378F" w:rsidRDefault="00E12213">
      <w:pPr>
        <w:pStyle w:val="1"/>
        <w:jc w:val="center"/>
      </w:pPr>
      <w:bookmarkStart w:id="132" w:name="_Toc12254"/>
      <w:r>
        <w:lastRenderedPageBreak/>
        <w:t>3</w:t>
      </w:r>
      <w:r>
        <w:t>水土流失防治责任范围</w:t>
      </w:r>
      <w:r>
        <w:rPr>
          <w:rFonts w:hint="eastAsia"/>
        </w:rPr>
        <w:t>及防治分区</w:t>
      </w:r>
      <w:bookmarkEnd w:id="132"/>
    </w:p>
    <w:p w:rsidR="006C378F" w:rsidRDefault="00E12213">
      <w:pPr>
        <w:pStyle w:val="2"/>
        <w:rPr>
          <w:szCs w:val="30"/>
        </w:rPr>
      </w:pPr>
      <w:bookmarkStart w:id="133" w:name="_Toc28628"/>
      <w:r>
        <w:rPr>
          <w:rFonts w:hint="eastAsia"/>
          <w:szCs w:val="30"/>
        </w:rPr>
        <w:t>3</w:t>
      </w:r>
      <w:r>
        <w:rPr>
          <w:szCs w:val="30"/>
        </w:rPr>
        <w:t>.1</w:t>
      </w:r>
      <w:r>
        <w:rPr>
          <w:rFonts w:hint="eastAsia"/>
          <w:szCs w:val="30"/>
        </w:rPr>
        <w:t>水土流失防治责任范围</w:t>
      </w:r>
      <w:bookmarkEnd w:id="133"/>
    </w:p>
    <w:p w:rsidR="006C378F" w:rsidRDefault="00E12213">
      <w:pPr>
        <w:pStyle w:val="af1"/>
        <w:ind w:firstLine="480"/>
      </w:pPr>
      <w:r>
        <w:rPr>
          <w:lang w:val="zh-CN"/>
        </w:rPr>
        <w:t>项目水土流失防治责任范围主要包括项目永久占地、临时占地、租赁土地、管辖范围等土地权属明确需由建设单位对其区域内的水土流失进行预防或治理的范围。根据对</w:t>
      </w:r>
      <w:r>
        <w:t>本项目</w:t>
      </w:r>
      <w:r>
        <w:rPr>
          <w:lang w:val="zh-CN"/>
        </w:rPr>
        <w:t>的布置、施工特点、水土流失特征分析，</w:t>
      </w:r>
      <w:r>
        <w:rPr>
          <w:rFonts w:hint="eastAsia"/>
          <w:lang w:val="zh-CN"/>
        </w:rPr>
        <w:t>本项目</w:t>
      </w:r>
      <w:r>
        <w:rPr>
          <w:lang w:val="zh-CN"/>
        </w:rPr>
        <w:t>全部为永久占地，因此确定</w:t>
      </w:r>
      <w:r>
        <w:rPr>
          <w:rFonts w:hint="eastAsia"/>
          <w:lang w:val="zh-CN"/>
        </w:rPr>
        <w:t>本项目</w:t>
      </w:r>
      <w:r>
        <w:rPr>
          <w:lang w:val="zh-CN"/>
        </w:rPr>
        <w:t>水土流失防治责任范围</w:t>
      </w:r>
      <w:r>
        <w:t>总面积</w:t>
      </w:r>
      <w:r>
        <w:t>0.80hm</w:t>
      </w:r>
      <w:r>
        <w:rPr>
          <w:vertAlign w:val="superscript"/>
        </w:rPr>
        <w:t>2</w:t>
      </w:r>
      <w:r>
        <w:t>。</w:t>
      </w:r>
    </w:p>
    <w:p w:rsidR="006C378F" w:rsidRDefault="00E12213">
      <w:pPr>
        <w:pStyle w:val="2"/>
        <w:rPr>
          <w:szCs w:val="30"/>
        </w:rPr>
      </w:pPr>
      <w:bookmarkStart w:id="134" w:name="_Toc25036"/>
      <w:r>
        <w:rPr>
          <w:rFonts w:hint="eastAsia"/>
          <w:szCs w:val="30"/>
        </w:rPr>
        <w:t>3</w:t>
      </w:r>
      <w:r>
        <w:rPr>
          <w:szCs w:val="30"/>
        </w:rPr>
        <w:t>.</w:t>
      </w:r>
      <w:r>
        <w:rPr>
          <w:rFonts w:hint="eastAsia"/>
          <w:szCs w:val="30"/>
        </w:rPr>
        <w:t>2</w:t>
      </w:r>
      <w:r>
        <w:rPr>
          <w:rFonts w:hint="eastAsia"/>
          <w:szCs w:val="30"/>
        </w:rPr>
        <w:t>水土流失防治分区</w:t>
      </w:r>
      <w:bookmarkEnd w:id="134"/>
    </w:p>
    <w:p w:rsidR="006C378F" w:rsidRDefault="00E12213">
      <w:pPr>
        <w:widowControl/>
        <w:autoSpaceDE w:val="0"/>
        <w:autoSpaceDN w:val="0"/>
        <w:adjustRightInd/>
        <w:snapToGrid/>
        <w:spacing w:line="360" w:lineRule="auto"/>
        <w:ind w:firstLineChars="200" w:firstLine="480"/>
        <w:rPr>
          <w:bCs/>
          <w:szCs w:val="24"/>
        </w:rPr>
      </w:pPr>
      <w:r>
        <w:rPr>
          <w:bCs/>
          <w:szCs w:val="24"/>
        </w:rPr>
        <w:t>根据上述分区原则与依据，结合本项目的特点，将本项目划分成</w:t>
      </w:r>
      <w:r>
        <w:rPr>
          <w:bCs/>
          <w:szCs w:val="24"/>
        </w:rPr>
        <w:t>1</w:t>
      </w:r>
      <w:r>
        <w:rPr>
          <w:bCs/>
          <w:szCs w:val="24"/>
        </w:rPr>
        <w:t>个水土流失一级防治区，是</w:t>
      </w:r>
      <w:r>
        <w:rPr>
          <w:rFonts w:hint="eastAsia"/>
          <w:bCs/>
          <w:szCs w:val="24"/>
        </w:rPr>
        <w:t>停车场</w:t>
      </w:r>
      <w:r>
        <w:rPr>
          <w:szCs w:val="24"/>
        </w:rPr>
        <w:t>区，</w:t>
      </w:r>
      <w:r>
        <w:rPr>
          <w:bCs/>
          <w:szCs w:val="24"/>
        </w:rPr>
        <w:t>详见表</w:t>
      </w:r>
      <w:r>
        <w:rPr>
          <w:bCs/>
          <w:szCs w:val="24"/>
        </w:rPr>
        <w:t>3-1</w:t>
      </w:r>
      <w:r>
        <w:rPr>
          <w:bCs/>
          <w:szCs w:val="24"/>
        </w:rPr>
        <w:t>。根据现场调查，确定本项目水土保持防治责任范围，详见表</w:t>
      </w:r>
      <w:r>
        <w:rPr>
          <w:bCs/>
          <w:szCs w:val="24"/>
        </w:rPr>
        <w:t>3-2</w:t>
      </w:r>
      <w:r>
        <w:rPr>
          <w:bCs/>
          <w:szCs w:val="24"/>
        </w:rPr>
        <w:t>。</w:t>
      </w:r>
    </w:p>
    <w:p w:rsidR="006C378F" w:rsidRDefault="00E12213">
      <w:pPr>
        <w:widowControl/>
        <w:autoSpaceDE w:val="0"/>
        <w:autoSpaceDN w:val="0"/>
        <w:adjustRightInd/>
        <w:snapToGrid/>
        <w:jc w:val="center"/>
        <w:rPr>
          <w:b/>
          <w:sz w:val="22"/>
          <w:szCs w:val="22"/>
        </w:rPr>
      </w:pPr>
      <w:r>
        <w:rPr>
          <w:b/>
          <w:sz w:val="22"/>
          <w:szCs w:val="22"/>
        </w:rPr>
        <w:t>表</w:t>
      </w:r>
      <w:r>
        <w:rPr>
          <w:b/>
          <w:sz w:val="22"/>
          <w:szCs w:val="22"/>
        </w:rPr>
        <w:t xml:space="preserve">3-1      </w:t>
      </w:r>
      <w:r>
        <w:rPr>
          <w:b/>
          <w:sz w:val="22"/>
          <w:szCs w:val="22"/>
        </w:rPr>
        <w:t>项目建设区水土流失防治分区表</w:t>
      </w:r>
    </w:p>
    <w:tbl>
      <w:tblPr>
        <w:tblW w:w="8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534"/>
      </w:tblGrid>
      <w:tr w:rsidR="006C378F">
        <w:trPr>
          <w:trHeight w:hRule="exact" w:val="340"/>
        </w:trPr>
        <w:tc>
          <w:tcPr>
            <w:tcW w:w="8534" w:type="dxa"/>
            <w:tcBorders>
              <w:tl2br w:val="nil"/>
              <w:tr2bl w:val="nil"/>
            </w:tcBorders>
            <w:noWrap/>
            <w:tcMar>
              <w:top w:w="15" w:type="dxa"/>
              <w:left w:w="15" w:type="dxa"/>
              <w:right w:w="15" w:type="dxa"/>
            </w:tcMar>
            <w:vAlign w:val="center"/>
          </w:tcPr>
          <w:p w:rsidR="006C378F" w:rsidRDefault="00E12213">
            <w:pPr>
              <w:widowControl/>
              <w:jc w:val="center"/>
              <w:textAlignment w:val="center"/>
              <w:rPr>
                <w:sz w:val="20"/>
              </w:rPr>
            </w:pPr>
            <w:r>
              <w:rPr>
                <w:kern w:val="0"/>
                <w:sz w:val="20"/>
                <w:lang w:bidi="ar"/>
              </w:rPr>
              <w:t>项目组成</w:t>
            </w:r>
          </w:p>
        </w:tc>
      </w:tr>
      <w:tr w:rsidR="006C378F">
        <w:trPr>
          <w:trHeight w:hRule="exact" w:val="340"/>
        </w:trPr>
        <w:tc>
          <w:tcPr>
            <w:tcW w:w="8534" w:type="dxa"/>
            <w:tcBorders>
              <w:tl2br w:val="nil"/>
              <w:tr2bl w:val="nil"/>
            </w:tcBorders>
            <w:noWrap/>
            <w:tcMar>
              <w:top w:w="15" w:type="dxa"/>
              <w:left w:w="15" w:type="dxa"/>
              <w:right w:w="15" w:type="dxa"/>
            </w:tcMar>
            <w:vAlign w:val="center"/>
          </w:tcPr>
          <w:p w:rsidR="006C378F" w:rsidRDefault="00E12213">
            <w:pPr>
              <w:widowControl/>
              <w:jc w:val="center"/>
              <w:textAlignment w:val="center"/>
              <w:rPr>
                <w:sz w:val="20"/>
              </w:rPr>
            </w:pPr>
            <w:r>
              <w:rPr>
                <w:rFonts w:hint="eastAsia"/>
                <w:kern w:val="0"/>
                <w:sz w:val="20"/>
                <w:lang w:bidi="ar"/>
              </w:rPr>
              <w:t>停车场</w:t>
            </w:r>
            <w:r>
              <w:rPr>
                <w:kern w:val="0"/>
                <w:sz w:val="20"/>
                <w:lang w:bidi="ar"/>
              </w:rPr>
              <w:t>区</w:t>
            </w:r>
          </w:p>
        </w:tc>
      </w:tr>
    </w:tbl>
    <w:p w:rsidR="006C378F" w:rsidRDefault="006C378F">
      <w:pPr>
        <w:keepNext/>
        <w:keepLines/>
      </w:pPr>
    </w:p>
    <w:p w:rsidR="006C378F" w:rsidRDefault="00E12213">
      <w:pPr>
        <w:pStyle w:val="08522"/>
        <w:jc w:val="center"/>
        <w:rPr>
          <w:b/>
          <w:sz w:val="22"/>
          <w:szCs w:val="22"/>
        </w:rPr>
      </w:pPr>
      <w:r>
        <w:rPr>
          <w:b/>
          <w:sz w:val="22"/>
          <w:szCs w:val="22"/>
        </w:rPr>
        <w:t>表</w:t>
      </w:r>
      <w:r>
        <w:rPr>
          <w:b/>
          <w:sz w:val="22"/>
          <w:szCs w:val="22"/>
        </w:rPr>
        <w:t xml:space="preserve">3-2         </w:t>
      </w:r>
      <w:r>
        <w:rPr>
          <w:b/>
          <w:sz w:val="22"/>
          <w:szCs w:val="22"/>
        </w:rPr>
        <w:t>项目建设区水土保持防治责任范围表</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6"/>
        <w:gridCol w:w="2269"/>
        <w:gridCol w:w="2269"/>
        <w:gridCol w:w="2271"/>
      </w:tblGrid>
      <w:tr w:rsidR="006C378F">
        <w:trPr>
          <w:trHeight w:hRule="exact" w:val="498"/>
          <w:jc w:val="center"/>
        </w:trPr>
        <w:tc>
          <w:tcPr>
            <w:tcW w:w="1248" w:type="pct"/>
            <w:vMerge w:val="restart"/>
            <w:tcBorders>
              <w:tl2br w:val="nil"/>
              <w:tr2bl w:val="nil"/>
            </w:tcBorders>
            <w:noWrap/>
            <w:tcMar>
              <w:top w:w="15" w:type="dxa"/>
              <w:left w:w="15" w:type="dxa"/>
              <w:right w:w="15" w:type="dxa"/>
            </w:tcMar>
            <w:vAlign w:val="center"/>
          </w:tcPr>
          <w:p w:rsidR="006C378F" w:rsidRDefault="00E12213">
            <w:pPr>
              <w:widowControl/>
              <w:jc w:val="center"/>
              <w:textAlignment w:val="center"/>
              <w:rPr>
                <w:sz w:val="21"/>
                <w:szCs w:val="21"/>
              </w:rPr>
            </w:pPr>
            <w:r>
              <w:rPr>
                <w:kern w:val="0"/>
                <w:sz w:val="21"/>
                <w:szCs w:val="21"/>
                <w:lang w:bidi="ar"/>
              </w:rPr>
              <w:t>项目组成</w:t>
            </w:r>
          </w:p>
        </w:tc>
        <w:tc>
          <w:tcPr>
            <w:tcW w:w="1250" w:type="pct"/>
            <w:vMerge w:val="restart"/>
            <w:tcBorders>
              <w:tl2br w:val="nil"/>
              <w:tr2bl w:val="nil"/>
            </w:tcBorders>
            <w:noWrap/>
            <w:tcMar>
              <w:top w:w="15" w:type="dxa"/>
              <w:left w:w="15" w:type="dxa"/>
              <w:right w:w="15" w:type="dxa"/>
            </w:tcMar>
            <w:vAlign w:val="center"/>
          </w:tcPr>
          <w:p w:rsidR="006C378F" w:rsidRDefault="00E12213">
            <w:pPr>
              <w:widowControl/>
              <w:jc w:val="center"/>
              <w:textAlignment w:val="center"/>
              <w:rPr>
                <w:kern w:val="0"/>
                <w:sz w:val="21"/>
                <w:szCs w:val="21"/>
                <w:lang w:bidi="ar"/>
              </w:rPr>
            </w:pPr>
            <w:r>
              <w:rPr>
                <w:kern w:val="0"/>
                <w:sz w:val="21"/>
                <w:szCs w:val="21"/>
                <w:lang w:bidi="ar"/>
              </w:rPr>
              <w:t>小计</w:t>
            </w:r>
          </w:p>
        </w:tc>
        <w:tc>
          <w:tcPr>
            <w:tcW w:w="2501" w:type="pct"/>
            <w:gridSpan w:val="2"/>
            <w:tcBorders>
              <w:tl2br w:val="nil"/>
              <w:tr2bl w:val="nil"/>
            </w:tcBorders>
            <w:noWrap/>
            <w:tcMar>
              <w:top w:w="15" w:type="dxa"/>
              <w:left w:w="15" w:type="dxa"/>
              <w:right w:w="15" w:type="dxa"/>
            </w:tcMar>
            <w:vAlign w:val="center"/>
          </w:tcPr>
          <w:p w:rsidR="006C378F" w:rsidRDefault="00E12213">
            <w:pPr>
              <w:widowControl/>
              <w:jc w:val="center"/>
              <w:textAlignment w:val="center"/>
              <w:rPr>
                <w:kern w:val="0"/>
                <w:sz w:val="21"/>
                <w:szCs w:val="21"/>
                <w:lang w:bidi="ar"/>
              </w:rPr>
            </w:pPr>
            <w:r>
              <w:rPr>
                <w:kern w:val="0"/>
                <w:sz w:val="21"/>
                <w:szCs w:val="21"/>
                <w:lang w:bidi="ar"/>
              </w:rPr>
              <w:t>水土保持防治责任范围表</w:t>
            </w:r>
          </w:p>
        </w:tc>
      </w:tr>
      <w:tr w:rsidR="006C378F">
        <w:trPr>
          <w:trHeight w:hRule="exact" w:val="576"/>
          <w:jc w:val="center"/>
        </w:trPr>
        <w:tc>
          <w:tcPr>
            <w:tcW w:w="1248" w:type="pct"/>
            <w:vMerge/>
            <w:tcBorders>
              <w:tl2br w:val="nil"/>
              <w:tr2bl w:val="nil"/>
            </w:tcBorders>
            <w:noWrap/>
            <w:tcMar>
              <w:top w:w="15" w:type="dxa"/>
              <w:left w:w="15" w:type="dxa"/>
              <w:right w:w="15" w:type="dxa"/>
            </w:tcMar>
            <w:vAlign w:val="center"/>
          </w:tcPr>
          <w:p w:rsidR="006C378F" w:rsidRDefault="006C378F">
            <w:pPr>
              <w:widowControl/>
              <w:jc w:val="center"/>
              <w:textAlignment w:val="center"/>
              <w:rPr>
                <w:sz w:val="21"/>
                <w:szCs w:val="21"/>
              </w:rPr>
            </w:pPr>
          </w:p>
        </w:tc>
        <w:tc>
          <w:tcPr>
            <w:tcW w:w="1250" w:type="pct"/>
            <w:vMerge/>
            <w:tcBorders>
              <w:tl2br w:val="nil"/>
              <w:tr2bl w:val="nil"/>
            </w:tcBorders>
            <w:noWrap/>
            <w:tcMar>
              <w:top w:w="15" w:type="dxa"/>
              <w:left w:w="15" w:type="dxa"/>
              <w:right w:w="15" w:type="dxa"/>
            </w:tcMar>
            <w:vAlign w:val="center"/>
          </w:tcPr>
          <w:p w:rsidR="006C378F" w:rsidRDefault="006C378F">
            <w:pPr>
              <w:widowControl/>
              <w:jc w:val="center"/>
              <w:textAlignment w:val="center"/>
              <w:rPr>
                <w:kern w:val="0"/>
                <w:sz w:val="21"/>
                <w:szCs w:val="21"/>
                <w:lang w:bidi="ar"/>
              </w:rPr>
            </w:pPr>
          </w:p>
        </w:tc>
        <w:tc>
          <w:tcPr>
            <w:tcW w:w="1250" w:type="pct"/>
            <w:tcBorders>
              <w:tl2br w:val="nil"/>
              <w:tr2bl w:val="nil"/>
            </w:tcBorders>
            <w:noWrap/>
            <w:tcMar>
              <w:top w:w="15" w:type="dxa"/>
              <w:left w:w="15" w:type="dxa"/>
              <w:right w:w="15" w:type="dxa"/>
            </w:tcMar>
            <w:vAlign w:val="center"/>
          </w:tcPr>
          <w:p w:rsidR="006C378F" w:rsidRDefault="00E12213">
            <w:pPr>
              <w:widowControl/>
              <w:jc w:val="center"/>
              <w:textAlignment w:val="center"/>
              <w:rPr>
                <w:kern w:val="0"/>
                <w:sz w:val="21"/>
                <w:szCs w:val="21"/>
                <w:lang w:bidi="ar"/>
              </w:rPr>
            </w:pPr>
            <w:r>
              <w:rPr>
                <w:kern w:val="0"/>
                <w:sz w:val="21"/>
                <w:szCs w:val="21"/>
                <w:lang w:bidi="ar"/>
              </w:rPr>
              <w:t>项目建设区</w:t>
            </w:r>
          </w:p>
        </w:tc>
        <w:tc>
          <w:tcPr>
            <w:tcW w:w="1251" w:type="pct"/>
            <w:tcBorders>
              <w:tl2br w:val="nil"/>
              <w:tr2bl w:val="nil"/>
            </w:tcBorders>
            <w:noWrap/>
            <w:tcMar>
              <w:top w:w="15" w:type="dxa"/>
              <w:left w:w="15" w:type="dxa"/>
              <w:right w:w="15" w:type="dxa"/>
            </w:tcMar>
            <w:vAlign w:val="center"/>
          </w:tcPr>
          <w:p w:rsidR="006C378F" w:rsidRDefault="00E12213">
            <w:pPr>
              <w:widowControl/>
              <w:jc w:val="center"/>
              <w:textAlignment w:val="center"/>
              <w:rPr>
                <w:kern w:val="0"/>
                <w:sz w:val="21"/>
                <w:szCs w:val="21"/>
                <w:lang w:bidi="ar"/>
              </w:rPr>
            </w:pPr>
            <w:r>
              <w:rPr>
                <w:kern w:val="0"/>
                <w:sz w:val="21"/>
                <w:szCs w:val="21"/>
                <w:lang w:bidi="ar"/>
              </w:rPr>
              <w:t>直接影响区</w:t>
            </w:r>
          </w:p>
        </w:tc>
      </w:tr>
      <w:tr w:rsidR="006C378F">
        <w:trPr>
          <w:trHeight w:hRule="exact" w:val="283"/>
          <w:jc w:val="center"/>
        </w:trPr>
        <w:tc>
          <w:tcPr>
            <w:tcW w:w="1248" w:type="pct"/>
            <w:tcBorders>
              <w:tl2br w:val="nil"/>
              <w:tr2bl w:val="nil"/>
            </w:tcBorders>
            <w:noWrap/>
            <w:tcMar>
              <w:top w:w="15" w:type="dxa"/>
              <w:left w:w="15" w:type="dxa"/>
              <w:right w:w="15" w:type="dxa"/>
            </w:tcMar>
            <w:vAlign w:val="center"/>
          </w:tcPr>
          <w:p w:rsidR="006C378F" w:rsidRDefault="00E12213">
            <w:pPr>
              <w:widowControl/>
              <w:jc w:val="center"/>
              <w:textAlignment w:val="center"/>
              <w:rPr>
                <w:sz w:val="21"/>
                <w:szCs w:val="21"/>
              </w:rPr>
            </w:pPr>
            <w:r>
              <w:rPr>
                <w:kern w:val="0"/>
                <w:sz w:val="21"/>
                <w:szCs w:val="21"/>
                <w:lang w:bidi="ar"/>
              </w:rPr>
              <w:t>停车场区</w:t>
            </w:r>
          </w:p>
        </w:tc>
        <w:tc>
          <w:tcPr>
            <w:tcW w:w="1250" w:type="pct"/>
            <w:tcBorders>
              <w:tl2br w:val="nil"/>
              <w:tr2bl w:val="nil"/>
            </w:tcBorders>
            <w:noWrap/>
            <w:tcMar>
              <w:top w:w="15" w:type="dxa"/>
              <w:left w:w="15" w:type="dxa"/>
              <w:right w:w="15" w:type="dxa"/>
            </w:tcMar>
            <w:vAlign w:val="center"/>
          </w:tcPr>
          <w:p w:rsidR="006C378F" w:rsidRDefault="00E12213">
            <w:pPr>
              <w:widowControl/>
              <w:jc w:val="center"/>
              <w:textAlignment w:val="center"/>
              <w:rPr>
                <w:bCs/>
                <w:kern w:val="0"/>
                <w:sz w:val="21"/>
                <w:szCs w:val="21"/>
              </w:rPr>
            </w:pPr>
            <w:r>
              <w:rPr>
                <w:kern w:val="0"/>
                <w:sz w:val="21"/>
                <w:szCs w:val="21"/>
                <w:lang w:bidi="ar"/>
              </w:rPr>
              <w:t>0.80</w:t>
            </w:r>
          </w:p>
        </w:tc>
        <w:tc>
          <w:tcPr>
            <w:tcW w:w="1250" w:type="pct"/>
            <w:tcBorders>
              <w:tl2br w:val="nil"/>
              <w:tr2bl w:val="nil"/>
            </w:tcBorders>
            <w:noWrap/>
            <w:tcMar>
              <w:top w:w="15" w:type="dxa"/>
              <w:left w:w="15" w:type="dxa"/>
              <w:right w:w="15" w:type="dxa"/>
            </w:tcMar>
            <w:vAlign w:val="center"/>
          </w:tcPr>
          <w:p w:rsidR="006C378F" w:rsidRDefault="00E12213">
            <w:pPr>
              <w:widowControl/>
              <w:jc w:val="center"/>
              <w:textAlignment w:val="center"/>
              <w:rPr>
                <w:bCs/>
                <w:kern w:val="0"/>
                <w:sz w:val="21"/>
                <w:szCs w:val="21"/>
              </w:rPr>
            </w:pPr>
            <w:r>
              <w:rPr>
                <w:kern w:val="0"/>
                <w:sz w:val="21"/>
                <w:szCs w:val="21"/>
                <w:lang w:bidi="ar"/>
              </w:rPr>
              <w:t>0.80</w:t>
            </w:r>
          </w:p>
        </w:tc>
        <w:tc>
          <w:tcPr>
            <w:tcW w:w="1251" w:type="pct"/>
            <w:tcBorders>
              <w:tl2br w:val="nil"/>
              <w:tr2bl w:val="nil"/>
            </w:tcBorders>
            <w:noWrap/>
            <w:tcMar>
              <w:top w:w="15" w:type="dxa"/>
              <w:left w:w="15" w:type="dxa"/>
              <w:right w:w="15" w:type="dxa"/>
            </w:tcMar>
            <w:vAlign w:val="center"/>
          </w:tcPr>
          <w:p w:rsidR="006C378F" w:rsidRDefault="00E12213">
            <w:pPr>
              <w:widowControl/>
              <w:jc w:val="center"/>
              <w:textAlignment w:val="center"/>
              <w:rPr>
                <w:kern w:val="0"/>
                <w:sz w:val="21"/>
                <w:szCs w:val="21"/>
                <w:lang w:bidi="ar"/>
              </w:rPr>
            </w:pPr>
            <w:r>
              <w:rPr>
                <w:kern w:val="0"/>
                <w:sz w:val="21"/>
                <w:szCs w:val="21"/>
                <w:lang w:bidi="ar"/>
              </w:rPr>
              <w:t>-</w:t>
            </w:r>
          </w:p>
        </w:tc>
      </w:tr>
      <w:tr w:rsidR="006C378F">
        <w:trPr>
          <w:trHeight w:hRule="exact" w:val="283"/>
          <w:jc w:val="center"/>
        </w:trPr>
        <w:tc>
          <w:tcPr>
            <w:tcW w:w="0" w:type="auto"/>
            <w:vAlign w:val="center"/>
          </w:tcPr>
          <w:p w:rsidR="006C378F" w:rsidRDefault="00E12213">
            <w:pPr>
              <w:widowControl/>
              <w:jc w:val="center"/>
              <w:textAlignment w:val="center"/>
              <w:rPr>
                <w:sz w:val="21"/>
                <w:szCs w:val="21"/>
              </w:rPr>
            </w:pPr>
            <w:r>
              <w:rPr>
                <w:sz w:val="21"/>
                <w:szCs w:val="21"/>
              </w:rPr>
              <w:t>合计</w:t>
            </w:r>
          </w:p>
        </w:tc>
        <w:tc>
          <w:tcPr>
            <w:tcW w:w="0" w:type="auto"/>
            <w:vAlign w:val="center"/>
          </w:tcPr>
          <w:p w:rsidR="006C378F" w:rsidRDefault="00E12213">
            <w:pPr>
              <w:widowControl/>
              <w:jc w:val="center"/>
              <w:textAlignment w:val="center"/>
              <w:rPr>
                <w:bCs/>
                <w:kern w:val="0"/>
                <w:sz w:val="21"/>
                <w:szCs w:val="21"/>
              </w:rPr>
            </w:pPr>
            <w:r>
              <w:rPr>
                <w:kern w:val="0"/>
                <w:sz w:val="21"/>
                <w:szCs w:val="21"/>
                <w:lang w:bidi="ar"/>
              </w:rPr>
              <w:t>0.80</w:t>
            </w:r>
          </w:p>
        </w:tc>
        <w:tc>
          <w:tcPr>
            <w:tcW w:w="0" w:type="auto"/>
            <w:vAlign w:val="center"/>
          </w:tcPr>
          <w:p w:rsidR="006C378F" w:rsidRDefault="00E12213">
            <w:pPr>
              <w:widowControl/>
              <w:jc w:val="center"/>
              <w:textAlignment w:val="center"/>
              <w:rPr>
                <w:bCs/>
                <w:kern w:val="0"/>
                <w:sz w:val="21"/>
                <w:szCs w:val="21"/>
              </w:rPr>
            </w:pPr>
            <w:r>
              <w:rPr>
                <w:kern w:val="0"/>
                <w:sz w:val="21"/>
                <w:szCs w:val="21"/>
                <w:lang w:bidi="ar"/>
              </w:rPr>
              <w:t>0.80</w:t>
            </w:r>
          </w:p>
        </w:tc>
        <w:tc>
          <w:tcPr>
            <w:tcW w:w="0" w:type="auto"/>
            <w:vAlign w:val="center"/>
          </w:tcPr>
          <w:p w:rsidR="006C378F" w:rsidRDefault="00E12213">
            <w:pPr>
              <w:widowControl/>
              <w:jc w:val="center"/>
              <w:textAlignment w:val="center"/>
              <w:rPr>
                <w:kern w:val="0"/>
                <w:sz w:val="21"/>
                <w:szCs w:val="21"/>
                <w:lang w:bidi="ar"/>
              </w:rPr>
            </w:pPr>
            <w:r>
              <w:rPr>
                <w:kern w:val="0"/>
                <w:sz w:val="21"/>
                <w:szCs w:val="21"/>
                <w:lang w:bidi="ar"/>
              </w:rPr>
              <w:t>-</w:t>
            </w:r>
          </w:p>
        </w:tc>
      </w:tr>
    </w:tbl>
    <w:p w:rsidR="006C378F" w:rsidRDefault="006C378F"/>
    <w:p w:rsidR="006C378F" w:rsidRDefault="006C378F"/>
    <w:p w:rsidR="006C378F" w:rsidRDefault="00E12213">
      <w:pPr>
        <w:widowControl/>
        <w:adjustRightInd/>
        <w:snapToGrid/>
        <w:jc w:val="left"/>
        <w:rPr>
          <w:b/>
          <w:sz w:val="32"/>
        </w:rPr>
      </w:pPr>
      <w:r>
        <w:br w:type="page"/>
      </w:r>
    </w:p>
    <w:p w:rsidR="006C378F" w:rsidRDefault="00E12213">
      <w:pPr>
        <w:pStyle w:val="1"/>
        <w:jc w:val="center"/>
      </w:pPr>
      <w:bookmarkStart w:id="135" w:name="_Toc24137"/>
      <w:r>
        <w:lastRenderedPageBreak/>
        <w:t>4</w:t>
      </w:r>
      <w:r>
        <w:t>水土</w:t>
      </w:r>
      <w:r>
        <w:rPr>
          <w:rFonts w:hint="eastAsia"/>
        </w:rPr>
        <w:t>流失的环节分析</w:t>
      </w:r>
      <w:bookmarkEnd w:id="135"/>
    </w:p>
    <w:p w:rsidR="006C378F" w:rsidRDefault="00E12213">
      <w:pPr>
        <w:pStyle w:val="2"/>
      </w:pPr>
      <w:bookmarkStart w:id="136" w:name="_Toc231528693"/>
      <w:bookmarkStart w:id="137" w:name="_Toc226213350"/>
      <w:bookmarkStart w:id="138" w:name="_Toc512027068"/>
      <w:bookmarkStart w:id="139" w:name="_Toc226285116"/>
      <w:bookmarkStart w:id="140" w:name="_Toc228711929"/>
      <w:bookmarkStart w:id="141" w:name="_Toc30466"/>
      <w:bookmarkStart w:id="142" w:name="_Toc227752792"/>
      <w:bookmarkStart w:id="143" w:name="_Toc228849326"/>
      <w:bookmarkStart w:id="144" w:name="_Toc233456073"/>
      <w:bookmarkStart w:id="145" w:name="_Toc233512525"/>
      <w:bookmarkStart w:id="146" w:name="_Toc226280566"/>
      <w:bookmarkStart w:id="147" w:name="_Toc231541071"/>
      <w:bookmarkStart w:id="148" w:name="_Toc218307290"/>
      <w:bookmarkStart w:id="149" w:name="_Toc30329"/>
      <w:bookmarkStart w:id="150" w:name="_Toc224703215"/>
      <w:bookmarkStart w:id="151" w:name="_Toc240427341"/>
      <w:bookmarkStart w:id="152" w:name="_Toc31190"/>
      <w:bookmarkStart w:id="153" w:name="_Toc12214"/>
      <w:r>
        <w:t>4.1</w:t>
      </w:r>
      <w:r>
        <w:t>水土流失现状</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rsidR="006C378F" w:rsidRDefault="00E12213">
      <w:pPr>
        <w:pStyle w:val="12"/>
        <w:adjustRightInd/>
        <w:snapToGrid/>
        <w:ind w:firstLine="480"/>
        <w:rPr>
          <w:rFonts w:eastAsia="仿宋_GB2312"/>
        </w:rPr>
      </w:pPr>
      <w:bookmarkStart w:id="154" w:name="_Toc23892"/>
      <w:r>
        <w:t>根据《全国水土保持规划国家级水土流失重点预防区和重点治理区复核划分成果》（办水保</w:t>
      </w:r>
      <w:r>
        <w:t>[2013]88</w:t>
      </w:r>
      <w:r>
        <w:t>号）、《四川省省级水土流失重点预防区和重点治理区划分成果》（川水函</w:t>
      </w:r>
      <w:r>
        <w:t>[2017]482</w:t>
      </w:r>
      <w:r>
        <w:t>号），仪陇县为嘉陵江及沱江中下游国家级水土流失重点治理区。土壤侵蚀类型区为水力侵蚀类型区的西南土石山区中的四川山地丘陵区，土壤容许流失量</w:t>
      </w:r>
      <w:r>
        <w:t>500t/km²·a</w:t>
      </w:r>
      <w:r>
        <w:t>。</w:t>
      </w:r>
      <w:r>
        <w:rPr>
          <w:color w:val="0000FF"/>
        </w:rPr>
        <w:t>项目区原地表土地表侵蚀模数为</w:t>
      </w:r>
      <w:r>
        <w:rPr>
          <w:rFonts w:hint="eastAsia"/>
          <w:color w:val="0000FF"/>
        </w:rPr>
        <w:t>519</w:t>
      </w:r>
      <w:r>
        <w:rPr>
          <w:color w:val="0000FF"/>
        </w:rPr>
        <w:t>t</w:t>
      </w:r>
      <w:r>
        <w:rPr>
          <w:rFonts w:hint="eastAsia"/>
          <w:color w:val="0000FF"/>
        </w:rPr>
        <w:t>/</w:t>
      </w:r>
      <w:r>
        <w:rPr>
          <w:color w:val="0000FF"/>
        </w:rPr>
        <w:t>km</w:t>
      </w:r>
      <w:r>
        <w:rPr>
          <w:color w:val="0000FF"/>
          <w:vertAlign w:val="superscript"/>
        </w:rPr>
        <w:t>2</w:t>
      </w:r>
      <w:r>
        <w:rPr>
          <w:color w:val="0000FF"/>
        </w:rPr>
        <w:t>.a</w:t>
      </w:r>
      <w:r>
        <w:rPr>
          <w:color w:val="0000FF"/>
        </w:rPr>
        <w:t>，属</w:t>
      </w:r>
      <w:r>
        <w:t>于</w:t>
      </w:r>
      <w:r>
        <w:rPr>
          <w:rFonts w:hint="eastAsia"/>
        </w:rPr>
        <w:t>轻</w:t>
      </w:r>
      <w:r>
        <w:t>度侵蚀</w:t>
      </w:r>
      <w:r>
        <w:rPr>
          <w:rFonts w:eastAsia="仿宋_GB2312"/>
          <w:lang w:val="zh-CN"/>
        </w:rPr>
        <w:t>。</w:t>
      </w:r>
    </w:p>
    <w:p w:rsidR="006C378F" w:rsidRDefault="00E12213">
      <w:pPr>
        <w:jc w:val="center"/>
        <w:rPr>
          <w:b/>
          <w:bCs/>
          <w:sz w:val="21"/>
        </w:rPr>
      </w:pPr>
      <w:r>
        <w:rPr>
          <w:b/>
          <w:bCs/>
          <w:sz w:val="21"/>
        </w:rPr>
        <w:t>表</w:t>
      </w:r>
      <w:r>
        <w:rPr>
          <w:b/>
          <w:bCs/>
          <w:sz w:val="21"/>
        </w:rPr>
        <w:t xml:space="preserve"> 4.1</w:t>
      </w:r>
      <w:r>
        <w:rPr>
          <w:b/>
          <w:bCs/>
          <w:sz w:val="21"/>
        </w:rPr>
        <w:noBreakHyphen/>
        <w:t xml:space="preserve">1     </w:t>
      </w:r>
      <w:r>
        <w:rPr>
          <w:b/>
          <w:bCs/>
          <w:sz w:val="21"/>
        </w:rPr>
        <w:t>仪陇县水土流失现状表</w:t>
      </w:r>
    </w:p>
    <w:tbl>
      <w:tblPr>
        <w:tblW w:w="0" w:type="auto"/>
        <w:tblBorders>
          <w:top w:val="single" w:sz="12" w:space="0" w:color="auto"/>
          <w:bottom w:val="single" w:sz="12" w:space="0" w:color="auto"/>
          <w:insideH w:val="single" w:sz="6" w:space="0" w:color="auto"/>
          <w:insideV w:val="single" w:sz="6" w:space="0" w:color="auto"/>
        </w:tblBorders>
        <w:tblLayout w:type="fixed"/>
        <w:tblLook w:val="04A0" w:firstRow="1" w:lastRow="0" w:firstColumn="1" w:lastColumn="0" w:noHBand="0" w:noVBand="1"/>
      </w:tblPr>
      <w:tblGrid>
        <w:gridCol w:w="2322"/>
        <w:gridCol w:w="2322"/>
        <w:gridCol w:w="2322"/>
        <w:gridCol w:w="2322"/>
      </w:tblGrid>
      <w:tr w:rsidR="006C378F">
        <w:tc>
          <w:tcPr>
            <w:tcW w:w="2322" w:type="dxa"/>
          </w:tcPr>
          <w:p w:rsidR="006C378F" w:rsidRDefault="00E12213">
            <w:pPr>
              <w:jc w:val="center"/>
              <w:rPr>
                <w:b/>
                <w:bCs/>
                <w:sz w:val="21"/>
              </w:rPr>
            </w:pPr>
            <w:r>
              <w:rPr>
                <w:rFonts w:hint="eastAsia"/>
                <w:b/>
                <w:bCs/>
                <w:sz w:val="21"/>
              </w:rPr>
              <w:t>侵蚀强度</w:t>
            </w:r>
          </w:p>
        </w:tc>
        <w:tc>
          <w:tcPr>
            <w:tcW w:w="2322" w:type="dxa"/>
          </w:tcPr>
          <w:p w:rsidR="006C378F" w:rsidRDefault="00E12213">
            <w:pPr>
              <w:jc w:val="center"/>
              <w:rPr>
                <w:b/>
                <w:bCs/>
                <w:sz w:val="21"/>
              </w:rPr>
            </w:pPr>
            <w:r>
              <w:rPr>
                <w:rFonts w:hint="eastAsia"/>
                <w:b/>
                <w:bCs/>
                <w:sz w:val="21"/>
              </w:rPr>
              <w:t>面积</w:t>
            </w:r>
          </w:p>
        </w:tc>
        <w:tc>
          <w:tcPr>
            <w:tcW w:w="2322" w:type="dxa"/>
          </w:tcPr>
          <w:p w:rsidR="006C378F" w:rsidRDefault="00E12213">
            <w:pPr>
              <w:jc w:val="center"/>
              <w:rPr>
                <w:b/>
                <w:bCs/>
                <w:sz w:val="21"/>
              </w:rPr>
            </w:pPr>
            <w:r>
              <w:rPr>
                <w:rFonts w:hint="eastAsia"/>
                <w:b/>
                <w:bCs/>
                <w:sz w:val="21"/>
              </w:rPr>
              <w:t>占流失面积比</w:t>
            </w:r>
          </w:p>
        </w:tc>
        <w:tc>
          <w:tcPr>
            <w:tcW w:w="2322" w:type="dxa"/>
          </w:tcPr>
          <w:p w:rsidR="006C378F" w:rsidRDefault="00E12213">
            <w:pPr>
              <w:jc w:val="center"/>
              <w:rPr>
                <w:b/>
                <w:bCs/>
                <w:sz w:val="21"/>
              </w:rPr>
            </w:pPr>
            <w:r>
              <w:rPr>
                <w:rFonts w:hint="eastAsia"/>
                <w:b/>
                <w:bCs/>
                <w:sz w:val="21"/>
              </w:rPr>
              <w:t>占土地面积比</w:t>
            </w:r>
          </w:p>
        </w:tc>
      </w:tr>
      <w:tr w:rsidR="006C378F">
        <w:tc>
          <w:tcPr>
            <w:tcW w:w="2322" w:type="dxa"/>
          </w:tcPr>
          <w:p w:rsidR="006C378F" w:rsidRDefault="00E12213">
            <w:pPr>
              <w:jc w:val="center"/>
              <w:rPr>
                <w:b/>
                <w:bCs/>
                <w:sz w:val="21"/>
              </w:rPr>
            </w:pPr>
            <w:r>
              <w:rPr>
                <w:rFonts w:hint="eastAsia"/>
                <w:b/>
                <w:bCs/>
                <w:sz w:val="21"/>
              </w:rPr>
              <w:t>轻度</w:t>
            </w:r>
          </w:p>
        </w:tc>
        <w:tc>
          <w:tcPr>
            <w:tcW w:w="2322" w:type="dxa"/>
          </w:tcPr>
          <w:p w:rsidR="006C378F" w:rsidRDefault="00E12213">
            <w:pPr>
              <w:jc w:val="center"/>
              <w:rPr>
                <w:b/>
                <w:bCs/>
                <w:sz w:val="21"/>
              </w:rPr>
            </w:pPr>
            <w:r>
              <w:rPr>
                <w:rFonts w:hint="eastAsia"/>
                <w:b/>
                <w:bCs/>
                <w:sz w:val="21"/>
              </w:rPr>
              <w:t>205.67</w:t>
            </w:r>
          </w:p>
        </w:tc>
        <w:tc>
          <w:tcPr>
            <w:tcW w:w="2322" w:type="dxa"/>
          </w:tcPr>
          <w:p w:rsidR="006C378F" w:rsidRDefault="00E12213">
            <w:pPr>
              <w:jc w:val="center"/>
              <w:rPr>
                <w:b/>
                <w:bCs/>
                <w:sz w:val="21"/>
              </w:rPr>
            </w:pPr>
            <w:r>
              <w:rPr>
                <w:rFonts w:hint="eastAsia"/>
                <w:b/>
                <w:bCs/>
                <w:sz w:val="21"/>
              </w:rPr>
              <w:t>23.75</w:t>
            </w:r>
          </w:p>
        </w:tc>
        <w:tc>
          <w:tcPr>
            <w:tcW w:w="2322" w:type="dxa"/>
          </w:tcPr>
          <w:p w:rsidR="006C378F" w:rsidRDefault="00E12213">
            <w:pPr>
              <w:jc w:val="center"/>
              <w:rPr>
                <w:b/>
                <w:bCs/>
                <w:sz w:val="21"/>
              </w:rPr>
            </w:pPr>
            <w:r>
              <w:rPr>
                <w:rFonts w:hint="eastAsia"/>
                <w:b/>
                <w:bCs/>
                <w:sz w:val="21"/>
              </w:rPr>
              <w:t>11.48</w:t>
            </w:r>
          </w:p>
        </w:tc>
      </w:tr>
      <w:tr w:rsidR="006C378F">
        <w:tc>
          <w:tcPr>
            <w:tcW w:w="2322" w:type="dxa"/>
          </w:tcPr>
          <w:p w:rsidR="006C378F" w:rsidRDefault="00E12213">
            <w:pPr>
              <w:jc w:val="center"/>
              <w:rPr>
                <w:b/>
                <w:bCs/>
                <w:sz w:val="21"/>
              </w:rPr>
            </w:pPr>
            <w:r>
              <w:rPr>
                <w:rFonts w:hint="eastAsia"/>
                <w:b/>
                <w:bCs/>
                <w:sz w:val="21"/>
              </w:rPr>
              <w:t>中度</w:t>
            </w:r>
          </w:p>
        </w:tc>
        <w:tc>
          <w:tcPr>
            <w:tcW w:w="2322" w:type="dxa"/>
          </w:tcPr>
          <w:p w:rsidR="006C378F" w:rsidRDefault="00E12213">
            <w:pPr>
              <w:jc w:val="center"/>
              <w:rPr>
                <w:b/>
                <w:bCs/>
                <w:sz w:val="21"/>
              </w:rPr>
            </w:pPr>
            <w:r>
              <w:rPr>
                <w:rFonts w:hint="eastAsia"/>
                <w:b/>
                <w:bCs/>
                <w:sz w:val="21"/>
              </w:rPr>
              <w:t>348.22</w:t>
            </w:r>
          </w:p>
        </w:tc>
        <w:tc>
          <w:tcPr>
            <w:tcW w:w="2322" w:type="dxa"/>
          </w:tcPr>
          <w:p w:rsidR="006C378F" w:rsidRDefault="00E12213">
            <w:pPr>
              <w:jc w:val="center"/>
              <w:rPr>
                <w:b/>
                <w:bCs/>
                <w:sz w:val="21"/>
              </w:rPr>
            </w:pPr>
            <w:r>
              <w:rPr>
                <w:rFonts w:hint="eastAsia"/>
                <w:b/>
                <w:bCs/>
                <w:sz w:val="21"/>
              </w:rPr>
              <w:t>40.22</w:t>
            </w:r>
          </w:p>
        </w:tc>
        <w:tc>
          <w:tcPr>
            <w:tcW w:w="2322" w:type="dxa"/>
          </w:tcPr>
          <w:p w:rsidR="006C378F" w:rsidRDefault="00E12213">
            <w:pPr>
              <w:jc w:val="center"/>
              <w:rPr>
                <w:b/>
                <w:bCs/>
                <w:sz w:val="21"/>
              </w:rPr>
            </w:pPr>
            <w:r>
              <w:rPr>
                <w:rFonts w:hint="eastAsia"/>
                <w:b/>
                <w:bCs/>
                <w:sz w:val="21"/>
              </w:rPr>
              <w:t>19.45</w:t>
            </w:r>
          </w:p>
        </w:tc>
      </w:tr>
      <w:tr w:rsidR="006C378F">
        <w:tc>
          <w:tcPr>
            <w:tcW w:w="2322" w:type="dxa"/>
          </w:tcPr>
          <w:p w:rsidR="006C378F" w:rsidRDefault="00E12213">
            <w:pPr>
              <w:jc w:val="center"/>
              <w:rPr>
                <w:b/>
                <w:bCs/>
                <w:sz w:val="21"/>
              </w:rPr>
            </w:pPr>
            <w:r>
              <w:rPr>
                <w:rFonts w:hint="eastAsia"/>
                <w:b/>
                <w:bCs/>
                <w:sz w:val="21"/>
              </w:rPr>
              <w:t>强烈</w:t>
            </w:r>
          </w:p>
        </w:tc>
        <w:tc>
          <w:tcPr>
            <w:tcW w:w="2322" w:type="dxa"/>
          </w:tcPr>
          <w:p w:rsidR="006C378F" w:rsidRDefault="00E12213">
            <w:pPr>
              <w:jc w:val="center"/>
              <w:rPr>
                <w:b/>
                <w:bCs/>
                <w:sz w:val="21"/>
              </w:rPr>
            </w:pPr>
            <w:r>
              <w:rPr>
                <w:rFonts w:hint="eastAsia"/>
                <w:b/>
                <w:bCs/>
                <w:sz w:val="21"/>
              </w:rPr>
              <w:t>180.75</w:t>
            </w:r>
          </w:p>
        </w:tc>
        <w:tc>
          <w:tcPr>
            <w:tcW w:w="2322" w:type="dxa"/>
          </w:tcPr>
          <w:p w:rsidR="006C378F" w:rsidRDefault="00E12213">
            <w:pPr>
              <w:jc w:val="center"/>
              <w:rPr>
                <w:b/>
                <w:bCs/>
                <w:sz w:val="21"/>
              </w:rPr>
            </w:pPr>
            <w:r>
              <w:rPr>
                <w:rFonts w:hint="eastAsia"/>
                <w:b/>
                <w:bCs/>
                <w:sz w:val="21"/>
              </w:rPr>
              <w:t>20.87</w:t>
            </w:r>
          </w:p>
        </w:tc>
        <w:tc>
          <w:tcPr>
            <w:tcW w:w="2322" w:type="dxa"/>
          </w:tcPr>
          <w:p w:rsidR="006C378F" w:rsidRDefault="00E12213">
            <w:pPr>
              <w:jc w:val="center"/>
              <w:rPr>
                <w:b/>
                <w:bCs/>
                <w:sz w:val="21"/>
              </w:rPr>
            </w:pPr>
            <w:r>
              <w:rPr>
                <w:rFonts w:hint="eastAsia"/>
                <w:b/>
                <w:bCs/>
                <w:sz w:val="21"/>
              </w:rPr>
              <w:t>10.09</w:t>
            </w:r>
          </w:p>
        </w:tc>
      </w:tr>
      <w:tr w:rsidR="006C378F">
        <w:tc>
          <w:tcPr>
            <w:tcW w:w="2322" w:type="dxa"/>
          </w:tcPr>
          <w:p w:rsidR="006C378F" w:rsidRDefault="00E12213">
            <w:pPr>
              <w:jc w:val="center"/>
              <w:rPr>
                <w:b/>
                <w:bCs/>
                <w:sz w:val="21"/>
              </w:rPr>
            </w:pPr>
            <w:r>
              <w:rPr>
                <w:rFonts w:hint="eastAsia"/>
                <w:b/>
                <w:bCs/>
                <w:sz w:val="21"/>
              </w:rPr>
              <w:t>极强烈</w:t>
            </w:r>
          </w:p>
        </w:tc>
        <w:tc>
          <w:tcPr>
            <w:tcW w:w="2322" w:type="dxa"/>
          </w:tcPr>
          <w:p w:rsidR="006C378F" w:rsidRDefault="00E12213">
            <w:pPr>
              <w:jc w:val="center"/>
              <w:rPr>
                <w:b/>
                <w:bCs/>
                <w:sz w:val="21"/>
              </w:rPr>
            </w:pPr>
            <w:r>
              <w:rPr>
                <w:rFonts w:hint="eastAsia"/>
                <w:b/>
                <w:bCs/>
                <w:sz w:val="21"/>
              </w:rPr>
              <w:t>83.45</w:t>
            </w:r>
          </w:p>
        </w:tc>
        <w:tc>
          <w:tcPr>
            <w:tcW w:w="2322" w:type="dxa"/>
          </w:tcPr>
          <w:p w:rsidR="006C378F" w:rsidRDefault="00E12213">
            <w:pPr>
              <w:jc w:val="center"/>
              <w:rPr>
                <w:b/>
                <w:bCs/>
                <w:sz w:val="21"/>
              </w:rPr>
            </w:pPr>
            <w:r>
              <w:rPr>
                <w:rFonts w:hint="eastAsia"/>
                <w:b/>
                <w:bCs/>
                <w:sz w:val="21"/>
              </w:rPr>
              <w:t>9.64</w:t>
            </w:r>
          </w:p>
        </w:tc>
        <w:tc>
          <w:tcPr>
            <w:tcW w:w="2322" w:type="dxa"/>
          </w:tcPr>
          <w:p w:rsidR="006C378F" w:rsidRDefault="00E12213">
            <w:pPr>
              <w:jc w:val="center"/>
              <w:rPr>
                <w:b/>
                <w:bCs/>
                <w:sz w:val="21"/>
              </w:rPr>
            </w:pPr>
            <w:r>
              <w:rPr>
                <w:rFonts w:hint="eastAsia"/>
                <w:b/>
                <w:bCs/>
                <w:sz w:val="21"/>
              </w:rPr>
              <w:t>4.66</w:t>
            </w:r>
          </w:p>
        </w:tc>
      </w:tr>
      <w:tr w:rsidR="006C378F">
        <w:tc>
          <w:tcPr>
            <w:tcW w:w="2322" w:type="dxa"/>
          </w:tcPr>
          <w:p w:rsidR="006C378F" w:rsidRDefault="00E12213">
            <w:pPr>
              <w:jc w:val="center"/>
              <w:rPr>
                <w:b/>
                <w:bCs/>
                <w:sz w:val="21"/>
              </w:rPr>
            </w:pPr>
            <w:r>
              <w:rPr>
                <w:rFonts w:hint="eastAsia"/>
                <w:b/>
                <w:bCs/>
                <w:sz w:val="21"/>
              </w:rPr>
              <w:t>剧烈</w:t>
            </w:r>
          </w:p>
        </w:tc>
        <w:tc>
          <w:tcPr>
            <w:tcW w:w="2322" w:type="dxa"/>
          </w:tcPr>
          <w:p w:rsidR="006C378F" w:rsidRDefault="00E12213">
            <w:pPr>
              <w:jc w:val="center"/>
              <w:rPr>
                <w:b/>
                <w:bCs/>
                <w:sz w:val="21"/>
              </w:rPr>
            </w:pPr>
            <w:r>
              <w:rPr>
                <w:rFonts w:hint="eastAsia"/>
                <w:b/>
                <w:bCs/>
                <w:sz w:val="21"/>
              </w:rPr>
              <w:t>47.76</w:t>
            </w:r>
          </w:p>
        </w:tc>
        <w:tc>
          <w:tcPr>
            <w:tcW w:w="2322" w:type="dxa"/>
          </w:tcPr>
          <w:p w:rsidR="006C378F" w:rsidRDefault="00E12213">
            <w:pPr>
              <w:jc w:val="center"/>
              <w:rPr>
                <w:b/>
                <w:bCs/>
                <w:sz w:val="21"/>
              </w:rPr>
            </w:pPr>
            <w:r>
              <w:rPr>
                <w:rFonts w:hint="eastAsia"/>
                <w:b/>
                <w:bCs/>
                <w:sz w:val="21"/>
              </w:rPr>
              <w:t>5.52</w:t>
            </w:r>
          </w:p>
        </w:tc>
        <w:tc>
          <w:tcPr>
            <w:tcW w:w="2322" w:type="dxa"/>
          </w:tcPr>
          <w:p w:rsidR="006C378F" w:rsidRDefault="00E12213">
            <w:pPr>
              <w:jc w:val="center"/>
              <w:rPr>
                <w:b/>
                <w:bCs/>
                <w:sz w:val="21"/>
              </w:rPr>
            </w:pPr>
            <w:r>
              <w:rPr>
                <w:rFonts w:hint="eastAsia"/>
                <w:b/>
                <w:bCs/>
                <w:sz w:val="21"/>
              </w:rPr>
              <w:t>2.67</w:t>
            </w:r>
          </w:p>
        </w:tc>
      </w:tr>
      <w:tr w:rsidR="006C378F">
        <w:tc>
          <w:tcPr>
            <w:tcW w:w="2322" w:type="dxa"/>
          </w:tcPr>
          <w:p w:rsidR="006C378F" w:rsidRDefault="00E12213">
            <w:pPr>
              <w:jc w:val="center"/>
              <w:rPr>
                <w:b/>
                <w:bCs/>
                <w:sz w:val="21"/>
              </w:rPr>
            </w:pPr>
            <w:r>
              <w:rPr>
                <w:rFonts w:hint="eastAsia"/>
                <w:b/>
                <w:bCs/>
                <w:sz w:val="21"/>
              </w:rPr>
              <w:t>合计</w:t>
            </w:r>
          </w:p>
        </w:tc>
        <w:tc>
          <w:tcPr>
            <w:tcW w:w="2322" w:type="dxa"/>
          </w:tcPr>
          <w:p w:rsidR="006C378F" w:rsidRDefault="00E12213">
            <w:pPr>
              <w:jc w:val="center"/>
              <w:rPr>
                <w:b/>
                <w:bCs/>
                <w:sz w:val="21"/>
              </w:rPr>
            </w:pPr>
            <w:r>
              <w:rPr>
                <w:rFonts w:hint="eastAsia"/>
                <w:b/>
                <w:bCs/>
                <w:sz w:val="21"/>
              </w:rPr>
              <w:t>865.85</w:t>
            </w:r>
          </w:p>
        </w:tc>
        <w:tc>
          <w:tcPr>
            <w:tcW w:w="2322" w:type="dxa"/>
          </w:tcPr>
          <w:p w:rsidR="006C378F" w:rsidRDefault="00E12213">
            <w:pPr>
              <w:jc w:val="center"/>
              <w:rPr>
                <w:b/>
                <w:bCs/>
                <w:sz w:val="21"/>
              </w:rPr>
            </w:pPr>
            <w:r>
              <w:rPr>
                <w:rFonts w:hint="eastAsia"/>
                <w:b/>
                <w:bCs/>
                <w:sz w:val="21"/>
              </w:rPr>
              <w:t>100</w:t>
            </w:r>
          </w:p>
        </w:tc>
        <w:tc>
          <w:tcPr>
            <w:tcW w:w="2322" w:type="dxa"/>
          </w:tcPr>
          <w:p w:rsidR="006C378F" w:rsidRDefault="00E12213">
            <w:pPr>
              <w:jc w:val="center"/>
              <w:rPr>
                <w:b/>
                <w:bCs/>
                <w:sz w:val="21"/>
              </w:rPr>
            </w:pPr>
            <w:r>
              <w:rPr>
                <w:rFonts w:hint="eastAsia"/>
                <w:b/>
                <w:bCs/>
                <w:sz w:val="21"/>
              </w:rPr>
              <w:t>48.35</w:t>
            </w:r>
          </w:p>
        </w:tc>
      </w:tr>
    </w:tbl>
    <w:p w:rsidR="006C378F" w:rsidRDefault="00E12213">
      <w:pPr>
        <w:rPr>
          <w:b/>
          <w:bCs/>
          <w:sz w:val="21"/>
        </w:rPr>
      </w:pPr>
      <w:r>
        <w:rPr>
          <w:rFonts w:hint="eastAsia"/>
          <w:b/>
          <w:bCs/>
          <w:sz w:val="21"/>
        </w:rPr>
        <w:t>注：以上土地利用现状数据来源于《仪陇县水土保持规划》（</w:t>
      </w:r>
      <w:r>
        <w:rPr>
          <w:rFonts w:hint="eastAsia"/>
          <w:b/>
          <w:bCs/>
          <w:sz w:val="21"/>
        </w:rPr>
        <w:t xml:space="preserve">2015-2030 </w:t>
      </w:r>
      <w:r>
        <w:rPr>
          <w:rFonts w:hint="eastAsia"/>
          <w:b/>
          <w:bCs/>
          <w:sz w:val="21"/>
        </w:rPr>
        <w:t>年）。</w:t>
      </w:r>
    </w:p>
    <w:p w:rsidR="006C378F" w:rsidRDefault="00E12213">
      <w:pPr>
        <w:pStyle w:val="2"/>
        <w:widowControl/>
        <w:spacing w:beforeLines="50" w:before="120"/>
        <w:rPr>
          <w:position w:val="4"/>
          <w:szCs w:val="30"/>
        </w:rPr>
      </w:pPr>
      <w:bookmarkStart w:id="155" w:name="_Toc2514"/>
      <w:bookmarkStart w:id="156" w:name="_Toc9130462"/>
      <w:bookmarkStart w:id="157" w:name="_Toc11955"/>
      <w:bookmarkStart w:id="158" w:name="_Toc14438"/>
      <w:bookmarkStart w:id="159" w:name="_Toc26025"/>
      <w:bookmarkStart w:id="160" w:name="_Toc24170"/>
      <w:bookmarkStart w:id="161" w:name="_Toc7062"/>
      <w:bookmarkStart w:id="162" w:name="_Toc20016"/>
      <w:bookmarkStart w:id="163" w:name="_Toc30792"/>
      <w:bookmarkStart w:id="164" w:name="_Toc14065"/>
      <w:bookmarkStart w:id="165" w:name="_Toc11964"/>
      <w:bookmarkEnd w:id="153"/>
      <w:bookmarkEnd w:id="154"/>
      <w:r>
        <w:rPr>
          <w:position w:val="4"/>
          <w:szCs w:val="30"/>
        </w:rPr>
        <w:t>4.2</w:t>
      </w:r>
      <w:r>
        <w:rPr>
          <w:position w:val="4"/>
          <w:szCs w:val="30"/>
        </w:rPr>
        <w:t>水土流失影响因素分析</w:t>
      </w:r>
      <w:bookmarkEnd w:id="155"/>
      <w:bookmarkEnd w:id="156"/>
      <w:bookmarkEnd w:id="157"/>
      <w:bookmarkEnd w:id="158"/>
      <w:bookmarkEnd w:id="159"/>
      <w:bookmarkEnd w:id="160"/>
      <w:bookmarkEnd w:id="161"/>
    </w:p>
    <w:p w:rsidR="006C378F" w:rsidRDefault="00E12213">
      <w:pPr>
        <w:pStyle w:val="0"/>
        <w:spacing w:line="360" w:lineRule="auto"/>
        <w:rPr>
          <w:rFonts w:ascii="Times New Roman" w:hAnsi="Times New Roman"/>
          <w:color w:val="auto"/>
        </w:rPr>
      </w:pPr>
      <w:r>
        <w:rPr>
          <w:rFonts w:ascii="Times New Roman" w:hAnsi="Times New Roman"/>
          <w:color w:val="auto"/>
        </w:rPr>
        <w:t>水土流失的发生、发展是自然因子和人为干扰综合作用的结果。</w:t>
      </w:r>
    </w:p>
    <w:p w:rsidR="006C378F" w:rsidRDefault="00E12213">
      <w:pPr>
        <w:pStyle w:val="0"/>
        <w:spacing w:line="360" w:lineRule="auto"/>
        <w:rPr>
          <w:rFonts w:ascii="Times New Roman" w:hAnsi="Times New Roman"/>
          <w:color w:val="auto"/>
        </w:rPr>
      </w:pPr>
      <w:r>
        <w:rPr>
          <w:rFonts w:ascii="Times New Roman" w:hAnsi="Times New Roman"/>
          <w:color w:val="auto"/>
        </w:rPr>
        <w:t>自然因子：项目区属溶蚀地貌，地形复杂，山丘与冲沟间或分布，为水土流失的发生提供了有利的地形条件；同时，降雨强度大、雨量集中等气候特点，又为水土流失的发生提供了有力的外营力；另外，由于长期以来的人为干扰，植被的蓄水保土能力大大下降，为水土流失的发生、发展提供有利条件。项目区特定的地形、地貌、气候、植被等自然因子为水土流失的发生奠定基础条件，在大规模地表扰动和剧烈的开发活动中，势必产生强度水土流失，形成严重的水土流失危害。</w:t>
      </w:r>
    </w:p>
    <w:p w:rsidR="006C378F" w:rsidRDefault="00E12213">
      <w:pPr>
        <w:pStyle w:val="0"/>
        <w:spacing w:line="360" w:lineRule="auto"/>
        <w:rPr>
          <w:rFonts w:ascii="Times New Roman" w:hAnsi="Times New Roman"/>
          <w:color w:val="auto"/>
        </w:rPr>
      </w:pPr>
      <w:r>
        <w:rPr>
          <w:rFonts w:ascii="Times New Roman" w:hAnsi="Times New Roman"/>
          <w:color w:val="auto"/>
        </w:rPr>
        <w:t>人为干扰：自然因素是水土流失发生的基础条件，而人为干扰则是水土流失发生的驱动因子。在项目建设过程中，地表开挖及回填、场地平整、建筑物基础施工等大规模、高强度干扰活动，将严重扰动、损坏和改变原地形地貌，使地表土壤的抗蚀性降低，在降雨、重力等外营力作用下会产生大量水土流失，并可能造成严重危害。</w:t>
      </w:r>
    </w:p>
    <w:p w:rsidR="006C378F" w:rsidRDefault="00E12213">
      <w:pPr>
        <w:pStyle w:val="2"/>
        <w:rPr>
          <w:color w:val="0000FF"/>
        </w:rPr>
      </w:pPr>
      <w:bookmarkStart w:id="166" w:name="_Toc24479"/>
      <w:bookmarkStart w:id="167" w:name="_Toc8912"/>
      <w:bookmarkEnd w:id="162"/>
      <w:bookmarkEnd w:id="163"/>
      <w:bookmarkEnd w:id="164"/>
      <w:bookmarkEnd w:id="165"/>
      <w:r>
        <w:rPr>
          <w:rFonts w:hint="eastAsia"/>
          <w:color w:val="0000FF"/>
        </w:rPr>
        <w:t>4</w:t>
      </w:r>
      <w:r>
        <w:rPr>
          <w:color w:val="0000FF"/>
        </w:rPr>
        <w:t>.3</w:t>
      </w:r>
      <w:r>
        <w:rPr>
          <w:color w:val="0000FF"/>
        </w:rPr>
        <w:t>土壤流失量</w:t>
      </w:r>
      <w:r>
        <w:rPr>
          <w:rFonts w:hint="eastAsia"/>
          <w:color w:val="0000FF"/>
        </w:rPr>
        <w:t>调查</w:t>
      </w:r>
      <w:bookmarkEnd w:id="166"/>
      <w:bookmarkEnd w:id="167"/>
    </w:p>
    <w:p w:rsidR="006C378F" w:rsidRDefault="00E12213">
      <w:pPr>
        <w:pStyle w:val="3"/>
        <w:widowControl/>
        <w:rPr>
          <w:color w:val="0000FF"/>
          <w:szCs w:val="28"/>
          <w:lang w:val="zh-CN"/>
        </w:rPr>
      </w:pPr>
      <w:bookmarkStart w:id="168" w:name="_Toc27024"/>
      <w:bookmarkStart w:id="169" w:name="_Toc320028819"/>
      <w:bookmarkStart w:id="170" w:name="_Toc329789225"/>
      <w:bookmarkStart w:id="171" w:name="_Toc318898270"/>
      <w:bookmarkStart w:id="172" w:name="_Toc200340541"/>
      <w:bookmarkStart w:id="173" w:name="_Toc329513677"/>
      <w:bookmarkStart w:id="174" w:name="_Toc330159438"/>
      <w:bookmarkStart w:id="175" w:name="_Toc317148115"/>
      <w:bookmarkStart w:id="176" w:name="_Toc14563"/>
      <w:r>
        <w:rPr>
          <w:rFonts w:hint="eastAsia"/>
          <w:color w:val="0000FF"/>
          <w:szCs w:val="28"/>
        </w:rPr>
        <w:t>4</w:t>
      </w:r>
      <w:r>
        <w:rPr>
          <w:color w:val="0000FF"/>
          <w:szCs w:val="28"/>
        </w:rPr>
        <w:t>.3.</w:t>
      </w:r>
      <w:r>
        <w:rPr>
          <w:rFonts w:hint="eastAsia"/>
          <w:color w:val="0000FF"/>
          <w:szCs w:val="28"/>
        </w:rPr>
        <w:t>1</w:t>
      </w:r>
      <w:r>
        <w:rPr>
          <w:rFonts w:hint="eastAsia"/>
          <w:color w:val="0000FF"/>
          <w:szCs w:val="28"/>
          <w:lang w:val="zh-CN"/>
        </w:rPr>
        <w:t>调查</w:t>
      </w:r>
      <w:r>
        <w:rPr>
          <w:color w:val="0000FF"/>
          <w:szCs w:val="28"/>
          <w:lang w:val="zh-CN"/>
        </w:rPr>
        <w:t>时段</w:t>
      </w:r>
      <w:bookmarkEnd w:id="168"/>
      <w:bookmarkEnd w:id="169"/>
      <w:bookmarkEnd w:id="170"/>
      <w:bookmarkEnd w:id="171"/>
      <w:bookmarkEnd w:id="172"/>
      <w:bookmarkEnd w:id="173"/>
      <w:bookmarkEnd w:id="174"/>
      <w:bookmarkEnd w:id="175"/>
      <w:bookmarkEnd w:id="176"/>
    </w:p>
    <w:p w:rsidR="006C378F" w:rsidRDefault="00E12213">
      <w:pPr>
        <w:pStyle w:val="13"/>
        <w:ind w:firstLine="480"/>
        <w:rPr>
          <w:color w:val="0000FF"/>
        </w:rPr>
      </w:pPr>
      <w:bookmarkStart w:id="177" w:name="_Toc320028821"/>
      <w:bookmarkStart w:id="178" w:name="_Toc329789227"/>
      <w:bookmarkStart w:id="179" w:name="_Toc318898272"/>
      <w:bookmarkStart w:id="180" w:name="_Toc329513679"/>
      <w:bookmarkStart w:id="181" w:name="_Toc12580"/>
      <w:bookmarkStart w:id="182" w:name="_Toc240292462"/>
      <w:bookmarkStart w:id="183" w:name="_Toc31451"/>
      <w:bookmarkStart w:id="184" w:name="_Toc317148117"/>
      <w:bookmarkStart w:id="185" w:name="_Toc330159440"/>
      <w:r>
        <w:rPr>
          <w:color w:val="0000FF"/>
        </w:rPr>
        <w:t>本项目建设期水土流失</w:t>
      </w:r>
      <w:r>
        <w:rPr>
          <w:rFonts w:hint="eastAsia"/>
          <w:color w:val="0000FF"/>
        </w:rPr>
        <w:t>调查</w:t>
      </w:r>
      <w:r>
        <w:rPr>
          <w:color w:val="0000FF"/>
        </w:rPr>
        <w:t>是在对区域范围内影响水土流失的自然因素和工程建设中的人为因素分析基础上确定的。水土流失</w:t>
      </w:r>
      <w:r>
        <w:rPr>
          <w:rFonts w:hint="eastAsia"/>
          <w:color w:val="0000FF"/>
        </w:rPr>
        <w:t>调查</w:t>
      </w:r>
      <w:r>
        <w:rPr>
          <w:color w:val="0000FF"/>
        </w:rPr>
        <w:t>时段包括施工准备期、</w:t>
      </w:r>
      <w:r>
        <w:rPr>
          <w:rFonts w:hint="eastAsia"/>
          <w:color w:val="0000FF"/>
        </w:rPr>
        <w:t>施工</w:t>
      </w:r>
      <w:r>
        <w:rPr>
          <w:color w:val="0000FF"/>
        </w:rPr>
        <w:t>期和自然</w:t>
      </w:r>
      <w:r>
        <w:rPr>
          <w:color w:val="0000FF"/>
        </w:rPr>
        <w:lastRenderedPageBreak/>
        <w:t>恢复期。</w:t>
      </w:r>
    </w:p>
    <w:p w:rsidR="006C378F" w:rsidRDefault="00E12213">
      <w:pPr>
        <w:pStyle w:val="13"/>
        <w:ind w:firstLine="480"/>
        <w:rPr>
          <w:color w:val="0000FF"/>
        </w:rPr>
      </w:pPr>
      <w:r>
        <w:rPr>
          <w:color w:val="0000FF"/>
        </w:rPr>
        <w:t>本项目</w:t>
      </w:r>
      <w:r>
        <w:rPr>
          <w:rFonts w:hint="eastAsia"/>
          <w:color w:val="0000FF"/>
        </w:rPr>
        <w:t>已于</w:t>
      </w:r>
      <w:r>
        <w:rPr>
          <w:color w:val="0000FF"/>
        </w:rPr>
        <w:t>201</w:t>
      </w:r>
      <w:r>
        <w:rPr>
          <w:rFonts w:hint="eastAsia"/>
          <w:color w:val="0000FF"/>
        </w:rPr>
        <w:t>7</w:t>
      </w:r>
      <w:r>
        <w:rPr>
          <w:color w:val="0000FF"/>
        </w:rPr>
        <w:t>年</w:t>
      </w:r>
      <w:r>
        <w:rPr>
          <w:rFonts w:hint="eastAsia"/>
          <w:color w:val="0000FF"/>
        </w:rPr>
        <w:t>1</w:t>
      </w:r>
      <w:r>
        <w:rPr>
          <w:color w:val="0000FF"/>
        </w:rPr>
        <w:t>月开工建设，</w:t>
      </w:r>
      <w:r>
        <w:rPr>
          <w:color w:val="0000FF"/>
        </w:rPr>
        <w:t>20</w:t>
      </w:r>
      <w:r>
        <w:rPr>
          <w:rFonts w:hint="eastAsia"/>
          <w:color w:val="0000FF"/>
        </w:rPr>
        <w:t>17</w:t>
      </w:r>
      <w:r>
        <w:rPr>
          <w:color w:val="0000FF"/>
        </w:rPr>
        <w:t>年</w:t>
      </w:r>
      <w:r>
        <w:rPr>
          <w:rFonts w:hint="eastAsia"/>
          <w:color w:val="0000FF"/>
        </w:rPr>
        <w:t>3</w:t>
      </w:r>
      <w:r>
        <w:rPr>
          <w:color w:val="0000FF"/>
        </w:rPr>
        <w:t>月，共计</w:t>
      </w:r>
      <w:r>
        <w:rPr>
          <w:rFonts w:hint="eastAsia"/>
          <w:color w:val="0000FF"/>
        </w:rPr>
        <w:t>3</w:t>
      </w:r>
      <w:r>
        <w:rPr>
          <w:color w:val="0000FF"/>
        </w:rPr>
        <w:t>个月全部建设完成。</w:t>
      </w:r>
      <w:r>
        <w:rPr>
          <w:rFonts w:hint="eastAsia"/>
          <w:color w:val="0000FF"/>
        </w:rPr>
        <w:t>属于已完工项目，</w:t>
      </w:r>
      <w:r>
        <w:rPr>
          <w:color w:val="0000FF"/>
        </w:rPr>
        <w:t>目前</w:t>
      </w:r>
      <w:r>
        <w:rPr>
          <w:rFonts w:hint="eastAsia"/>
          <w:color w:val="0000FF"/>
        </w:rPr>
        <w:t>已投入使用</w:t>
      </w:r>
      <w:r>
        <w:rPr>
          <w:color w:val="0000FF"/>
        </w:rPr>
        <w:t>。</w:t>
      </w:r>
    </w:p>
    <w:p w:rsidR="006C378F" w:rsidRDefault="00E12213">
      <w:pPr>
        <w:pStyle w:val="13"/>
        <w:ind w:firstLine="480"/>
        <w:rPr>
          <w:color w:val="0000FF"/>
        </w:rPr>
      </w:pPr>
      <w:r>
        <w:rPr>
          <w:color w:val="0000FF"/>
        </w:rPr>
        <w:t>施工期（含施工准备期）：</w:t>
      </w:r>
      <w:r>
        <w:rPr>
          <w:color w:val="0000FF"/>
        </w:rPr>
        <w:t>20</w:t>
      </w:r>
      <w:r>
        <w:rPr>
          <w:rFonts w:hint="eastAsia"/>
          <w:color w:val="0000FF"/>
        </w:rPr>
        <w:t>17</w:t>
      </w:r>
      <w:r>
        <w:rPr>
          <w:color w:val="0000FF"/>
        </w:rPr>
        <w:t>年</w:t>
      </w:r>
      <w:r>
        <w:rPr>
          <w:rFonts w:hint="eastAsia"/>
          <w:color w:val="0000FF"/>
        </w:rPr>
        <w:t>1</w:t>
      </w:r>
      <w:r>
        <w:rPr>
          <w:color w:val="0000FF"/>
        </w:rPr>
        <w:t>月</w:t>
      </w:r>
      <w:r>
        <w:rPr>
          <w:color w:val="0000FF"/>
        </w:rPr>
        <w:t>-20</w:t>
      </w:r>
      <w:r>
        <w:rPr>
          <w:rFonts w:hint="eastAsia"/>
          <w:color w:val="0000FF"/>
        </w:rPr>
        <w:t>17</w:t>
      </w:r>
      <w:r>
        <w:rPr>
          <w:color w:val="0000FF"/>
        </w:rPr>
        <w:t>年</w:t>
      </w:r>
      <w:r>
        <w:rPr>
          <w:rFonts w:hint="eastAsia"/>
          <w:color w:val="0000FF"/>
        </w:rPr>
        <w:t>3</w:t>
      </w:r>
      <w:r>
        <w:rPr>
          <w:color w:val="0000FF"/>
        </w:rPr>
        <w:t>月，共计</w:t>
      </w:r>
      <w:r>
        <w:rPr>
          <w:rFonts w:hint="eastAsia"/>
          <w:color w:val="0000FF"/>
        </w:rPr>
        <w:t>3</w:t>
      </w:r>
      <w:r>
        <w:rPr>
          <w:color w:val="0000FF"/>
        </w:rPr>
        <w:t>个月为工程建设期，</w:t>
      </w:r>
      <w:r>
        <w:rPr>
          <w:rFonts w:hint="eastAsia"/>
          <w:color w:val="0000FF"/>
        </w:rPr>
        <w:t>根据《生产建设项目水土保持技术标准》（</w:t>
      </w:r>
      <w:r>
        <w:rPr>
          <w:rFonts w:hint="eastAsia"/>
          <w:color w:val="0000FF"/>
        </w:rPr>
        <w:t>GB50433-2018</w:t>
      </w:r>
      <w:r>
        <w:rPr>
          <w:rFonts w:hint="eastAsia"/>
          <w:color w:val="0000FF"/>
        </w:rPr>
        <w:t>）</w:t>
      </w:r>
      <w:r>
        <w:rPr>
          <w:rFonts w:hint="eastAsia"/>
          <w:color w:val="0000FF"/>
        </w:rPr>
        <w:t>4.5.6</w:t>
      </w:r>
      <w:r>
        <w:rPr>
          <w:rFonts w:hint="eastAsia"/>
          <w:color w:val="0000FF"/>
        </w:rPr>
        <w:t>第</w:t>
      </w:r>
      <w:r>
        <w:rPr>
          <w:rFonts w:hint="eastAsia"/>
          <w:color w:val="0000FF"/>
        </w:rPr>
        <w:t>3</w:t>
      </w:r>
      <w:r>
        <w:rPr>
          <w:rFonts w:hint="eastAsia"/>
          <w:color w:val="0000FF"/>
        </w:rPr>
        <w:t>条施工期预测时间应按连续</w:t>
      </w:r>
      <w:r>
        <w:rPr>
          <w:rFonts w:hint="eastAsia"/>
          <w:color w:val="0000FF"/>
        </w:rPr>
        <w:t>12</w:t>
      </w:r>
      <w:r>
        <w:rPr>
          <w:rFonts w:hint="eastAsia"/>
          <w:color w:val="0000FF"/>
        </w:rPr>
        <w:t>个月为一年计；不足</w:t>
      </w:r>
      <w:r>
        <w:rPr>
          <w:rFonts w:hint="eastAsia"/>
          <w:color w:val="0000FF"/>
        </w:rPr>
        <w:t>12</w:t>
      </w:r>
      <w:r>
        <w:rPr>
          <w:rFonts w:hint="eastAsia"/>
          <w:color w:val="0000FF"/>
        </w:rPr>
        <w:t>个月，但达到一个雨（风）季长度的，按一年计；不足一个雨（风）季长度的，按占雨（风）季长度的比例计算。因此，本工程施工期调查</w:t>
      </w:r>
      <w:r>
        <w:rPr>
          <w:color w:val="0000FF"/>
        </w:rPr>
        <w:t>时段按</w:t>
      </w:r>
      <w:r>
        <w:rPr>
          <w:rFonts w:hint="eastAsia"/>
          <w:color w:val="0000FF"/>
        </w:rPr>
        <w:t>0.25</w:t>
      </w:r>
      <w:r>
        <w:rPr>
          <w:color w:val="0000FF"/>
        </w:rPr>
        <w:t>年计。</w:t>
      </w:r>
    </w:p>
    <w:p w:rsidR="006C378F" w:rsidRDefault="00E12213">
      <w:pPr>
        <w:pStyle w:val="13"/>
        <w:ind w:firstLine="480"/>
        <w:rPr>
          <w:color w:val="0000FF"/>
        </w:rPr>
      </w:pPr>
      <w:r>
        <w:rPr>
          <w:color w:val="0000FF"/>
        </w:rPr>
        <w:t>自然恢复期：</w:t>
      </w:r>
      <w:r>
        <w:rPr>
          <w:rFonts w:hint="eastAsia"/>
          <w:color w:val="0000FF"/>
        </w:rPr>
        <w:t>根据《生产建设项目水土保持技术标准》（</w:t>
      </w:r>
      <w:r>
        <w:rPr>
          <w:rFonts w:hint="eastAsia"/>
          <w:color w:val="0000FF"/>
        </w:rPr>
        <w:t>GB50433-2018</w:t>
      </w:r>
      <w:r>
        <w:rPr>
          <w:rFonts w:hint="eastAsia"/>
          <w:color w:val="0000FF"/>
        </w:rPr>
        <w:t>）</w:t>
      </w:r>
      <w:r>
        <w:rPr>
          <w:rFonts w:hint="eastAsia"/>
          <w:color w:val="0000FF"/>
        </w:rPr>
        <w:t>4.5.6</w:t>
      </w:r>
      <w:r>
        <w:rPr>
          <w:rFonts w:hint="eastAsia"/>
          <w:color w:val="0000FF"/>
        </w:rPr>
        <w:t>第</w:t>
      </w:r>
      <w:r>
        <w:rPr>
          <w:rFonts w:hint="eastAsia"/>
          <w:color w:val="0000FF"/>
        </w:rPr>
        <w:t>2</w:t>
      </w:r>
      <w:r>
        <w:rPr>
          <w:rFonts w:hint="eastAsia"/>
          <w:color w:val="0000FF"/>
        </w:rPr>
        <w:t>条自然恢复期为施工扰动结束后，不采取水土保持措施的情况下</w:t>
      </w:r>
      <w:r>
        <w:rPr>
          <w:rFonts w:hint="eastAsia"/>
          <w:color w:val="0000FF"/>
        </w:rPr>
        <w:t>,</w:t>
      </w:r>
      <w:r>
        <w:rPr>
          <w:rFonts w:hint="eastAsia"/>
          <w:color w:val="0000FF"/>
        </w:rPr>
        <w:t>土壤侵蚀强度自然恢复到扰动前土壤侵蚀强度所需要的时间，应根据当地自然条件确定，一般情况下湿润区取</w:t>
      </w:r>
      <w:r>
        <w:rPr>
          <w:rFonts w:hint="eastAsia"/>
          <w:color w:val="0000FF"/>
        </w:rPr>
        <w:t>2</w:t>
      </w:r>
      <w:r>
        <w:rPr>
          <w:rFonts w:hint="eastAsia"/>
          <w:color w:val="0000FF"/>
        </w:rPr>
        <w:t>年，半湿润区取</w:t>
      </w:r>
      <w:r>
        <w:rPr>
          <w:rFonts w:hint="eastAsia"/>
          <w:color w:val="0000FF"/>
        </w:rPr>
        <w:t>3</w:t>
      </w:r>
      <w:r>
        <w:rPr>
          <w:rFonts w:hint="eastAsia"/>
          <w:color w:val="0000FF"/>
        </w:rPr>
        <w:t>年，干旱半干旱区取</w:t>
      </w:r>
      <w:r>
        <w:rPr>
          <w:rFonts w:hint="eastAsia"/>
          <w:color w:val="0000FF"/>
        </w:rPr>
        <w:t>5</w:t>
      </w:r>
      <w:r>
        <w:rPr>
          <w:rFonts w:hint="eastAsia"/>
          <w:color w:val="0000FF"/>
        </w:rPr>
        <w:t>年。</w:t>
      </w:r>
      <w:r>
        <w:rPr>
          <w:color w:val="0000FF"/>
        </w:rPr>
        <w:t>结合方案设计水平年，确定自然恢复期预测时段为</w:t>
      </w:r>
      <w:r>
        <w:rPr>
          <w:rFonts w:hint="eastAsia"/>
          <w:color w:val="0000FF"/>
        </w:rPr>
        <w:t>2</w:t>
      </w:r>
      <w:r>
        <w:rPr>
          <w:color w:val="0000FF"/>
        </w:rPr>
        <w:t>年。</w:t>
      </w:r>
    </w:p>
    <w:p w:rsidR="006C378F" w:rsidRDefault="00E12213">
      <w:pPr>
        <w:pStyle w:val="3"/>
        <w:widowControl/>
        <w:spacing w:beforeLines="50" w:before="120"/>
        <w:rPr>
          <w:szCs w:val="28"/>
          <w:lang w:val="zh-CN"/>
        </w:rPr>
      </w:pPr>
      <w:r>
        <w:rPr>
          <w:rFonts w:hint="eastAsia"/>
          <w:szCs w:val="28"/>
        </w:rPr>
        <w:t>4</w:t>
      </w:r>
      <w:r>
        <w:rPr>
          <w:szCs w:val="28"/>
        </w:rPr>
        <w:t>.3.</w:t>
      </w:r>
      <w:r>
        <w:rPr>
          <w:rFonts w:hint="eastAsia"/>
          <w:szCs w:val="28"/>
        </w:rPr>
        <w:t>2</w:t>
      </w:r>
      <w:r>
        <w:rPr>
          <w:rFonts w:hint="eastAsia"/>
          <w:szCs w:val="28"/>
          <w:lang w:val="zh-CN"/>
        </w:rPr>
        <w:t>调查范围</w:t>
      </w:r>
    </w:p>
    <w:p w:rsidR="006C378F" w:rsidRDefault="00E12213">
      <w:pPr>
        <w:pStyle w:val="13"/>
        <w:ind w:firstLine="480"/>
        <w:rPr>
          <w:color w:val="0000FF"/>
          <w:szCs w:val="22"/>
        </w:rPr>
      </w:pPr>
      <w:r>
        <w:rPr>
          <w:color w:val="0000FF"/>
          <w:szCs w:val="22"/>
        </w:rPr>
        <w:t>根据对工程施工情况的调查回顾，工程施工扰动面积。根据工程特性及占地类型、施工进度及施工方式上的差别，将水土流失</w:t>
      </w:r>
      <w:r>
        <w:rPr>
          <w:rFonts w:hint="eastAsia"/>
          <w:color w:val="0000FF"/>
          <w:szCs w:val="22"/>
        </w:rPr>
        <w:t>调查</w:t>
      </w:r>
      <w:r>
        <w:rPr>
          <w:color w:val="0000FF"/>
          <w:szCs w:val="22"/>
        </w:rPr>
        <w:t>单元划分为：</w:t>
      </w:r>
      <w:r>
        <w:rPr>
          <w:rFonts w:hint="eastAsia"/>
          <w:color w:val="0000FF"/>
          <w:szCs w:val="22"/>
        </w:rPr>
        <w:t>建构筑物区和配套设施区</w:t>
      </w:r>
      <w:r>
        <w:rPr>
          <w:color w:val="0000FF"/>
          <w:szCs w:val="22"/>
        </w:rPr>
        <w:t>。施工准备及施工期调查范围为整个工程建设所占用和扰动区域，调查面积为</w:t>
      </w:r>
      <w:r>
        <w:rPr>
          <w:rFonts w:hint="eastAsia"/>
          <w:color w:val="0000FF"/>
          <w:szCs w:val="22"/>
        </w:rPr>
        <w:t>0.80</w:t>
      </w:r>
      <w:r>
        <w:rPr>
          <w:color w:val="0000FF"/>
          <w:szCs w:val="22"/>
        </w:rPr>
        <w:t>hm</w:t>
      </w:r>
      <w:r>
        <w:rPr>
          <w:color w:val="0000FF"/>
          <w:szCs w:val="22"/>
          <w:vertAlign w:val="superscript"/>
        </w:rPr>
        <w:t>2</w:t>
      </w:r>
      <w:r>
        <w:rPr>
          <w:color w:val="0000FF"/>
          <w:szCs w:val="22"/>
        </w:rPr>
        <w:t>；在自然恢复期，项目区绝大部分为建构筑物及硬化地面所覆盖，方案对硬化区域不再调查，自然恢复期调查范围主要为景观绿化区域占地面积</w:t>
      </w:r>
      <w:r>
        <w:rPr>
          <w:color w:val="0000FF"/>
          <w:szCs w:val="22"/>
        </w:rPr>
        <w:t>0.</w:t>
      </w:r>
      <w:r>
        <w:rPr>
          <w:rFonts w:hint="eastAsia"/>
          <w:color w:val="0000FF"/>
          <w:szCs w:val="22"/>
        </w:rPr>
        <w:t>05</w:t>
      </w:r>
      <w:r>
        <w:rPr>
          <w:color w:val="0000FF"/>
          <w:szCs w:val="22"/>
        </w:rPr>
        <w:t>hm</w:t>
      </w:r>
      <w:r>
        <w:rPr>
          <w:color w:val="0000FF"/>
          <w:szCs w:val="22"/>
          <w:vertAlign w:val="superscript"/>
        </w:rPr>
        <w:t>2</w:t>
      </w:r>
      <w:r>
        <w:rPr>
          <w:color w:val="0000FF"/>
          <w:szCs w:val="22"/>
        </w:rPr>
        <w:t>。</w:t>
      </w:r>
    </w:p>
    <w:p w:rsidR="006C378F" w:rsidRDefault="00E12213">
      <w:pPr>
        <w:pStyle w:val="3"/>
        <w:widowControl/>
        <w:spacing w:beforeLines="50" w:before="120"/>
        <w:rPr>
          <w:szCs w:val="28"/>
          <w:lang w:val="zh-CN"/>
        </w:rPr>
      </w:pPr>
      <w:r>
        <w:rPr>
          <w:rFonts w:hint="eastAsia"/>
          <w:szCs w:val="28"/>
        </w:rPr>
        <w:t>4</w:t>
      </w:r>
      <w:r>
        <w:rPr>
          <w:szCs w:val="28"/>
        </w:rPr>
        <w:t>.3.3</w:t>
      </w:r>
      <w:bookmarkEnd w:id="177"/>
      <w:bookmarkEnd w:id="178"/>
      <w:bookmarkEnd w:id="179"/>
      <w:bookmarkEnd w:id="180"/>
      <w:bookmarkEnd w:id="181"/>
      <w:bookmarkEnd w:id="182"/>
      <w:bookmarkEnd w:id="183"/>
      <w:bookmarkEnd w:id="184"/>
      <w:bookmarkEnd w:id="185"/>
      <w:r>
        <w:rPr>
          <w:szCs w:val="28"/>
          <w:lang w:val="zh-CN"/>
        </w:rPr>
        <w:t>土壤侵蚀模数</w:t>
      </w:r>
    </w:p>
    <w:p w:rsidR="006C378F" w:rsidRDefault="00E12213">
      <w:pPr>
        <w:spacing w:line="360" w:lineRule="auto"/>
        <w:ind w:firstLineChars="200" w:firstLine="480"/>
        <w:rPr>
          <w:szCs w:val="24"/>
        </w:rPr>
      </w:pPr>
      <w:bookmarkStart w:id="186" w:name="_Toc225656896"/>
      <w:r>
        <w:rPr>
          <w:szCs w:val="24"/>
        </w:rPr>
        <w:t>一、预测内容</w:t>
      </w:r>
      <w:bookmarkEnd w:id="186"/>
      <w:r>
        <w:rPr>
          <w:szCs w:val="24"/>
        </w:rPr>
        <w:t>及方法</w:t>
      </w:r>
    </w:p>
    <w:p w:rsidR="006C378F" w:rsidRDefault="00E12213">
      <w:pPr>
        <w:spacing w:line="360" w:lineRule="auto"/>
        <w:ind w:firstLineChars="200" w:firstLine="480"/>
        <w:rPr>
          <w:szCs w:val="24"/>
        </w:rPr>
      </w:pPr>
      <w:r>
        <w:rPr>
          <w:szCs w:val="24"/>
        </w:rPr>
        <w:t>（</w:t>
      </w:r>
      <w:r>
        <w:rPr>
          <w:szCs w:val="24"/>
        </w:rPr>
        <w:t>1</w:t>
      </w:r>
      <w:r>
        <w:rPr>
          <w:szCs w:val="24"/>
        </w:rPr>
        <w:t>）扰动地表面积</w:t>
      </w:r>
    </w:p>
    <w:p w:rsidR="006C378F" w:rsidRDefault="00E12213">
      <w:pPr>
        <w:spacing w:line="360" w:lineRule="auto"/>
        <w:ind w:firstLineChars="200" w:firstLine="480"/>
        <w:rPr>
          <w:szCs w:val="24"/>
        </w:rPr>
      </w:pPr>
      <w:r>
        <w:rPr>
          <w:szCs w:val="24"/>
        </w:rPr>
        <w:t>根据主体工程设计资料，对项目区进行了实地调查，经统计分析，确定实际扰动的地表面积。</w:t>
      </w:r>
    </w:p>
    <w:p w:rsidR="006C378F" w:rsidRDefault="00E12213">
      <w:pPr>
        <w:spacing w:line="360" w:lineRule="auto"/>
        <w:ind w:firstLineChars="200" w:firstLine="480"/>
        <w:rPr>
          <w:szCs w:val="24"/>
        </w:rPr>
      </w:pPr>
      <w:r>
        <w:rPr>
          <w:szCs w:val="24"/>
        </w:rPr>
        <w:t>（</w:t>
      </w:r>
      <w:r>
        <w:rPr>
          <w:szCs w:val="24"/>
        </w:rPr>
        <w:t>2</w:t>
      </w:r>
      <w:r>
        <w:rPr>
          <w:szCs w:val="24"/>
        </w:rPr>
        <w:t>）弃渣量</w:t>
      </w:r>
    </w:p>
    <w:p w:rsidR="006C378F" w:rsidRDefault="00E12213">
      <w:pPr>
        <w:spacing w:line="360" w:lineRule="auto"/>
        <w:ind w:firstLineChars="200" w:firstLine="480"/>
        <w:rPr>
          <w:szCs w:val="24"/>
        </w:rPr>
      </w:pPr>
      <w:r>
        <w:rPr>
          <w:szCs w:val="24"/>
        </w:rPr>
        <w:t>通过查阅主体工程设计资料，根据工程的开挖回填量，结合施工组织设计、土石方平衡分析等，对各分区产生的弃渣量进行预测。</w:t>
      </w:r>
    </w:p>
    <w:p w:rsidR="006C378F" w:rsidRDefault="00E12213">
      <w:pPr>
        <w:spacing w:line="360" w:lineRule="auto"/>
        <w:ind w:firstLineChars="200" w:firstLine="480"/>
        <w:rPr>
          <w:szCs w:val="24"/>
        </w:rPr>
      </w:pPr>
      <w:r>
        <w:rPr>
          <w:szCs w:val="24"/>
        </w:rPr>
        <w:t>（</w:t>
      </w:r>
      <w:r>
        <w:rPr>
          <w:szCs w:val="24"/>
        </w:rPr>
        <w:t>3</w:t>
      </w:r>
      <w:r>
        <w:rPr>
          <w:szCs w:val="24"/>
        </w:rPr>
        <w:t>）水土流失量</w:t>
      </w:r>
    </w:p>
    <w:p w:rsidR="006C378F" w:rsidRDefault="00E12213">
      <w:pPr>
        <w:spacing w:line="360" w:lineRule="auto"/>
        <w:ind w:firstLineChars="200" w:firstLine="480"/>
        <w:rPr>
          <w:szCs w:val="24"/>
        </w:rPr>
      </w:pPr>
      <w:r>
        <w:rPr>
          <w:szCs w:val="24"/>
        </w:rPr>
        <w:lastRenderedPageBreak/>
        <w:t>水土流失量预测采用侵蚀模数法进行水土流失预测。计算公式如下：</w:t>
      </w:r>
    </w:p>
    <w:p w:rsidR="006C378F" w:rsidRDefault="00E12213">
      <w:pPr>
        <w:spacing w:line="360" w:lineRule="auto"/>
        <w:ind w:firstLineChars="200" w:firstLine="480"/>
        <w:rPr>
          <w:szCs w:val="24"/>
        </w:rPr>
      </w:pPr>
      <w:r>
        <w:rPr>
          <w:szCs w:val="24"/>
        </w:rPr>
        <w:object w:dxaOrig="2811" w:dyaOrig="6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0.55pt;height:32.55pt" o:ole="">
            <v:imagedata r:id="rId19" o:title=""/>
          </v:shape>
          <o:OLEObject Type="Embed" ProgID="Equation.3" ShapeID="_x0000_i1025" DrawAspect="Content" ObjectID="_1680438887" r:id="rId20"/>
        </w:object>
      </w:r>
    </w:p>
    <w:p w:rsidR="006C378F" w:rsidRDefault="00E12213">
      <w:pPr>
        <w:spacing w:line="360" w:lineRule="auto"/>
        <w:ind w:firstLineChars="200" w:firstLine="480"/>
        <w:rPr>
          <w:szCs w:val="24"/>
        </w:rPr>
      </w:pPr>
      <w:r>
        <w:rPr>
          <w:szCs w:val="24"/>
        </w:rPr>
        <w:object w:dxaOrig="3189" w:dyaOrig="651">
          <v:shape id="_x0000_i1026" type="#_x0000_t75" style="width:159.45pt;height:32.55pt" o:ole="">
            <v:imagedata r:id="rId21" o:title=""/>
          </v:shape>
          <o:OLEObject Type="Embed" ProgID="Equation.3" ShapeID="_x0000_i1026" DrawAspect="Content" ObjectID="_1680438888" r:id="rId22"/>
        </w:object>
      </w:r>
    </w:p>
    <w:p w:rsidR="006C378F" w:rsidRDefault="00E12213">
      <w:pPr>
        <w:spacing w:line="360" w:lineRule="auto"/>
        <w:ind w:firstLineChars="200" w:firstLine="480"/>
        <w:rPr>
          <w:szCs w:val="24"/>
        </w:rPr>
      </w:pPr>
      <w:r>
        <w:rPr>
          <w:szCs w:val="24"/>
        </w:rPr>
        <w:t>式中：</w:t>
      </w:r>
      <w:r>
        <w:rPr>
          <w:szCs w:val="24"/>
        </w:rPr>
        <w:t>W——</w:t>
      </w:r>
      <w:r>
        <w:rPr>
          <w:szCs w:val="24"/>
        </w:rPr>
        <w:t>土壤流失量，</w:t>
      </w:r>
      <w:r>
        <w:rPr>
          <w:szCs w:val="24"/>
        </w:rPr>
        <w:t>t</w:t>
      </w:r>
      <w:r>
        <w:rPr>
          <w:szCs w:val="24"/>
        </w:rPr>
        <w:t>；</w:t>
      </w:r>
    </w:p>
    <w:p w:rsidR="006C378F" w:rsidRDefault="00E12213">
      <w:pPr>
        <w:spacing w:line="360" w:lineRule="auto"/>
        <w:ind w:firstLineChars="200" w:firstLine="480"/>
        <w:rPr>
          <w:szCs w:val="24"/>
        </w:rPr>
      </w:pPr>
      <w:r>
        <w:rPr>
          <w:szCs w:val="24"/>
        </w:rPr>
        <w:t>ΔW——</w:t>
      </w:r>
      <w:r>
        <w:rPr>
          <w:szCs w:val="24"/>
        </w:rPr>
        <w:t>新增土壤流失量，</w:t>
      </w:r>
      <w:r>
        <w:rPr>
          <w:szCs w:val="24"/>
        </w:rPr>
        <w:t>t</w:t>
      </w:r>
      <w:r>
        <w:rPr>
          <w:szCs w:val="24"/>
        </w:rPr>
        <w:t>；</w:t>
      </w:r>
    </w:p>
    <w:p w:rsidR="006C378F" w:rsidRDefault="00E12213">
      <w:pPr>
        <w:spacing w:line="360" w:lineRule="auto"/>
        <w:ind w:firstLineChars="200" w:firstLine="480"/>
        <w:rPr>
          <w:szCs w:val="24"/>
        </w:rPr>
      </w:pPr>
      <w:r>
        <w:rPr>
          <w:szCs w:val="24"/>
        </w:rPr>
        <w:t>Fji——</w:t>
      </w:r>
      <w:r>
        <w:rPr>
          <w:szCs w:val="24"/>
        </w:rPr>
        <w:t>某时段某单元的预测面积，</w:t>
      </w:r>
      <w:r>
        <w:rPr>
          <w:szCs w:val="24"/>
        </w:rPr>
        <w:t>km</w:t>
      </w:r>
      <w:r>
        <w:rPr>
          <w:szCs w:val="24"/>
          <w:vertAlign w:val="superscript"/>
        </w:rPr>
        <w:t>2</w:t>
      </w:r>
      <w:r>
        <w:rPr>
          <w:szCs w:val="24"/>
        </w:rPr>
        <w:t>；</w:t>
      </w:r>
    </w:p>
    <w:p w:rsidR="006C378F" w:rsidRDefault="00E12213">
      <w:pPr>
        <w:spacing w:line="360" w:lineRule="auto"/>
        <w:ind w:firstLineChars="200" w:firstLine="480"/>
        <w:rPr>
          <w:szCs w:val="24"/>
        </w:rPr>
      </w:pPr>
      <w:r>
        <w:rPr>
          <w:szCs w:val="24"/>
        </w:rPr>
        <w:t>Mji——</w:t>
      </w:r>
      <w:r>
        <w:rPr>
          <w:szCs w:val="24"/>
        </w:rPr>
        <w:t>某时段某单元的土壤侵蚀模数，</w:t>
      </w:r>
      <w:r>
        <w:rPr>
          <w:szCs w:val="24"/>
        </w:rPr>
        <w:t>t/(km</w:t>
      </w:r>
      <w:r>
        <w:rPr>
          <w:szCs w:val="24"/>
          <w:vertAlign w:val="superscript"/>
        </w:rPr>
        <w:t>2</w:t>
      </w:r>
      <w:r>
        <w:rPr>
          <w:szCs w:val="24"/>
        </w:rPr>
        <w:t>·a)</w:t>
      </w:r>
      <w:r>
        <w:rPr>
          <w:szCs w:val="24"/>
        </w:rPr>
        <w:t>；</w:t>
      </w:r>
    </w:p>
    <w:p w:rsidR="006C378F" w:rsidRDefault="00E12213">
      <w:pPr>
        <w:spacing w:line="360" w:lineRule="auto"/>
        <w:ind w:firstLineChars="200" w:firstLine="480"/>
        <w:rPr>
          <w:szCs w:val="24"/>
        </w:rPr>
      </w:pPr>
      <w:r>
        <w:rPr>
          <w:szCs w:val="24"/>
        </w:rPr>
        <w:t>ΔMji——</w:t>
      </w:r>
      <w:r>
        <w:rPr>
          <w:szCs w:val="24"/>
        </w:rPr>
        <w:t>某时段某单元的新增土壤侵蚀模数，</w:t>
      </w:r>
      <w:r>
        <w:rPr>
          <w:szCs w:val="24"/>
        </w:rPr>
        <w:t>t/(km</w:t>
      </w:r>
      <w:r>
        <w:rPr>
          <w:szCs w:val="24"/>
          <w:vertAlign w:val="superscript"/>
        </w:rPr>
        <w:t>2</w:t>
      </w:r>
      <w:r>
        <w:rPr>
          <w:szCs w:val="24"/>
        </w:rPr>
        <w:t>·a)</w:t>
      </w:r>
      <w:r>
        <w:rPr>
          <w:szCs w:val="24"/>
        </w:rPr>
        <w:t>，只计正值，负值按</w:t>
      </w:r>
      <w:r>
        <w:rPr>
          <w:szCs w:val="24"/>
        </w:rPr>
        <w:t>0</w:t>
      </w:r>
      <w:r>
        <w:rPr>
          <w:szCs w:val="24"/>
        </w:rPr>
        <w:t>计；</w:t>
      </w:r>
    </w:p>
    <w:p w:rsidR="006C378F" w:rsidRDefault="00E12213">
      <w:pPr>
        <w:spacing w:line="360" w:lineRule="auto"/>
        <w:ind w:firstLineChars="200" w:firstLine="480"/>
        <w:rPr>
          <w:szCs w:val="24"/>
        </w:rPr>
      </w:pPr>
      <w:r>
        <w:rPr>
          <w:szCs w:val="24"/>
        </w:rPr>
        <w:t>Tji——</w:t>
      </w:r>
      <w:r>
        <w:rPr>
          <w:szCs w:val="24"/>
        </w:rPr>
        <w:t>某时段某单元的预测时间，</w:t>
      </w:r>
      <w:r>
        <w:rPr>
          <w:szCs w:val="24"/>
        </w:rPr>
        <w:t>a</w:t>
      </w:r>
      <w:r>
        <w:rPr>
          <w:szCs w:val="24"/>
        </w:rPr>
        <w:t>。</w:t>
      </w:r>
    </w:p>
    <w:p w:rsidR="006C378F" w:rsidRDefault="00E12213">
      <w:pPr>
        <w:spacing w:line="360" w:lineRule="auto"/>
        <w:ind w:firstLineChars="200" w:firstLine="480"/>
        <w:rPr>
          <w:szCs w:val="24"/>
        </w:rPr>
      </w:pPr>
      <w:r>
        <w:rPr>
          <w:szCs w:val="24"/>
        </w:rPr>
        <w:t>i——</w:t>
      </w:r>
      <w:r>
        <w:rPr>
          <w:szCs w:val="24"/>
        </w:rPr>
        <w:t>预测单元，</w:t>
      </w:r>
      <w:r>
        <w:rPr>
          <w:szCs w:val="24"/>
        </w:rPr>
        <w:t>1</w:t>
      </w:r>
      <w:r>
        <w:rPr>
          <w:szCs w:val="24"/>
        </w:rPr>
        <w:t>，</w:t>
      </w:r>
      <w:r>
        <w:rPr>
          <w:szCs w:val="24"/>
        </w:rPr>
        <w:t>2</w:t>
      </w:r>
      <w:r>
        <w:rPr>
          <w:szCs w:val="24"/>
        </w:rPr>
        <w:t>，</w:t>
      </w:r>
      <w:r>
        <w:rPr>
          <w:szCs w:val="24"/>
        </w:rPr>
        <w:t>3</w:t>
      </w:r>
      <w:r>
        <w:rPr>
          <w:szCs w:val="24"/>
        </w:rPr>
        <w:t>，</w:t>
      </w:r>
      <w:r>
        <w:rPr>
          <w:szCs w:val="24"/>
        </w:rPr>
        <w:t>……n</w:t>
      </w:r>
      <w:r>
        <w:rPr>
          <w:szCs w:val="24"/>
        </w:rPr>
        <w:t>；</w:t>
      </w:r>
    </w:p>
    <w:p w:rsidR="006C378F" w:rsidRDefault="00E12213">
      <w:pPr>
        <w:spacing w:line="360" w:lineRule="auto"/>
        <w:ind w:firstLineChars="200" w:firstLine="480"/>
        <w:rPr>
          <w:szCs w:val="24"/>
        </w:rPr>
      </w:pPr>
      <w:r>
        <w:rPr>
          <w:szCs w:val="24"/>
        </w:rPr>
        <w:t>j——</w:t>
      </w:r>
      <w:r>
        <w:rPr>
          <w:szCs w:val="24"/>
        </w:rPr>
        <w:t>预测时段，</w:t>
      </w:r>
      <w:r>
        <w:rPr>
          <w:szCs w:val="24"/>
        </w:rPr>
        <w:t>1</w:t>
      </w:r>
      <w:r>
        <w:rPr>
          <w:szCs w:val="24"/>
        </w:rPr>
        <w:t>，</w:t>
      </w:r>
      <w:r>
        <w:rPr>
          <w:szCs w:val="24"/>
        </w:rPr>
        <w:t>2</w:t>
      </w:r>
      <w:r>
        <w:rPr>
          <w:szCs w:val="24"/>
        </w:rPr>
        <w:t>，指施工期、自然恢复期；</w:t>
      </w:r>
    </w:p>
    <w:p w:rsidR="006C378F" w:rsidRDefault="00E12213">
      <w:pPr>
        <w:spacing w:line="360" w:lineRule="auto"/>
        <w:ind w:firstLineChars="200" w:firstLine="480"/>
        <w:rPr>
          <w:szCs w:val="24"/>
        </w:rPr>
      </w:pPr>
      <w:r>
        <w:rPr>
          <w:szCs w:val="24"/>
        </w:rPr>
        <w:t>（</w:t>
      </w:r>
      <w:r>
        <w:rPr>
          <w:szCs w:val="24"/>
        </w:rPr>
        <w:t>4</w:t>
      </w:r>
      <w:r>
        <w:rPr>
          <w:szCs w:val="24"/>
        </w:rPr>
        <w:t>）水土流失危害</w:t>
      </w:r>
    </w:p>
    <w:p w:rsidR="006C378F" w:rsidRDefault="00E12213">
      <w:pPr>
        <w:spacing w:line="360" w:lineRule="auto"/>
        <w:ind w:firstLineChars="200" w:firstLine="480"/>
        <w:rPr>
          <w:szCs w:val="24"/>
        </w:rPr>
      </w:pPr>
      <w:r>
        <w:rPr>
          <w:szCs w:val="24"/>
        </w:rPr>
        <w:t>根据本工程的布局、施工工艺以及项目区地形地貌等，结合实地调查分析，分析可能造成的水土流失危害。</w:t>
      </w:r>
    </w:p>
    <w:p w:rsidR="006C378F" w:rsidRDefault="00E12213">
      <w:pPr>
        <w:spacing w:line="360" w:lineRule="auto"/>
        <w:ind w:firstLineChars="200" w:firstLine="480"/>
        <w:rPr>
          <w:color w:val="0000FF"/>
          <w:szCs w:val="24"/>
        </w:rPr>
      </w:pPr>
      <w:r>
        <w:rPr>
          <w:color w:val="0000FF"/>
          <w:szCs w:val="24"/>
        </w:rPr>
        <w:t>二、</w:t>
      </w:r>
      <w:r>
        <w:rPr>
          <w:rFonts w:hint="eastAsia"/>
          <w:color w:val="0000FF"/>
          <w:szCs w:val="24"/>
        </w:rPr>
        <w:t>侵蚀模</w:t>
      </w:r>
      <w:r>
        <w:rPr>
          <w:color w:val="0000FF"/>
          <w:szCs w:val="24"/>
        </w:rPr>
        <w:t>数</w:t>
      </w:r>
    </w:p>
    <w:p w:rsidR="006C378F" w:rsidRDefault="00E12213">
      <w:pPr>
        <w:spacing w:line="360" w:lineRule="auto"/>
        <w:ind w:firstLineChars="200" w:firstLine="480"/>
        <w:rPr>
          <w:kern w:val="28"/>
          <w:szCs w:val="24"/>
        </w:rPr>
      </w:pPr>
      <w:r>
        <w:rPr>
          <w:kern w:val="28"/>
          <w:szCs w:val="24"/>
        </w:rPr>
        <w:t>（</w:t>
      </w:r>
      <w:r>
        <w:rPr>
          <w:kern w:val="28"/>
          <w:szCs w:val="24"/>
        </w:rPr>
        <w:t>1</w:t>
      </w:r>
      <w:r>
        <w:rPr>
          <w:kern w:val="28"/>
          <w:szCs w:val="24"/>
        </w:rPr>
        <w:t>）原地表侵蚀模数</w:t>
      </w:r>
    </w:p>
    <w:p w:rsidR="006C378F" w:rsidRDefault="00E12213">
      <w:pPr>
        <w:spacing w:line="360" w:lineRule="auto"/>
        <w:ind w:firstLineChars="200" w:firstLine="480"/>
        <w:rPr>
          <w:color w:val="0000FF"/>
          <w:szCs w:val="24"/>
        </w:rPr>
      </w:pPr>
      <w:r>
        <w:rPr>
          <w:color w:val="0000FF"/>
          <w:kern w:val="28"/>
          <w:szCs w:val="24"/>
          <w:lang w:val="zh-CN"/>
        </w:rPr>
        <w:t>原地表土壤侵蚀模数采用调查得到的侵蚀模数。通过对项目建设区水土流失现状调查，根据水土流失因子调查表，参照《土壤侵蚀分类分级标准》，计算出各预测单元的原地表土壤侵蚀模数，</w:t>
      </w:r>
      <w:r>
        <w:rPr>
          <w:color w:val="0000FF"/>
          <w:szCs w:val="24"/>
        </w:rPr>
        <w:t>平均土壤侵蚀模数为</w:t>
      </w:r>
      <w:r>
        <w:rPr>
          <w:rFonts w:hint="eastAsia"/>
          <w:color w:val="0000FF"/>
          <w:szCs w:val="24"/>
        </w:rPr>
        <w:t>519</w:t>
      </w:r>
      <w:r>
        <w:rPr>
          <w:color w:val="0000FF"/>
          <w:szCs w:val="24"/>
        </w:rPr>
        <w:t>t/(km</w:t>
      </w:r>
      <w:r>
        <w:rPr>
          <w:color w:val="0000FF"/>
          <w:szCs w:val="24"/>
          <w:vertAlign w:val="superscript"/>
        </w:rPr>
        <w:t>2</w:t>
      </w:r>
      <w:r>
        <w:rPr>
          <w:color w:val="0000FF"/>
          <w:szCs w:val="24"/>
        </w:rPr>
        <w:t>·a)</w:t>
      </w:r>
      <w:r>
        <w:rPr>
          <w:color w:val="0000FF"/>
          <w:szCs w:val="24"/>
        </w:rPr>
        <w:t>。</w:t>
      </w:r>
    </w:p>
    <w:p w:rsidR="006C378F" w:rsidRDefault="00E12213">
      <w:pPr>
        <w:spacing w:line="360" w:lineRule="auto"/>
        <w:ind w:firstLineChars="200" w:firstLine="480"/>
        <w:rPr>
          <w:kern w:val="28"/>
          <w:szCs w:val="24"/>
        </w:rPr>
      </w:pPr>
      <w:r>
        <w:rPr>
          <w:kern w:val="28"/>
          <w:szCs w:val="24"/>
        </w:rPr>
        <w:t>（</w:t>
      </w:r>
      <w:r>
        <w:rPr>
          <w:kern w:val="28"/>
          <w:szCs w:val="24"/>
        </w:rPr>
        <w:t>2</w:t>
      </w:r>
      <w:r>
        <w:rPr>
          <w:kern w:val="28"/>
          <w:szCs w:val="24"/>
        </w:rPr>
        <w:t>）自然恢复期侵蚀模数</w:t>
      </w:r>
    </w:p>
    <w:p w:rsidR="006C378F" w:rsidRDefault="00E12213">
      <w:pPr>
        <w:widowControl/>
        <w:autoSpaceDE w:val="0"/>
        <w:autoSpaceDN w:val="0"/>
        <w:spacing w:line="360" w:lineRule="auto"/>
        <w:ind w:firstLineChars="200" w:firstLine="480"/>
        <w:rPr>
          <w:kern w:val="28"/>
          <w:szCs w:val="24"/>
          <w:lang w:val="zh-CN"/>
        </w:rPr>
      </w:pPr>
      <w:r>
        <w:rPr>
          <w:szCs w:val="24"/>
        </w:rPr>
        <w:t>自然恢复期即指各单元施工扰动结束后未采取水土保持措施条件下，松散裸露面逐步趋于稳定、植被自然恢复，土壤侵蚀强度减弱并接近原背景值所需的时间。在这期间，空闲地和未治理区域在初期林草覆盖率短时间内很小，不能减缓雨滴对地表的溅蚀，拦蓄径流对地表冲刷。预测时采用侵蚀模数法进行，依据实施的植物措施后期生长情况，定期对水土流失情况进行调查，再结合项目区的植物措施实施地点的立地条件等各因素以及经验分析，确定自然恢复期各防治分区的侵蚀强度及其侵蚀模数</w:t>
      </w:r>
      <w:r>
        <w:rPr>
          <w:kern w:val="28"/>
          <w:szCs w:val="24"/>
          <w:lang w:val="zh-CN"/>
        </w:rPr>
        <w:t>。</w:t>
      </w:r>
      <w:r>
        <w:rPr>
          <w:rFonts w:hint="eastAsia"/>
          <w:kern w:val="28"/>
          <w:szCs w:val="24"/>
          <w:lang w:val="zh-CN"/>
        </w:rPr>
        <w:t xml:space="preserve"> </w:t>
      </w:r>
    </w:p>
    <w:p w:rsidR="006C378F" w:rsidRDefault="00E12213">
      <w:pPr>
        <w:pStyle w:val="3"/>
        <w:widowControl/>
        <w:rPr>
          <w:bCs/>
          <w:position w:val="4"/>
          <w:sz w:val="30"/>
          <w:szCs w:val="30"/>
          <w:lang w:val="zh-CN"/>
        </w:rPr>
      </w:pPr>
      <w:bookmarkStart w:id="187" w:name="_Toc32421"/>
      <w:bookmarkStart w:id="188" w:name="_Toc11376"/>
      <w:r>
        <w:rPr>
          <w:rFonts w:hint="eastAsia"/>
          <w:bCs/>
          <w:position w:val="4"/>
          <w:sz w:val="30"/>
          <w:szCs w:val="30"/>
        </w:rPr>
        <w:t>4</w:t>
      </w:r>
      <w:r>
        <w:rPr>
          <w:bCs/>
          <w:position w:val="4"/>
          <w:sz w:val="30"/>
          <w:szCs w:val="30"/>
        </w:rPr>
        <w:t>.3.4</w:t>
      </w:r>
      <w:r>
        <w:rPr>
          <w:rFonts w:hint="eastAsia"/>
          <w:bCs/>
          <w:position w:val="4"/>
          <w:sz w:val="30"/>
          <w:szCs w:val="30"/>
        </w:rPr>
        <w:t>水土流失</w:t>
      </w:r>
      <w:r>
        <w:rPr>
          <w:rFonts w:hint="eastAsia"/>
          <w:bCs/>
          <w:position w:val="4"/>
          <w:sz w:val="30"/>
          <w:szCs w:val="30"/>
          <w:lang w:val="zh-CN"/>
        </w:rPr>
        <w:t>调查</w:t>
      </w:r>
      <w:r>
        <w:rPr>
          <w:bCs/>
          <w:position w:val="4"/>
          <w:sz w:val="30"/>
          <w:szCs w:val="30"/>
          <w:lang w:val="zh-CN"/>
        </w:rPr>
        <w:t>结果</w:t>
      </w:r>
      <w:bookmarkEnd w:id="187"/>
      <w:bookmarkEnd w:id="188"/>
    </w:p>
    <w:p w:rsidR="006C378F" w:rsidRDefault="00E12213">
      <w:pPr>
        <w:spacing w:line="500" w:lineRule="exact"/>
        <w:ind w:firstLineChars="200" w:firstLine="480"/>
        <w:rPr>
          <w:color w:val="000000" w:themeColor="text1"/>
        </w:rPr>
      </w:pPr>
      <w:r>
        <w:rPr>
          <w:color w:val="000000" w:themeColor="text1"/>
        </w:rPr>
        <w:t>根据以上水土流失调查分区和时段，</w:t>
      </w:r>
      <w:r>
        <w:rPr>
          <w:rFonts w:hint="eastAsia"/>
          <w:color w:val="000000" w:themeColor="text1"/>
        </w:rPr>
        <w:t>计算</w:t>
      </w:r>
      <w:r>
        <w:rPr>
          <w:color w:val="000000" w:themeColor="text1"/>
        </w:rPr>
        <w:t>项目各分区在各调查时段水土流失量的统</w:t>
      </w:r>
      <w:r>
        <w:rPr>
          <w:color w:val="000000" w:themeColor="text1"/>
        </w:rPr>
        <w:lastRenderedPageBreak/>
        <w:t>计表，具体详见表</w:t>
      </w:r>
      <w:r>
        <w:rPr>
          <w:rFonts w:hint="eastAsia"/>
          <w:color w:val="000000" w:themeColor="text1"/>
        </w:rPr>
        <w:t>4</w:t>
      </w:r>
      <w:r>
        <w:rPr>
          <w:color w:val="000000" w:themeColor="text1"/>
        </w:rPr>
        <w:t>-</w:t>
      </w:r>
      <w:r>
        <w:rPr>
          <w:rFonts w:hint="eastAsia"/>
          <w:color w:val="000000" w:themeColor="text1"/>
        </w:rPr>
        <w:t>4</w:t>
      </w:r>
      <w:r>
        <w:rPr>
          <w:color w:val="000000" w:themeColor="text1"/>
        </w:rPr>
        <w:t>。</w:t>
      </w:r>
    </w:p>
    <w:p w:rsidR="006C378F" w:rsidRDefault="00E12213">
      <w:pPr>
        <w:jc w:val="center"/>
        <w:rPr>
          <w:b/>
          <w:spacing w:val="4"/>
          <w:sz w:val="22"/>
          <w:szCs w:val="22"/>
        </w:rPr>
      </w:pPr>
      <w:r>
        <w:rPr>
          <w:b/>
          <w:spacing w:val="4"/>
          <w:sz w:val="22"/>
          <w:szCs w:val="22"/>
        </w:rPr>
        <w:t>表</w:t>
      </w:r>
      <w:r>
        <w:rPr>
          <w:b/>
          <w:spacing w:val="4"/>
          <w:sz w:val="22"/>
          <w:szCs w:val="22"/>
        </w:rPr>
        <w:t>4-</w:t>
      </w:r>
      <w:r>
        <w:rPr>
          <w:rFonts w:hint="eastAsia"/>
          <w:b/>
          <w:spacing w:val="4"/>
          <w:sz w:val="22"/>
          <w:szCs w:val="22"/>
        </w:rPr>
        <w:t>4</w:t>
      </w:r>
      <w:r>
        <w:rPr>
          <w:b/>
          <w:spacing w:val="4"/>
          <w:sz w:val="22"/>
          <w:szCs w:val="22"/>
        </w:rPr>
        <w:t xml:space="preserve">   </w:t>
      </w:r>
      <w:r>
        <w:rPr>
          <w:b/>
          <w:spacing w:val="4"/>
          <w:sz w:val="22"/>
          <w:szCs w:val="22"/>
        </w:rPr>
        <w:t>水土流失量</w:t>
      </w:r>
      <w:r>
        <w:rPr>
          <w:rFonts w:hint="eastAsia"/>
          <w:b/>
          <w:spacing w:val="4"/>
          <w:sz w:val="22"/>
          <w:szCs w:val="22"/>
        </w:rPr>
        <w:t>调查</w:t>
      </w:r>
      <w:r>
        <w:rPr>
          <w:b/>
          <w:spacing w:val="4"/>
          <w:sz w:val="22"/>
          <w:szCs w:val="22"/>
        </w:rPr>
        <w:t>统计表</w:t>
      </w:r>
    </w:p>
    <w:tbl>
      <w:tblPr>
        <w:tblW w:w="4996" w:type="pct"/>
        <w:tblLook w:val="04A0" w:firstRow="1" w:lastRow="0" w:firstColumn="1" w:lastColumn="0" w:noHBand="0" w:noVBand="1"/>
      </w:tblPr>
      <w:tblGrid>
        <w:gridCol w:w="893"/>
        <w:gridCol w:w="893"/>
        <w:gridCol w:w="971"/>
        <w:gridCol w:w="971"/>
        <w:gridCol w:w="894"/>
        <w:gridCol w:w="895"/>
        <w:gridCol w:w="895"/>
        <w:gridCol w:w="895"/>
        <w:gridCol w:w="895"/>
        <w:gridCol w:w="1077"/>
      </w:tblGrid>
      <w:tr w:rsidR="006C378F">
        <w:trPr>
          <w:trHeight w:val="915"/>
        </w:trPr>
        <w:tc>
          <w:tcPr>
            <w:tcW w:w="488" w:type="pct"/>
            <w:tcBorders>
              <w:top w:val="single" w:sz="8" w:space="0" w:color="000000"/>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18"/>
                <w:szCs w:val="18"/>
              </w:rPr>
            </w:pPr>
            <w:r>
              <w:rPr>
                <w:rFonts w:ascii="仿宋_GB2312" w:hAnsi="等线" w:cs="仿宋_GB2312"/>
                <w:color w:val="0000FF"/>
                <w:kern w:val="0"/>
                <w:sz w:val="18"/>
                <w:szCs w:val="18"/>
                <w:lang w:bidi="ar"/>
              </w:rPr>
              <w:t>调查时段</w:t>
            </w:r>
          </w:p>
        </w:tc>
        <w:tc>
          <w:tcPr>
            <w:tcW w:w="488" w:type="pct"/>
            <w:tcBorders>
              <w:top w:val="single" w:sz="8" w:space="0" w:color="000000"/>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18"/>
                <w:szCs w:val="18"/>
              </w:rPr>
            </w:pPr>
            <w:r>
              <w:rPr>
                <w:rFonts w:ascii="仿宋_GB2312" w:hAnsi="等线" w:cs="仿宋_GB2312"/>
                <w:color w:val="0000FF"/>
                <w:kern w:val="0"/>
                <w:sz w:val="18"/>
                <w:szCs w:val="18"/>
                <w:lang w:bidi="ar"/>
              </w:rPr>
              <w:t>调查单元</w:t>
            </w:r>
          </w:p>
        </w:tc>
        <w:tc>
          <w:tcPr>
            <w:tcW w:w="494" w:type="pct"/>
            <w:tcBorders>
              <w:top w:val="single" w:sz="8" w:space="0" w:color="000000"/>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18"/>
                <w:szCs w:val="18"/>
              </w:rPr>
            </w:pPr>
            <w:r>
              <w:rPr>
                <w:rFonts w:ascii="仿宋_GB2312" w:hAnsi="等线" w:cs="仿宋_GB2312"/>
                <w:color w:val="0000FF"/>
                <w:kern w:val="0"/>
                <w:sz w:val="18"/>
                <w:szCs w:val="18"/>
                <w:lang w:bidi="ar"/>
              </w:rPr>
              <w:t>土壤侵蚀模数背景值（</w:t>
            </w:r>
            <w:r>
              <w:rPr>
                <w:color w:val="0000FF"/>
                <w:kern w:val="0"/>
                <w:sz w:val="18"/>
                <w:szCs w:val="18"/>
                <w:lang w:bidi="ar"/>
              </w:rPr>
              <w:t>t/km</w:t>
            </w:r>
            <w:r>
              <w:rPr>
                <w:color w:val="0000FF"/>
                <w:kern w:val="0"/>
                <w:sz w:val="18"/>
                <w:szCs w:val="18"/>
                <w:vertAlign w:val="superscript"/>
                <w:lang w:bidi="ar"/>
              </w:rPr>
              <w:t>2</w:t>
            </w:r>
            <w:r>
              <w:rPr>
                <w:color w:val="0000FF"/>
                <w:kern w:val="0"/>
                <w:sz w:val="18"/>
                <w:szCs w:val="18"/>
                <w:lang w:bidi="ar"/>
              </w:rPr>
              <w:t>.a)</w:t>
            </w:r>
          </w:p>
        </w:tc>
        <w:tc>
          <w:tcPr>
            <w:tcW w:w="494" w:type="pct"/>
            <w:tcBorders>
              <w:top w:val="single" w:sz="8" w:space="0" w:color="000000"/>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18"/>
                <w:szCs w:val="18"/>
              </w:rPr>
            </w:pPr>
            <w:r>
              <w:rPr>
                <w:rFonts w:ascii="仿宋_GB2312" w:hAnsi="等线" w:cs="仿宋_GB2312"/>
                <w:color w:val="0000FF"/>
                <w:kern w:val="0"/>
                <w:sz w:val="18"/>
                <w:szCs w:val="18"/>
                <w:lang w:bidi="ar"/>
              </w:rPr>
              <w:t>扰动后土壤侵蚀模数值（</w:t>
            </w:r>
            <w:r>
              <w:rPr>
                <w:color w:val="0000FF"/>
                <w:kern w:val="0"/>
                <w:sz w:val="18"/>
                <w:szCs w:val="18"/>
                <w:lang w:bidi="ar"/>
              </w:rPr>
              <w:t>t/km</w:t>
            </w:r>
            <w:r>
              <w:rPr>
                <w:color w:val="0000FF"/>
                <w:kern w:val="0"/>
                <w:sz w:val="18"/>
                <w:szCs w:val="18"/>
                <w:vertAlign w:val="superscript"/>
                <w:lang w:bidi="ar"/>
              </w:rPr>
              <w:t>2</w:t>
            </w:r>
            <w:r>
              <w:rPr>
                <w:color w:val="0000FF"/>
                <w:kern w:val="0"/>
                <w:sz w:val="18"/>
                <w:szCs w:val="18"/>
                <w:lang w:bidi="ar"/>
              </w:rPr>
              <w:t>.a)</w:t>
            </w:r>
          </w:p>
        </w:tc>
        <w:tc>
          <w:tcPr>
            <w:tcW w:w="489" w:type="pct"/>
            <w:tcBorders>
              <w:top w:val="single" w:sz="8" w:space="0" w:color="000000"/>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18"/>
                <w:szCs w:val="18"/>
              </w:rPr>
            </w:pPr>
            <w:r>
              <w:rPr>
                <w:rFonts w:ascii="仿宋_GB2312" w:hAnsi="等线" w:cs="仿宋_GB2312"/>
                <w:color w:val="0000FF"/>
                <w:kern w:val="0"/>
                <w:sz w:val="18"/>
                <w:szCs w:val="18"/>
                <w:lang w:bidi="ar"/>
              </w:rPr>
              <w:t>侵蚀面积（</w:t>
            </w:r>
            <w:r>
              <w:rPr>
                <w:color w:val="0000FF"/>
                <w:kern w:val="0"/>
                <w:sz w:val="18"/>
                <w:szCs w:val="18"/>
                <w:lang w:bidi="ar"/>
              </w:rPr>
              <w:t>hm</w:t>
            </w:r>
            <w:r>
              <w:rPr>
                <w:color w:val="0000FF"/>
                <w:kern w:val="0"/>
                <w:sz w:val="18"/>
                <w:szCs w:val="18"/>
                <w:vertAlign w:val="superscript"/>
                <w:lang w:bidi="ar"/>
              </w:rPr>
              <w:t>2</w:t>
            </w:r>
            <w:r>
              <w:rPr>
                <w:color w:val="0000FF"/>
                <w:kern w:val="0"/>
                <w:sz w:val="18"/>
                <w:szCs w:val="18"/>
                <w:lang w:bidi="ar"/>
              </w:rPr>
              <w:t>)</w:t>
            </w:r>
          </w:p>
        </w:tc>
        <w:tc>
          <w:tcPr>
            <w:tcW w:w="489" w:type="pct"/>
            <w:tcBorders>
              <w:top w:val="single" w:sz="8" w:space="0" w:color="000000"/>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18"/>
                <w:szCs w:val="18"/>
              </w:rPr>
            </w:pPr>
            <w:r>
              <w:rPr>
                <w:rFonts w:ascii="仿宋_GB2312" w:hAnsi="等线" w:cs="仿宋_GB2312"/>
                <w:color w:val="0000FF"/>
                <w:kern w:val="0"/>
                <w:sz w:val="18"/>
                <w:szCs w:val="18"/>
                <w:lang w:bidi="ar"/>
              </w:rPr>
              <w:t>侵蚀时间（</w:t>
            </w:r>
            <w:r>
              <w:rPr>
                <w:color w:val="0000FF"/>
                <w:kern w:val="0"/>
                <w:sz w:val="18"/>
                <w:szCs w:val="18"/>
                <w:lang w:bidi="ar"/>
              </w:rPr>
              <w:t>a)</w:t>
            </w:r>
          </w:p>
        </w:tc>
        <w:tc>
          <w:tcPr>
            <w:tcW w:w="489" w:type="pct"/>
            <w:tcBorders>
              <w:top w:val="single" w:sz="8" w:space="0" w:color="000000"/>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18"/>
                <w:szCs w:val="18"/>
              </w:rPr>
            </w:pPr>
            <w:r>
              <w:rPr>
                <w:rFonts w:ascii="仿宋_GB2312" w:hAnsi="等线" w:cs="仿宋_GB2312"/>
                <w:color w:val="0000FF"/>
                <w:kern w:val="0"/>
                <w:sz w:val="18"/>
                <w:szCs w:val="18"/>
                <w:lang w:bidi="ar"/>
              </w:rPr>
              <w:t>背景流失量（</w:t>
            </w:r>
            <w:r>
              <w:rPr>
                <w:color w:val="0000FF"/>
                <w:kern w:val="0"/>
                <w:sz w:val="18"/>
                <w:szCs w:val="18"/>
                <w:lang w:bidi="ar"/>
              </w:rPr>
              <w:t>t)</w:t>
            </w:r>
          </w:p>
        </w:tc>
        <w:tc>
          <w:tcPr>
            <w:tcW w:w="489" w:type="pct"/>
            <w:tcBorders>
              <w:top w:val="single" w:sz="8" w:space="0" w:color="000000"/>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18"/>
                <w:szCs w:val="18"/>
              </w:rPr>
            </w:pPr>
            <w:r>
              <w:rPr>
                <w:rFonts w:ascii="仿宋_GB2312" w:hAnsi="等线" w:cs="仿宋_GB2312"/>
                <w:color w:val="0000FF"/>
                <w:kern w:val="0"/>
                <w:sz w:val="18"/>
                <w:szCs w:val="18"/>
                <w:lang w:bidi="ar"/>
              </w:rPr>
              <w:t>调查流失量（</w:t>
            </w:r>
            <w:r>
              <w:rPr>
                <w:color w:val="0000FF"/>
                <w:kern w:val="0"/>
                <w:sz w:val="18"/>
                <w:szCs w:val="18"/>
                <w:lang w:bidi="ar"/>
              </w:rPr>
              <w:t>t)</w:t>
            </w:r>
          </w:p>
        </w:tc>
        <w:tc>
          <w:tcPr>
            <w:tcW w:w="489" w:type="pct"/>
            <w:tcBorders>
              <w:top w:val="single" w:sz="8" w:space="0" w:color="000000"/>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18"/>
                <w:szCs w:val="18"/>
              </w:rPr>
            </w:pPr>
            <w:r>
              <w:rPr>
                <w:rFonts w:ascii="仿宋_GB2312" w:hAnsi="等线" w:cs="仿宋_GB2312"/>
                <w:color w:val="0000FF"/>
                <w:kern w:val="0"/>
                <w:sz w:val="18"/>
                <w:szCs w:val="18"/>
                <w:lang w:bidi="ar"/>
              </w:rPr>
              <w:t>新增流失量（</w:t>
            </w:r>
            <w:r>
              <w:rPr>
                <w:color w:val="0000FF"/>
                <w:kern w:val="0"/>
                <w:sz w:val="18"/>
                <w:szCs w:val="18"/>
                <w:lang w:bidi="ar"/>
              </w:rPr>
              <w:t>t)</w:t>
            </w:r>
          </w:p>
        </w:tc>
        <w:tc>
          <w:tcPr>
            <w:tcW w:w="587" w:type="pct"/>
            <w:tcBorders>
              <w:top w:val="single" w:sz="8" w:space="0" w:color="000000"/>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18"/>
                <w:szCs w:val="18"/>
              </w:rPr>
            </w:pPr>
            <w:r>
              <w:rPr>
                <w:rFonts w:ascii="仿宋_GB2312" w:hAnsi="等线" w:cs="仿宋_GB2312"/>
                <w:color w:val="0000FF"/>
                <w:kern w:val="0"/>
                <w:sz w:val="18"/>
                <w:szCs w:val="18"/>
                <w:lang w:bidi="ar"/>
              </w:rPr>
              <w:t>占新增流失比重（%</w:t>
            </w:r>
            <w:r>
              <w:rPr>
                <w:color w:val="0000FF"/>
                <w:kern w:val="0"/>
                <w:sz w:val="18"/>
                <w:szCs w:val="18"/>
                <w:lang w:bidi="ar"/>
              </w:rPr>
              <w:t>)</w:t>
            </w:r>
          </w:p>
        </w:tc>
      </w:tr>
      <w:tr w:rsidR="006C378F">
        <w:trPr>
          <w:trHeight w:val="279"/>
        </w:trPr>
        <w:tc>
          <w:tcPr>
            <w:tcW w:w="488"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18"/>
                <w:szCs w:val="18"/>
              </w:rPr>
            </w:pPr>
            <w:r>
              <w:rPr>
                <w:rFonts w:ascii="仿宋_GB2312" w:hAnsi="等线" w:cs="仿宋_GB2312"/>
                <w:color w:val="0000FF"/>
                <w:kern w:val="0"/>
                <w:sz w:val="18"/>
                <w:szCs w:val="18"/>
                <w:lang w:bidi="ar"/>
              </w:rPr>
              <w:t>施工期</w:t>
            </w:r>
          </w:p>
        </w:tc>
        <w:tc>
          <w:tcPr>
            <w:tcW w:w="488" w:type="pct"/>
            <w:vMerge w:val="restar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18"/>
                <w:szCs w:val="18"/>
              </w:rPr>
            </w:pPr>
            <w:r>
              <w:rPr>
                <w:rFonts w:ascii="仿宋_GB2312" w:hAnsi="等线" w:cs="仿宋_GB2312"/>
                <w:color w:val="0000FF"/>
                <w:kern w:val="0"/>
                <w:sz w:val="18"/>
                <w:szCs w:val="18"/>
                <w:lang w:bidi="ar"/>
              </w:rPr>
              <w:t>停车场区</w:t>
            </w:r>
          </w:p>
        </w:tc>
        <w:tc>
          <w:tcPr>
            <w:tcW w:w="494" w:type="pct"/>
            <w:vMerge w:val="restar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18"/>
                <w:szCs w:val="18"/>
              </w:rPr>
            </w:pPr>
            <w:r>
              <w:rPr>
                <w:rFonts w:ascii="仿宋_GB2312" w:hAnsi="等线" w:cs="仿宋_GB2312"/>
                <w:color w:val="0000FF"/>
                <w:kern w:val="0"/>
                <w:sz w:val="18"/>
                <w:szCs w:val="18"/>
                <w:lang w:bidi="ar"/>
              </w:rPr>
              <w:t>519</w:t>
            </w:r>
          </w:p>
        </w:tc>
        <w:tc>
          <w:tcPr>
            <w:tcW w:w="494" w:type="pct"/>
            <w:vMerge w:val="restar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18"/>
                <w:szCs w:val="18"/>
              </w:rPr>
            </w:pPr>
            <w:r>
              <w:rPr>
                <w:rFonts w:ascii="仿宋_GB2312" w:hAnsi="等线" w:cs="仿宋_GB2312"/>
                <w:color w:val="0000FF"/>
                <w:kern w:val="0"/>
                <w:sz w:val="18"/>
                <w:szCs w:val="18"/>
                <w:lang w:bidi="ar"/>
              </w:rPr>
              <w:t>820</w:t>
            </w:r>
          </w:p>
        </w:tc>
        <w:tc>
          <w:tcPr>
            <w:tcW w:w="489" w:type="pct"/>
            <w:vMerge w:val="restar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18"/>
                <w:szCs w:val="18"/>
              </w:rPr>
            </w:pPr>
            <w:r>
              <w:rPr>
                <w:rFonts w:ascii="仿宋_GB2312" w:hAnsi="等线" w:cs="仿宋_GB2312"/>
                <w:color w:val="0000FF"/>
                <w:kern w:val="0"/>
                <w:sz w:val="18"/>
                <w:szCs w:val="18"/>
                <w:lang w:bidi="ar"/>
              </w:rPr>
              <w:t>0.8</w:t>
            </w:r>
          </w:p>
        </w:tc>
        <w:tc>
          <w:tcPr>
            <w:tcW w:w="489" w:type="pct"/>
            <w:vMerge w:val="restar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18"/>
                <w:szCs w:val="18"/>
              </w:rPr>
            </w:pPr>
            <w:r>
              <w:rPr>
                <w:rFonts w:ascii="仿宋_GB2312" w:hAnsi="等线" w:cs="仿宋_GB2312"/>
                <w:color w:val="0000FF"/>
                <w:kern w:val="0"/>
                <w:sz w:val="18"/>
                <w:szCs w:val="18"/>
                <w:lang w:bidi="ar"/>
              </w:rPr>
              <w:t>0.25</w:t>
            </w:r>
          </w:p>
        </w:tc>
        <w:tc>
          <w:tcPr>
            <w:tcW w:w="489" w:type="pct"/>
            <w:vMerge w:val="restar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18"/>
                <w:szCs w:val="18"/>
              </w:rPr>
            </w:pPr>
            <w:r>
              <w:rPr>
                <w:rFonts w:ascii="仿宋_GB2312" w:hAnsi="等线" w:cs="仿宋_GB2312"/>
                <w:color w:val="0000FF"/>
                <w:kern w:val="0"/>
                <w:sz w:val="18"/>
                <w:szCs w:val="18"/>
                <w:lang w:bidi="ar"/>
              </w:rPr>
              <w:t xml:space="preserve">1.04 </w:t>
            </w:r>
          </w:p>
        </w:tc>
        <w:tc>
          <w:tcPr>
            <w:tcW w:w="489" w:type="pct"/>
            <w:vMerge w:val="restar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18"/>
                <w:szCs w:val="18"/>
              </w:rPr>
            </w:pPr>
            <w:r>
              <w:rPr>
                <w:rFonts w:ascii="仿宋_GB2312" w:hAnsi="等线" w:cs="仿宋_GB2312"/>
                <w:color w:val="0000FF"/>
                <w:kern w:val="0"/>
                <w:sz w:val="18"/>
                <w:szCs w:val="18"/>
                <w:lang w:bidi="ar"/>
              </w:rPr>
              <w:t xml:space="preserve">1.64 </w:t>
            </w:r>
          </w:p>
        </w:tc>
        <w:tc>
          <w:tcPr>
            <w:tcW w:w="489" w:type="pct"/>
            <w:vMerge w:val="restar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18"/>
                <w:szCs w:val="18"/>
              </w:rPr>
            </w:pPr>
            <w:r>
              <w:rPr>
                <w:rFonts w:ascii="仿宋_GB2312" w:hAnsi="等线" w:cs="仿宋_GB2312"/>
                <w:color w:val="0000FF"/>
                <w:kern w:val="0"/>
                <w:sz w:val="18"/>
                <w:szCs w:val="18"/>
                <w:lang w:bidi="ar"/>
              </w:rPr>
              <w:t xml:space="preserve">0.60 </w:t>
            </w:r>
          </w:p>
        </w:tc>
        <w:tc>
          <w:tcPr>
            <w:tcW w:w="587" w:type="pct"/>
            <w:vMerge w:val="restar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73.24%</w:t>
            </w:r>
          </w:p>
        </w:tc>
      </w:tr>
      <w:tr w:rsidR="006C378F">
        <w:trPr>
          <w:trHeight w:val="276"/>
        </w:trPr>
        <w:tc>
          <w:tcPr>
            <w:tcW w:w="488" w:type="pct"/>
            <w:vMerge/>
            <w:tcBorders>
              <w:top w:val="single" w:sz="8" w:space="0" w:color="000000"/>
              <w:left w:val="single" w:sz="8" w:space="0" w:color="000000"/>
              <w:bottom w:val="single" w:sz="8" w:space="0" w:color="000000"/>
              <w:right w:val="single" w:sz="8" w:space="0" w:color="000000"/>
            </w:tcBorders>
            <w:shd w:val="clear" w:color="auto" w:fill="auto"/>
            <w:vAlign w:val="center"/>
          </w:tcPr>
          <w:p w:rsidR="006C378F" w:rsidRDefault="006C378F">
            <w:pPr>
              <w:jc w:val="center"/>
              <w:rPr>
                <w:rFonts w:ascii="仿宋_GB2312" w:hAnsi="等线" w:cs="仿宋_GB2312"/>
                <w:color w:val="0000FF"/>
                <w:sz w:val="18"/>
                <w:szCs w:val="18"/>
              </w:rPr>
            </w:pPr>
          </w:p>
        </w:tc>
        <w:tc>
          <w:tcPr>
            <w:tcW w:w="488" w:type="pct"/>
            <w:vMerge/>
            <w:tcBorders>
              <w:top w:val="nil"/>
              <w:left w:val="nil"/>
              <w:bottom w:val="single" w:sz="8" w:space="0" w:color="000000"/>
              <w:right w:val="single" w:sz="8" w:space="0" w:color="000000"/>
            </w:tcBorders>
            <w:shd w:val="clear" w:color="auto" w:fill="auto"/>
            <w:vAlign w:val="center"/>
          </w:tcPr>
          <w:p w:rsidR="006C378F" w:rsidRDefault="006C378F">
            <w:pPr>
              <w:jc w:val="center"/>
              <w:rPr>
                <w:rFonts w:ascii="仿宋_GB2312" w:hAnsi="等线" w:cs="仿宋_GB2312"/>
                <w:color w:val="0000FF"/>
                <w:sz w:val="18"/>
                <w:szCs w:val="18"/>
              </w:rPr>
            </w:pPr>
          </w:p>
        </w:tc>
        <w:tc>
          <w:tcPr>
            <w:tcW w:w="494" w:type="pct"/>
            <w:vMerge/>
            <w:tcBorders>
              <w:top w:val="nil"/>
              <w:left w:val="nil"/>
              <w:bottom w:val="single" w:sz="8" w:space="0" w:color="000000"/>
              <w:right w:val="single" w:sz="8" w:space="0" w:color="000000"/>
            </w:tcBorders>
            <w:shd w:val="clear" w:color="auto" w:fill="auto"/>
            <w:vAlign w:val="center"/>
          </w:tcPr>
          <w:p w:rsidR="006C378F" w:rsidRDefault="006C378F">
            <w:pPr>
              <w:jc w:val="center"/>
              <w:rPr>
                <w:rFonts w:ascii="仿宋_GB2312" w:hAnsi="等线" w:cs="仿宋_GB2312"/>
                <w:color w:val="0000FF"/>
                <w:sz w:val="18"/>
                <w:szCs w:val="18"/>
              </w:rPr>
            </w:pPr>
          </w:p>
        </w:tc>
        <w:tc>
          <w:tcPr>
            <w:tcW w:w="494" w:type="pct"/>
            <w:vMerge/>
            <w:tcBorders>
              <w:top w:val="nil"/>
              <w:left w:val="nil"/>
              <w:bottom w:val="single" w:sz="8" w:space="0" w:color="000000"/>
              <w:right w:val="single" w:sz="8" w:space="0" w:color="000000"/>
            </w:tcBorders>
            <w:shd w:val="clear" w:color="auto" w:fill="auto"/>
            <w:vAlign w:val="center"/>
          </w:tcPr>
          <w:p w:rsidR="006C378F" w:rsidRDefault="006C378F">
            <w:pPr>
              <w:jc w:val="center"/>
              <w:rPr>
                <w:rFonts w:ascii="仿宋_GB2312" w:hAnsi="等线" w:cs="仿宋_GB2312"/>
                <w:color w:val="0000FF"/>
                <w:sz w:val="18"/>
                <w:szCs w:val="18"/>
              </w:rPr>
            </w:pPr>
          </w:p>
        </w:tc>
        <w:tc>
          <w:tcPr>
            <w:tcW w:w="489" w:type="pct"/>
            <w:vMerge/>
            <w:tcBorders>
              <w:top w:val="nil"/>
              <w:left w:val="nil"/>
              <w:bottom w:val="single" w:sz="8" w:space="0" w:color="000000"/>
              <w:right w:val="single" w:sz="8" w:space="0" w:color="000000"/>
            </w:tcBorders>
            <w:shd w:val="clear" w:color="auto" w:fill="auto"/>
            <w:vAlign w:val="center"/>
          </w:tcPr>
          <w:p w:rsidR="006C378F" w:rsidRDefault="006C378F">
            <w:pPr>
              <w:jc w:val="center"/>
              <w:rPr>
                <w:rFonts w:ascii="仿宋_GB2312" w:hAnsi="等线" w:cs="仿宋_GB2312"/>
                <w:color w:val="0000FF"/>
                <w:sz w:val="18"/>
                <w:szCs w:val="18"/>
              </w:rPr>
            </w:pPr>
          </w:p>
        </w:tc>
        <w:tc>
          <w:tcPr>
            <w:tcW w:w="489" w:type="pct"/>
            <w:vMerge/>
            <w:tcBorders>
              <w:top w:val="nil"/>
              <w:left w:val="nil"/>
              <w:bottom w:val="single" w:sz="8" w:space="0" w:color="000000"/>
              <w:right w:val="single" w:sz="8" w:space="0" w:color="000000"/>
            </w:tcBorders>
            <w:shd w:val="clear" w:color="auto" w:fill="auto"/>
            <w:vAlign w:val="center"/>
          </w:tcPr>
          <w:p w:rsidR="006C378F" w:rsidRDefault="006C378F">
            <w:pPr>
              <w:jc w:val="center"/>
              <w:rPr>
                <w:rFonts w:ascii="仿宋_GB2312" w:hAnsi="等线" w:cs="仿宋_GB2312"/>
                <w:color w:val="0000FF"/>
                <w:sz w:val="18"/>
                <w:szCs w:val="18"/>
              </w:rPr>
            </w:pPr>
          </w:p>
        </w:tc>
        <w:tc>
          <w:tcPr>
            <w:tcW w:w="489" w:type="pct"/>
            <w:vMerge/>
            <w:tcBorders>
              <w:top w:val="nil"/>
              <w:left w:val="nil"/>
              <w:bottom w:val="single" w:sz="8" w:space="0" w:color="000000"/>
              <w:right w:val="single" w:sz="8" w:space="0" w:color="000000"/>
            </w:tcBorders>
            <w:shd w:val="clear" w:color="auto" w:fill="auto"/>
            <w:vAlign w:val="center"/>
          </w:tcPr>
          <w:p w:rsidR="006C378F" w:rsidRDefault="006C378F">
            <w:pPr>
              <w:jc w:val="center"/>
              <w:rPr>
                <w:rFonts w:ascii="仿宋_GB2312" w:hAnsi="等线" w:cs="仿宋_GB2312"/>
                <w:color w:val="0000FF"/>
                <w:sz w:val="18"/>
                <w:szCs w:val="18"/>
              </w:rPr>
            </w:pPr>
          </w:p>
        </w:tc>
        <w:tc>
          <w:tcPr>
            <w:tcW w:w="489" w:type="pct"/>
            <w:vMerge/>
            <w:tcBorders>
              <w:top w:val="nil"/>
              <w:left w:val="nil"/>
              <w:bottom w:val="single" w:sz="8" w:space="0" w:color="000000"/>
              <w:right w:val="single" w:sz="8" w:space="0" w:color="000000"/>
            </w:tcBorders>
            <w:shd w:val="clear" w:color="auto" w:fill="auto"/>
            <w:vAlign w:val="center"/>
          </w:tcPr>
          <w:p w:rsidR="006C378F" w:rsidRDefault="006C378F">
            <w:pPr>
              <w:jc w:val="center"/>
              <w:rPr>
                <w:rFonts w:ascii="仿宋_GB2312" w:hAnsi="等线" w:cs="仿宋_GB2312"/>
                <w:color w:val="0000FF"/>
                <w:sz w:val="18"/>
                <w:szCs w:val="18"/>
              </w:rPr>
            </w:pPr>
          </w:p>
        </w:tc>
        <w:tc>
          <w:tcPr>
            <w:tcW w:w="489" w:type="pct"/>
            <w:vMerge/>
            <w:tcBorders>
              <w:top w:val="nil"/>
              <w:left w:val="nil"/>
              <w:bottom w:val="single" w:sz="8" w:space="0" w:color="000000"/>
              <w:right w:val="single" w:sz="8" w:space="0" w:color="000000"/>
            </w:tcBorders>
            <w:shd w:val="clear" w:color="auto" w:fill="auto"/>
            <w:vAlign w:val="center"/>
          </w:tcPr>
          <w:p w:rsidR="006C378F" w:rsidRDefault="006C378F">
            <w:pPr>
              <w:jc w:val="center"/>
              <w:rPr>
                <w:rFonts w:ascii="仿宋_GB2312" w:hAnsi="等线" w:cs="仿宋_GB2312"/>
                <w:color w:val="0000FF"/>
                <w:sz w:val="18"/>
                <w:szCs w:val="18"/>
              </w:rPr>
            </w:pPr>
          </w:p>
        </w:tc>
        <w:tc>
          <w:tcPr>
            <w:tcW w:w="587" w:type="pct"/>
            <w:vMerge/>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r>
      <w:tr w:rsidR="006C378F">
        <w:trPr>
          <w:trHeight w:val="291"/>
        </w:trPr>
        <w:tc>
          <w:tcPr>
            <w:tcW w:w="488" w:type="pct"/>
            <w:vMerge/>
            <w:tcBorders>
              <w:top w:val="single" w:sz="8" w:space="0" w:color="000000"/>
              <w:left w:val="single" w:sz="8" w:space="0" w:color="000000"/>
              <w:bottom w:val="single" w:sz="8" w:space="0" w:color="000000"/>
              <w:right w:val="single" w:sz="8" w:space="0" w:color="000000"/>
            </w:tcBorders>
            <w:shd w:val="clear" w:color="auto" w:fill="auto"/>
            <w:vAlign w:val="center"/>
          </w:tcPr>
          <w:p w:rsidR="006C378F" w:rsidRDefault="006C378F">
            <w:pPr>
              <w:jc w:val="center"/>
              <w:rPr>
                <w:rFonts w:ascii="仿宋_GB2312" w:hAnsi="等线" w:cs="仿宋_GB2312"/>
                <w:color w:val="0000FF"/>
                <w:sz w:val="18"/>
                <w:szCs w:val="18"/>
              </w:rPr>
            </w:pPr>
          </w:p>
        </w:tc>
        <w:tc>
          <w:tcPr>
            <w:tcW w:w="488"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18"/>
                <w:szCs w:val="18"/>
              </w:rPr>
            </w:pPr>
            <w:r>
              <w:rPr>
                <w:rFonts w:ascii="仿宋_GB2312" w:hAnsi="等线" w:cs="仿宋_GB2312"/>
                <w:color w:val="0000FF"/>
                <w:kern w:val="0"/>
                <w:sz w:val="18"/>
                <w:szCs w:val="18"/>
                <w:lang w:bidi="ar"/>
              </w:rPr>
              <w:t>小计</w:t>
            </w:r>
          </w:p>
        </w:tc>
        <w:tc>
          <w:tcPr>
            <w:tcW w:w="494" w:type="pct"/>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494" w:type="pct"/>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489"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0.80 </w:t>
            </w:r>
          </w:p>
        </w:tc>
        <w:tc>
          <w:tcPr>
            <w:tcW w:w="489" w:type="pct"/>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489"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1.04 </w:t>
            </w:r>
          </w:p>
        </w:tc>
        <w:tc>
          <w:tcPr>
            <w:tcW w:w="489"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1.64 </w:t>
            </w:r>
          </w:p>
        </w:tc>
        <w:tc>
          <w:tcPr>
            <w:tcW w:w="489"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0.60 </w:t>
            </w:r>
          </w:p>
        </w:tc>
        <w:tc>
          <w:tcPr>
            <w:tcW w:w="587"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73.24%</w:t>
            </w:r>
          </w:p>
        </w:tc>
      </w:tr>
      <w:tr w:rsidR="006C378F">
        <w:trPr>
          <w:trHeight w:val="291"/>
        </w:trPr>
        <w:tc>
          <w:tcPr>
            <w:tcW w:w="976"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18"/>
                <w:szCs w:val="18"/>
              </w:rPr>
            </w:pPr>
            <w:r>
              <w:rPr>
                <w:rFonts w:ascii="仿宋_GB2312" w:hAnsi="等线" w:cs="仿宋_GB2312"/>
                <w:color w:val="0000FF"/>
                <w:kern w:val="0"/>
                <w:sz w:val="18"/>
                <w:szCs w:val="18"/>
                <w:lang w:bidi="ar"/>
              </w:rPr>
              <w:t>合计</w:t>
            </w:r>
          </w:p>
        </w:tc>
        <w:tc>
          <w:tcPr>
            <w:tcW w:w="494" w:type="pct"/>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494" w:type="pct"/>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489" w:type="pct"/>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489" w:type="pct"/>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489"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1.04 </w:t>
            </w:r>
          </w:p>
        </w:tc>
        <w:tc>
          <w:tcPr>
            <w:tcW w:w="489"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1.64 </w:t>
            </w:r>
          </w:p>
        </w:tc>
        <w:tc>
          <w:tcPr>
            <w:tcW w:w="489"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0.60 </w:t>
            </w:r>
          </w:p>
        </w:tc>
        <w:tc>
          <w:tcPr>
            <w:tcW w:w="587"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73.24%</w:t>
            </w:r>
          </w:p>
        </w:tc>
      </w:tr>
      <w:tr w:rsidR="006C378F">
        <w:trPr>
          <w:trHeight w:val="447"/>
        </w:trPr>
        <w:tc>
          <w:tcPr>
            <w:tcW w:w="488" w:type="pct"/>
            <w:tcBorders>
              <w:top w:val="nil"/>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18"/>
                <w:szCs w:val="18"/>
              </w:rPr>
            </w:pPr>
            <w:r>
              <w:rPr>
                <w:rFonts w:ascii="仿宋_GB2312" w:hAnsi="等线" w:cs="仿宋_GB2312"/>
                <w:color w:val="0000FF"/>
                <w:kern w:val="0"/>
                <w:sz w:val="18"/>
                <w:szCs w:val="18"/>
                <w:lang w:bidi="ar"/>
              </w:rPr>
              <w:t>自然恢复期</w:t>
            </w:r>
          </w:p>
        </w:tc>
        <w:tc>
          <w:tcPr>
            <w:tcW w:w="488"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18"/>
                <w:szCs w:val="18"/>
              </w:rPr>
            </w:pPr>
            <w:r>
              <w:rPr>
                <w:rFonts w:ascii="仿宋_GB2312" w:hAnsi="等线" w:cs="仿宋_GB2312"/>
                <w:color w:val="0000FF"/>
                <w:kern w:val="0"/>
                <w:sz w:val="18"/>
                <w:szCs w:val="18"/>
                <w:lang w:bidi="ar"/>
              </w:rPr>
              <w:t>景观绿化区</w:t>
            </w:r>
          </w:p>
        </w:tc>
        <w:tc>
          <w:tcPr>
            <w:tcW w:w="494"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519</w:t>
            </w:r>
          </w:p>
        </w:tc>
        <w:tc>
          <w:tcPr>
            <w:tcW w:w="494"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600</w:t>
            </w:r>
          </w:p>
        </w:tc>
        <w:tc>
          <w:tcPr>
            <w:tcW w:w="489"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0.05 </w:t>
            </w:r>
          </w:p>
        </w:tc>
        <w:tc>
          <w:tcPr>
            <w:tcW w:w="489"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2</w:t>
            </w:r>
          </w:p>
        </w:tc>
        <w:tc>
          <w:tcPr>
            <w:tcW w:w="489"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0.52 </w:t>
            </w:r>
          </w:p>
        </w:tc>
        <w:tc>
          <w:tcPr>
            <w:tcW w:w="489"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0.60 </w:t>
            </w:r>
          </w:p>
        </w:tc>
        <w:tc>
          <w:tcPr>
            <w:tcW w:w="489"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0.22 </w:t>
            </w:r>
          </w:p>
        </w:tc>
        <w:tc>
          <w:tcPr>
            <w:tcW w:w="587"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26.76%</w:t>
            </w:r>
          </w:p>
        </w:tc>
      </w:tr>
      <w:tr w:rsidR="006C378F">
        <w:trPr>
          <w:trHeight w:val="291"/>
        </w:trPr>
        <w:tc>
          <w:tcPr>
            <w:tcW w:w="976"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18"/>
                <w:szCs w:val="18"/>
              </w:rPr>
            </w:pPr>
            <w:r>
              <w:rPr>
                <w:rFonts w:ascii="仿宋_GB2312" w:hAnsi="等线" w:cs="仿宋_GB2312"/>
                <w:color w:val="0000FF"/>
                <w:kern w:val="0"/>
                <w:sz w:val="18"/>
                <w:szCs w:val="18"/>
                <w:lang w:bidi="ar"/>
              </w:rPr>
              <w:t>总计</w:t>
            </w:r>
          </w:p>
        </w:tc>
        <w:tc>
          <w:tcPr>
            <w:tcW w:w="494" w:type="pct"/>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494" w:type="pct"/>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489" w:type="pct"/>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489" w:type="pct"/>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489"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1.56 </w:t>
            </w:r>
          </w:p>
        </w:tc>
        <w:tc>
          <w:tcPr>
            <w:tcW w:w="489"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2.24 </w:t>
            </w:r>
          </w:p>
        </w:tc>
        <w:tc>
          <w:tcPr>
            <w:tcW w:w="489"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0.82 </w:t>
            </w:r>
          </w:p>
        </w:tc>
        <w:tc>
          <w:tcPr>
            <w:tcW w:w="587"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100.00%</w:t>
            </w:r>
          </w:p>
        </w:tc>
      </w:tr>
    </w:tbl>
    <w:p w:rsidR="006C378F" w:rsidRDefault="006C378F">
      <w:pPr>
        <w:pStyle w:val="30"/>
        <w:tabs>
          <w:tab w:val="left" w:pos="1620"/>
        </w:tabs>
        <w:spacing w:line="360" w:lineRule="auto"/>
        <w:ind w:firstLine="480"/>
        <w:rPr>
          <w:rFonts w:eastAsia="仿宋"/>
          <w:sz w:val="24"/>
          <w:szCs w:val="24"/>
        </w:rPr>
      </w:pPr>
    </w:p>
    <w:p w:rsidR="006C378F" w:rsidRDefault="00E12213">
      <w:pPr>
        <w:sectPr w:rsidR="006C378F">
          <w:pgSz w:w="11906" w:h="16838"/>
          <w:pgMar w:top="1417" w:right="1418" w:bottom="1417" w:left="1418" w:header="851" w:footer="992" w:gutter="0"/>
          <w:cols w:space="720"/>
          <w:docGrid w:linePitch="312"/>
        </w:sectPr>
      </w:pPr>
      <w:r>
        <w:br w:type="page"/>
      </w:r>
    </w:p>
    <w:p w:rsidR="006C378F" w:rsidRDefault="00E12213">
      <w:pPr>
        <w:pStyle w:val="1"/>
        <w:jc w:val="center"/>
      </w:pPr>
      <w:bookmarkStart w:id="189" w:name="_Toc10910"/>
      <w:r>
        <w:lastRenderedPageBreak/>
        <w:t>5</w:t>
      </w:r>
      <w:r>
        <w:t>水土保持措施</w:t>
      </w:r>
      <w:bookmarkEnd w:id="189"/>
    </w:p>
    <w:p w:rsidR="006C378F" w:rsidRDefault="00E12213">
      <w:pPr>
        <w:pStyle w:val="2"/>
        <w:rPr>
          <w:bCs/>
          <w:spacing w:val="0"/>
          <w:kern w:val="30"/>
          <w:szCs w:val="30"/>
        </w:rPr>
      </w:pPr>
      <w:bookmarkStart w:id="190" w:name="_Toc21842"/>
      <w:bookmarkStart w:id="191" w:name="_Toc28002"/>
      <w:bookmarkStart w:id="192" w:name="_Toc20977"/>
      <w:bookmarkStart w:id="193" w:name="_Toc32162"/>
      <w:r>
        <w:rPr>
          <w:bCs/>
          <w:spacing w:val="0"/>
          <w:kern w:val="30"/>
          <w:szCs w:val="30"/>
        </w:rPr>
        <w:t>5.1</w:t>
      </w:r>
      <w:r>
        <w:rPr>
          <w:bCs/>
          <w:spacing w:val="0"/>
          <w:kern w:val="30"/>
          <w:szCs w:val="30"/>
        </w:rPr>
        <w:t>防治区划分</w:t>
      </w:r>
      <w:bookmarkEnd w:id="190"/>
      <w:bookmarkEnd w:id="191"/>
      <w:bookmarkEnd w:id="192"/>
    </w:p>
    <w:p w:rsidR="006C378F" w:rsidRDefault="00E12213">
      <w:pPr>
        <w:pStyle w:val="3"/>
        <w:widowControl/>
        <w:tabs>
          <w:tab w:val="center" w:pos="4252"/>
        </w:tabs>
        <w:rPr>
          <w:szCs w:val="28"/>
        </w:rPr>
      </w:pPr>
      <w:r>
        <w:rPr>
          <w:szCs w:val="28"/>
        </w:rPr>
        <w:t>5.1.1</w:t>
      </w:r>
      <w:r>
        <w:rPr>
          <w:szCs w:val="28"/>
        </w:rPr>
        <w:t>防治分区原则</w:t>
      </w:r>
    </w:p>
    <w:p w:rsidR="006C378F" w:rsidRDefault="00E12213">
      <w:pPr>
        <w:autoSpaceDE w:val="0"/>
        <w:autoSpaceDN w:val="0"/>
        <w:adjustRightInd/>
        <w:snapToGrid/>
        <w:spacing w:line="360" w:lineRule="auto"/>
        <w:ind w:firstLineChars="200" w:firstLine="480"/>
        <w:rPr>
          <w:bCs/>
          <w:szCs w:val="24"/>
        </w:rPr>
      </w:pPr>
      <w:r>
        <w:rPr>
          <w:bCs/>
          <w:szCs w:val="24"/>
        </w:rPr>
        <w:t>本《方案》水土流失防治分区遵循下列原则：</w:t>
      </w:r>
    </w:p>
    <w:p w:rsidR="006C378F" w:rsidRDefault="00E12213">
      <w:pPr>
        <w:autoSpaceDE w:val="0"/>
        <w:autoSpaceDN w:val="0"/>
        <w:adjustRightInd/>
        <w:snapToGrid/>
        <w:spacing w:line="360" w:lineRule="auto"/>
        <w:ind w:firstLineChars="200" w:firstLine="480"/>
        <w:rPr>
          <w:bCs/>
          <w:szCs w:val="24"/>
        </w:rPr>
      </w:pPr>
      <w:r>
        <w:rPr>
          <w:bCs/>
          <w:szCs w:val="24"/>
        </w:rPr>
        <w:t>（</w:t>
      </w:r>
      <w:r>
        <w:rPr>
          <w:bCs/>
          <w:szCs w:val="24"/>
        </w:rPr>
        <w:t>1</w:t>
      </w:r>
      <w:r>
        <w:rPr>
          <w:bCs/>
          <w:szCs w:val="24"/>
        </w:rPr>
        <w:t>）差异性原则。各防治分区之间的的自然条件、造成水土流失的影响因素、水土流失的特点要具有显著的差异；</w:t>
      </w:r>
    </w:p>
    <w:p w:rsidR="006C378F" w:rsidRDefault="00E12213">
      <w:pPr>
        <w:autoSpaceDE w:val="0"/>
        <w:autoSpaceDN w:val="0"/>
        <w:adjustRightInd/>
        <w:snapToGrid/>
        <w:spacing w:line="360" w:lineRule="auto"/>
        <w:ind w:firstLineChars="200" w:firstLine="480"/>
        <w:rPr>
          <w:bCs/>
          <w:szCs w:val="24"/>
        </w:rPr>
      </w:pPr>
      <w:r>
        <w:rPr>
          <w:bCs/>
          <w:szCs w:val="24"/>
        </w:rPr>
        <w:t>（</w:t>
      </w:r>
      <w:r>
        <w:rPr>
          <w:bCs/>
          <w:szCs w:val="24"/>
        </w:rPr>
        <w:t>2</w:t>
      </w:r>
      <w:r>
        <w:rPr>
          <w:bCs/>
          <w:szCs w:val="24"/>
        </w:rPr>
        <w:t>）相似性原则。各防治分区内造成的水土流失主导因子、水土流失防治措施布局或方向应相近或相似；</w:t>
      </w:r>
    </w:p>
    <w:p w:rsidR="006C378F" w:rsidRDefault="00E12213">
      <w:pPr>
        <w:autoSpaceDE w:val="0"/>
        <w:autoSpaceDN w:val="0"/>
        <w:adjustRightInd/>
        <w:snapToGrid/>
        <w:spacing w:line="360" w:lineRule="auto"/>
        <w:ind w:firstLineChars="200" w:firstLine="480"/>
        <w:rPr>
          <w:bCs/>
          <w:szCs w:val="24"/>
        </w:rPr>
      </w:pPr>
      <w:r>
        <w:rPr>
          <w:bCs/>
          <w:szCs w:val="24"/>
        </w:rPr>
        <w:t>（</w:t>
      </w:r>
      <w:r>
        <w:rPr>
          <w:bCs/>
          <w:szCs w:val="24"/>
        </w:rPr>
        <w:t>3</w:t>
      </w:r>
      <w:r>
        <w:rPr>
          <w:bCs/>
          <w:szCs w:val="24"/>
        </w:rPr>
        <w:t>）整体性原则。各防治分区要覆盖整个防治责任范围，并考虑各分区相对集中和完整性。</w:t>
      </w:r>
    </w:p>
    <w:p w:rsidR="006C378F" w:rsidRDefault="00E12213">
      <w:pPr>
        <w:autoSpaceDE w:val="0"/>
        <w:autoSpaceDN w:val="0"/>
        <w:adjustRightInd/>
        <w:snapToGrid/>
        <w:spacing w:line="360" w:lineRule="auto"/>
        <w:ind w:firstLineChars="200" w:firstLine="480"/>
        <w:rPr>
          <w:bCs/>
          <w:szCs w:val="24"/>
        </w:rPr>
      </w:pPr>
      <w:r>
        <w:rPr>
          <w:bCs/>
          <w:szCs w:val="24"/>
        </w:rPr>
        <w:t>（</w:t>
      </w:r>
      <w:r>
        <w:rPr>
          <w:bCs/>
          <w:szCs w:val="24"/>
        </w:rPr>
        <w:t>4</w:t>
      </w:r>
      <w:r>
        <w:rPr>
          <w:bCs/>
          <w:szCs w:val="24"/>
        </w:rPr>
        <w:t>）一级分区应具有控制性、整体性、全局性；二级及其以下分区应结合工程布局和施工区进行逐级分区。</w:t>
      </w:r>
    </w:p>
    <w:p w:rsidR="006C378F" w:rsidRDefault="00E12213">
      <w:pPr>
        <w:pStyle w:val="3"/>
        <w:widowControl/>
        <w:tabs>
          <w:tab w:val="center" w:pos="4252"/>
        </w:tabs>
        <w:adjustRightInd/>
        <w:snapToGrid/>
        <w:rPr>
          <w:szCs w:val="28"/>
        </w:rPr>
      </w:pPr>
      <w:bookmarkStart w:id="194" w:name="_Toc205692980"/>
      <w:bookmarkStart w:id="195" w:name="_Toc179486846"/>
      <w:r>
        <w:rPr>
          <w:szCs w:val="28"/>
        </w:rPr>
        <w:t>5.1.2</w:t>
      </w:r>
      <w:r>
        <w:rPr>
          <w:szCs w:val="28"/>
        </w:rPr>
        <w:t>分区依据</w:t>
      </w:r>
      <w:bookmarkEnd w:id="194"/>
      <w:bookmarkEnd w:id="195"/>
    </w:p>
    <w:p w:rsidR="006C378F" w:rsidRDefault="00E12213">
      <w:pPr>
        <w:autoSpaceDE w:val="0"/>
        <w:autoSpaceDN w:val="0"/>
        <w:adjustRightInd/>
        <w:snapToGrid/>
        <w:spacing w:line="360" w:lineRule="auto"/>
        <w:ind w:firstLineChars="200" w:firstLine="480"/>
        <w:rPr>
          <w:bCs/>
          <w:szCs w:val="24"/>
        </w:rPr>
      </w:pPr>
      <w:r>
        <w:rPr>
          <w:bCs/>
          <w:szCs w:val="24"/>
        </w:rPr>
        <w:t>根据野外调查结果，在确定的防治责任范围内，依据主体工程布局、施工扰动特点、建设时序、地貌特征、自然属性、水土流失影响等进行分区。</w:t>
      </w:r>
    </w:p>
    <w:p w:rsidR="006C378F" w:rsidRDefault="00E12213">
      <w:pPr>
        <w:autoSpaceDE w:val="0"/>
        <w:autoSpaceDN w:val="0"/>
        <w:adjustRightInd/>
        <w:snapToGrid/>
        <w:spacing w:line="360" w:lineRule="auto"/>
        <w:ind w:firstLineChars="200" w:firstLine="480"/>
        <w:rPr>
          <w:bCs/>
          <w:szCs w:val="24"/>
        </w:rPr>
      </w:pPr>
      <w:r>
        <w:rPr>
          <w:bCs/>
          <w:szCs w:val="24"/>
        </w:rPr>
        <w:t>由于本项目造成的水土流失绝大部分发生在施工期，故在项目水土流失防治分区的划分过程中充分考虑主体工程布局和各类工程活动的特点和时序，同时结合本工程水土流失初步分析结果，将时序基本相同、功能接近、工程布局相对集中的工区划分为水土流失防治一级区，之后根据项目工程特征、施工工艺、施工组织等划分二级区。</w:t>
      </w:r>
    </w:p>
    <w:p w:rsidR="006C378F" w:rsidRDefault="00E12213">
      <w:pPr>
        <w:pStyle w:val="3"/>
        <w:widowControl/>
        <w:tabs>
          <w:tab w:val="center" w:pos="4252"/>
        </w:tabs>
        <w:adjustRightInd/>
        <w:snapToGrid/>
        <w:rPr>
          <w:szCs w:val="28"/>
        </w:rPr>
      </w:pPr>
      <w:bookmarkStart w:id="196" w:name="_Toc205692981"/>
      <w:bookmarkStart w:id="197" w:name="_Toc179486847"/>
      <w:r>
        <w:rPr>
          <w:szCs w:val="28"/>
        </w:rPr>
        <w:t>5.1.3</w:t>
      </w:r>
      <w:r>
        <w:rPr>
          <w:szCs w:val="28"/>
        </w:rPr>
        <w:t>分区结果</w:t>
      </w:r>
      <w:bookmarkEnd w:id="196"/>
      <w:bookmarkEnd w:id="197"/>
    </w:p>
    <w:p w:rsidR="006C378F" w:rsidRDefault="00E12213">
      <w:pPr>
        <w:widowControl/>
        <w:autoSpaceDE w:val="0"/>
        <w:autoSpaceDN w:val="0"/>
        <w:adjustRightInd/>
        <w:snapToGrid/>
        <w:spacing w:line="360" w:lineRule="auto"/>
        <w:ind w:firstLineChars="200" w:firstLine="480"/>
        <w:rPr>
          <w:bCs/>
          <w:szCs w:val="24"/>
        </w:rPr>
      </w:pPr>
      <w:r>
        <w:rPr>
          <w:bCs/>
          <w:szCs w:val="24"/>
        </w:rPr>
        <w:t>根据上述分区原则与依据，结合本项目的特点，将本项目划分成</w:t>
      </w:r>
      <w:r>
        <w:rPr>
          <w:rFonts w:hint="eastAsia"/>
          <w:bCs/>
          <w:szCs w:val="24"/>
        </w:rPr>
        <w:t>1</w:t>
      </w:r>
      <w:r>
        <w:rPr>
          <w:bCs/>
          <w:szCs w:val="24"/>
        </w:rPr>
        <w:t>个水土流失一级防治区，分别是</w:t>
      </w:r>
      <w:r>
        <w:rPr>
          <w:rFonts w:hint="eastAsia"/>
          <w:bCs/>
          <w:color w:val="0000FF"/>
          <w:szCs w:val="24"/>
        </w:rPr>
        <w:t>停车场区</w:t>
      </w:r>
      <w:r>
        <w:rPr>
          <w:szCs w:val="24"/>
        </w:rPr>
        <w:t>，</w:t>
      </w:r>
      <w:r>
        <w:rPr>
          <w:bCs/>
          <w:szCs w:val="24"/>
        </w:rPr>
        <w:t>详见表</w:t>
      </w:r>
      <w:r>
        <w:rPr>
          <w:bCs/>
          <w:szCs w:val="24"/>
        </w:rPr>
        <w:t>5-1</w:t>
      </w:r>
      <w:r>
        <w:rPr>
          <w:bCs/>
          <w:szCs w:val="24"/>
        </w:rPr>
        <w:t>。根据现场调查，确定本项目水土保持防治责任范围，详见表</w:t>
      </w:r>
      <w:r>
        <w:rPr>
          <w:bCs/>
          <w:szCs w:val="24"/>
        </w:rPr>
        <w:t>5-2</w:t>
      </w:r>
      <w:r>
        <w:rPr>
          <w:bCs/>
          <w:szCs w:val="24"/>
        </w:rPr>
        <w:t>。</w:t>
      </w:r>
    </w:p>
    <w:p w:rsidR="006C378F" w:rsidRDefault="00E12213">
      <w:pPr>
        <w:pStyle w:val="08522"/>
        <w:jc w:val="center"/>
        <w:rPr>
          <w:b/>
          <w:sz w:val="22"/>
          <w:szCs w:val="22"/>
        </w:rPr>
      </w:pPr>
      <w:r>
        <w:rPr>
          <w:b/>
          <w:sz w:val="22"/>
          <w:szCs w:val="22"/>
        </w:rPr>
        <w:t>表</w:t>
      </w:r>
      <w:r>
        <w:rPr>
          <w:b/>
          <w:sz w:val="22"/>
          <w:szCs w:val="22"/>
        </w:rPr>
        <w:t>5-</w:t>
      </w:r>
      <w:r>
        <w:rPr>
          <w:rFonts w:hint="eastAsia"/>
          <w:b/>
          <w:sz w:val="22"/>
          <w:szCs w:val="22"/>
        </w:rPr>
        <w:t>1</w:t>
      </w:r>
      <w:r>
        <w:rPr>
          <w:b/>
          <w:sz w:val="22"/>
          <w:szCs w:val="22"/>
        </w:rPr>
        <w:t xml:space="preserve">        </w:t>
      </w:r>
      <w:r>
        <w:rPr>
          <w:b/>
          <w:sz w:val="22"/>
          <w:szCs w:val="22"/>
        </w:rPr>
        <w:t>项目建设区水土保持防治责任范围表</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6"/>
        <w:gridCol w:w="2269"/>
        <w:gridCol w:w="2269"/>
        <w:gridCol w:w="2271"/>
      </w:tblGrid>
      <w:tr w:rsidR="006C378F">
        <w:trPr>
          <w:trHeight w:hRule="exact" w:val="283"/>
          <w:jc w:val="center"/>
        </w:trPr>
        <w:tc>
          <w:tcPr>
            <w:tcW w:w="1248" w:type="pct"/>
            <w:vMerge w:val="restart"/>
            <w:tcBorders>
              <w:tl2br w:val="nil"/>
              <w:tr2bl w:val="nil"/>
            </w:tcBorders>
            <w:noWrap/>
            <w:tcMar>
              <w:top w:w="15" w:type="dxa"/>
              <w:left w:w="15" w:type="dxa"/>
              <w:right w:w="15" w:type="dxa"/>
            </w:tcMar>
            <w:vAlign w:val="center"/>
          </w:tcPr>
          <w:p w:rsidR="006C378F" w:rsidRDefault="00E12213">
            <w:pPr>
              <w:widowControl/>
              <w:jc w:val="center"/>
              <w:textAlignment w:val="center"/>
              <w:rPr>
                <w:color w:val="0000FF"/>
                <w:sz w:val="21"/>
                <w:szCs w:val="21"/>
              </w:rPr>
            </w:pPr>
            <w:r>
              <w:rPr>
                <w:color w:val="0000FF"/>
                <w:kern w:val="0"/>
                <w:sz w:val="21"/>
                <w:szCs w:val="21"/>
                <w:lang w:bidi="ar"/>
              </w:rPr>
              <w:t>项目组成</w:t>
            </w:r>
          </w:p>
        </w:tc>
        <w:tc>
          <w:tcPr>
            <w:tcW w:w="1250" w:type="pct"/>
            <w:vMerge w:val="restart"/>
            <w:tcBorders>
              <w:tl2br w:val="nil"/>
              <w:tr2bl w:val="nil"/>
            </w:tcBorders>
            <w:noWrap/>
            <w:tcMar>
              <w:top w:w="15" w:type="dxa"/>
              <w:left w:w="15" w:type="dxa"/>
              <w:right w:w="15" w:type="dxa"/>
            </w:tcMar>
            <w:vAlign w:val="center"/>
          </w:tcPr>
          <w:p w:rsidR="006C378F" w:rsidRDefault="00E12213">
            <w:pPr>
              <w:widowControl/>
              <w:jc w:val="center"/>
              <w:textAlignment w:val="center"/>
              <w:rPr>
                <w:color w:val="0000FF"/>
                <w:kern w:val="0"/>
                <w:sz w:val="21"/>
                <w:szCs w:val="21"/>
                <w:lang w:bidi="ar"/>
              </w:rPr>
            </w:pPr>
            <w:r>
              <w:rPr>
                <w:color w:val="0000FF"/>
                <w:kern w:val="0"/>
                <w:sz w:val="21"/>
                <w:szCs w:val="21"/>
                <w:lang w:bidi="ar"/>
              </w:rPr>
              <w:t>小计</w:t>
            </w:r>
            <w:r>
              <w:rPr>
                <w:rFonts w:hint="eastAsia"/>
                <w:color w:val="0000FF"/>
                <w:kern w:val="0"/>
                <w:sz w:val="21"/>
                <w:szCs w:val="21"/>
                <w:lang w:bidi="ar"/>
              </w:rPr>
              <w:t>（</w:t>
            </w:r>
            <w:r>
              <w:rPr>
                <w:rFonts w:hint="eastAsia"/>
                <w:color w:val="0000FF"/>
                <w:kern w:val="0"/>
                <w:sz w:val="21"/>
                <w:szCs w:val="21"/>
                <w:lang w:bidi="ar"/>
              </w:rPr>
              <w:t>hm</w:t>
            </w:r>
            <w:r>
              <w:rPr>
                <w:color w:val="0000FF"/>
                <w:kern w:val="0"/>
                <w:sz w:val="21"/>
                <w:szCs w:val="21"/>
                <w:vertAlign w:val="superscript"/>
                <w:lang w:bidi="ar"/>
              </w:rPr>
              <w:t>2</w:t>
            </w:r>
            <w:r>
              <w:rPr>
                <w:rFonts w:hint="eastAsia"/>
                <w:color w:val="0000FF"/>
                <w:kern w:val="0"/>
                <w:sz w:val="21"/>
                <w:szCs w:val="21"/>
                <w:lang w:bidi="ar"/>
              </w:rPr>
              <w:t>）</w:t>
            </w:r>
          </w:p>
        </w:tc>
        <w:tc>
          <w:tcPr>
            <w:tcW w:w="2501" w:type="pct"/>
            <w:gridSpan w:val="2"/>
            <w:tcBorders>
              <w:tl2br w:val="nil"/>
              <w:tr2bl w:val="nil"/>
            </w:tcBorders>
            <w:noWrap/>
            <w:tcMar>
              <w:top w:w="15" w:type="dxa"/>
              <w:left w:w="15" w:type="dxa"/>
              <w:right w:w="15" w:type="dxa"/>
            </w:tcMar>
            <w:vAlign w:val="center"/>
          </w:tcPr>
          <w:p w:rsidR="006C378F" w:rsidRDefault="00E12213">
            <w:pPr>
              <w:widowControl/>
              <w:jc w:val="center"/>
              <w:textAlignment w:val="center"/>
              <w:rPr>
                <w:color w:val="0000FF"/>
                <w:kern w:val="0"/>
                <w:sz w:val="21"/>
                <w:szCs w:val="21"/>
                <w:lang w:bidi="ar"/>
              </w:rPr>
            </w:pPr>
            <w:r>
              <w:rPr>
                <w:color w:val="0000FF"/>
                <w:kern w:val="0"/>
                <w:sz w:val="21"/>
                <w:szCs w:val="21"/>
                <w:lang w:bidi="ar"/>
              </w:rPr>
              <w:t>水土保持防治责任范围表</w:t>
            </w:r>
          </w:p>
        </w:tc>
      </w:tr>
      <w:tr w:rsidR="006C378F">
        <w:trPr>
          <w:trHeight w:hRule="exact" w:val="283"/>
          <w:jc w:val="center"/>
        </w:trPr>
        <w:tc>
          <w:tcPr>
            <w:tcW w:w="1248" w:type="pct"/>
            <w:vMerge/>
            <w:tcBorders>
              <w:tl2br w:val="nil"/>
              <w:tr2bl w:val="nil"/>
            </w:tcBorders>
            <w:noWrap/>
            <w:tcMar>
              <w:top w:w="15" w:type="dxa"/>
              <w:left w:w="15" w:type="dxa"/>
              <w:right w:w="15" w:type="dxa"/>
            </w:tcMar>
            <w:vAlign w:val="center"/>
          </w:tcPr>
          <w:p w:rsidR="006C378F" w:rsidRDefault="006C378F">
            <w:pPr>
              <w:widowControl/>
              <w:jc w:val="center"/>
              <w:textAlignment w:val="center"/>
              <w:rPr>
                <w:color w:val="0000FF"/>
                <w:sz w:val="21"/>
                <w:szCs w:val="21"/>
              </w:rPr>
            </w:pPr>
          </w:p>
        </w:tc>
        <w:tc>
          <w:tcPr>
            <w:tcW w:w="1250" w:type="pct"/>
            <w:vMerge/>
            <w:tcBorders>
              <w:tl2br w:val="nil"/>
              <w:tr2bl w:val="nil"/>
            </w:tcBorders>
            <w:noWrap/>
            <w:tcMar>
              <w:top w:w="15" w:type="dxa"/>
              <w:left w:w="15" w:type="dxa"/>
              <w:right w:w="15" w:type="dxa"/>
            </w:tcMar>
            <w:vAlign w:val="center"/>
          </w:tcPr>
          <w:p w:rsidR="006C378F" w:rsidRDefault="006C378F">
            <w:pPr>
              <w:widowControl/>
              <w:jc w:val="center"/>
              <w:textAlignment w:val="center"/>
              <w:rPr>
                <w:color w:val="0000FF"/>
                <w:kern w:val="0"/>
                <w:sz w:val="21"/>
                <w:szCs w:val="21"/>
                <w:lang w:bidi="ar"/>
              </w:rPr>
            </w:pPr>
          </w:p>
        </w:tc>
        <w:tc>
          <w:tcPr>
            <w:tcW w:w="1250" w:type="pct"/>
            <w:tcBorders>
              <w:tl2br w:val="nil"/>
              <w:tr2bl w:val="nil"/>
            </w:tcBorders>
            <w:noWrap/>
            <w:tcMar>
              <w:top w:w="15" w:type="dxa"/>
              <w:left w:w="15" w:type="dxa"/>
              <w:right w:w="15" w:type="dxa"/>
            </w:tcMar>
            <w:vAlign w:val="center"/>
          </w:tcPr>
          <w:p w:rsidR="006C378F" w:rsidRDefault="00E12213">
            <w:pPr>
              <w:widowControl/>
              <w:jc w:val="center"/>
              <w:textAlignment w:val="center"/>
              <w:rPr>
                <w:color w:val="0000FF"/>
                <w:kern w:val="0"/>
                <w:sz w:val="21"/>
                <w:szCs w:val="21"/>
                <w:lang w:bidi="ar"/>
              </w:rPr>
            </w:pPr>
            <w:r>
              <w:rPr>
                <w:color w:val="0000FF"/>
                <w:kern w:val="0"/>
                <w:sz w:val="21"/>
                <w:szCs w:val="21"/>
                <w:lang w:bidi="ar"/>
              </w:rPr>
              <w:t>项目建设区</w:t>
            </w:r>
          </w:p>
        </w:tc>
        <w:tc>
          <w:tcPr>
            <w:tcW w:w="1251" w:type="pct"/>
            <w:tcBorders>
              <w:tl2br w:val="nil"/>
              <w:tr2bl w:val="nil"/>
            </w:tcBorders>
            <w:noWrap/>
            <w:tcMar>
              <w:top w:w="15" w:type="dxa"/>
              <w:left w:w="15" w:type="dxa"/>
              <w:right w:w="15" w:type="dxa"/>
            </w:tcMar>
            <w:vAlign w:val="center"/>
          </w:tcPr>
          <w:p w:rsidR="006C378F" w:rsidRDefault="00E12213">
            <w:pPr>
              <w:widowControl/>
              <w:jc w:val="center"/>
              <w:textAlignment w:val="center"/>
              <w:rPr>
                <w:color w:val="0000FF"/>
                <w:kern w:val="0"/>
                <w:sz w:val="21"/>
                <w:szCs w:val="21"/>
                <w:lang w:bidi="ar"/>
              </w:rPr>
            </w:pPr>
            <w:r>
              <w:rPr>
                <w:color w:val="0000FF"/>
                <w:kern w:val="0"/>
                <w:sz w:val="21"/>
                <w:szCs w:val="21"/>
                <w:lang w:bidi="ar"/>
              </w:rPr>
              <w:t>直接影响区</w:t>
            </w:r>
          </w:p>
        </w:tc>
      </w:tr>
      <w:tr w:rsidR="006C378F">
        <w:trPr>
          <w:trHeight w:hRule="exact" w:val="283"/>
          <w:jc w:val="center"/>
        </w:trPr>
        <w:tc>
          <w:tcPr>
            <w:tcW w:w="1248" w:type="pct"/>
            <w:tcBorders>
              <w:tl2br w:val="nil"/>
              <w:tr2bl w:val="nil"/>
            </w:tcBorders>
            <w:noWrap/>
            <w:tcMar>
              <w:top w:w="15" w:type="dxa"/>
              <w:left w:w="15" w:type="dxa"/>
              <w:right w:w="15" w:type="dxa"/>
            </w:tcMar>
            <w:vAlign w:val="center"/>
          </w:tcPr>
          <w:p w:rsidR="006C378F" w:rsidRDefault="00E12213">
            <w:pPr>
              <w:widowControl/>
              <w:jc w:val="center"/>
              <w:textAlignment w:val="center"/>
              <w:rPr>
                <w:color w:val="0000FF"/>
                <w:sz w:val="21"/>
                <w:szCs w:val="21"/>
              </w:rPr>
            </w:pPr>
            <w:r>
              <w:rPr>
                <w:rFonts w:hint="eastAsia"/>
                <w:color w:val="0000FF"/>
                <w:kern w:val="0"/>
                <w:sz w:val="21"/>
                <w:szCs w:val="21"/>
                <w:lang w:bidi="ar"/>
              </w:rPr>
              <w:t>停车场区</w:t>
            </w:r>
          </w:p>
        </w:tc>
        <w:tc>
          <w:tcPr>
            <w:tcW w:w="1250" w:type="pct"/>
            <w:tcBorders>
              <w:tl2br w:val="nil"/>
              <w:tr2bl w:val="nil"/>
            </w:tcBorders>
            <w:noWrap/>
            <w:tcMar>
              <w:top w:w="15" w:type="dxa"/>
              <w:left w:w="15" w:type="dxa"/>
              <w:right w:w="15" w:type="dxa"/>
            </w:tcMar>
            <w:vAlign w:val="center"/>
          </w:tcPr>
          <w:p w:rsidR="006C378F" w:rsidRDefault="00E12213">
            <w:pPr>
              <w:widowControl/>
              <w:jc w:val="center"/>
              <w:textAlignment w:val="center"/>
              <w:rPr>
                <w:bCs/>
                <w:color w:val="0000FF"/>
                <w:kern w:val="0"/>
                <w:sz w:val="21"/>
                <w:szCs w:val="21"/>
              </w:rPr>
            </w:pPr>
            <w:r>
              <w:rPr>
                <w:rFonts w:hint="eastAsia"/>
                <w:bCs/>
                <w:color w:val="0000FF"/>
                <w:kern w:val="0"/>
                <w:sz w:val="21"/>
                <w:szCs w:val="21"/>
              </w:rPr>
              <w:t>0.80</w:t>
            </w:r>
          </w:p>
        </w:tc>
        <w:tc>
          <w:tcPr>
            <w:tcW w:w="1250" w:type="pct"/>
            <w:tcBorders>
              <w:tl2br w:val="nil"/>
              <w:tr2bl w:val="nil"/>
            </w:tcBorders>
            <w:noWrap/>
            <w:tcMar>
              <w:top w:w="15" w:type="dxa"/>
              <w:left w:w="15" w:type="dxa"/>
              <w:right w:w="15" w:type="dxa"/>
            </w:tcMar>
            <w:vAlign w:val="center"/>
          </w:tcPr>
          <w:p w:rsidR="006C378F" w:rsidRDefault="00E12213">
            <w:pPr>
              <w:widowControl/>
              <w:jc w:val="center"/>
              <w:textAlignment w:val="center"/>
              <w:rPr>
                <w:bCs/>
                <w:color w:val="0000FF"/>
                <w:kern w:val="0"/>
                <w:sz w:val="21"/>
                <w:szCs w:val="21"/>
              </w:rPr>
            </w:pPr>
            <w:r>
              <w:rPr>
                <w:rFonts w:hint="eastAsia"/>
                <w:color w:val="0000FF"/>
                <w:kern w:val="0"/>
                <w:sz w:val="21"/>
                <w:szCs w:val="21"/>
                <w:lang w:bidi="ar"/>
              </w:rPr>
              <w:t>0.80</w:t>
            </w:r>
          </w:p>
        </w:tc>
        <w:tc>
          <w:tcPr>
            <w:tcW w:w="1251" w:type="pct"/>
            <w:tcBorders>
              <w:tl2br w:val="nil"/>
              <w:tr2bl w:val="nil"/>
            </w:tcBorders>
            <w:noWrap/>
            <w:tcMar>
              <w:top w:w="15" w:type="dxa"/>
              <w:left w:w="15" w:type="dxa"/>
              <w:right w:w="15" w:type="dxa"/>
            </w:tcMar>
            <w:vAlign w:val="center"/>
          </w:tcPr>
          <w:p w:rsidR="006C378F" w:rsidRDefault="00E12213">
            <w:pPr>
              <w:widowControl/>
              <w:jc w:val="center"/>
              <w:textAlignment w:val="center"/>
              <w:rPr>
                <w:color w:val="0000FF"/>
                <w:kern w:val="0"/>
                <w:sz w:val="21"/>
                <w:szCs w:val="21"/>
                <w:lang w:bidi="ar"/>
              </w:rPr>
            </w:pPr>
            <w:r>
              <w:rPr>
                <w:color w:val="0000FF"/>
                <w:kern w:val="0"/>
                <w:sz w:val="21"/>
                <w:szCs w:val="21"/>
                <w:lang w:bidi="ar"/>
              </w:rPr>
              <w:t>-</w:t>
            </w:r>
          </w:p>
        </w:tc>
      </w:tr>
      <w:tr w:rsidR="006C378F">
        <w:trPr>
          <w:trHeight w:hRule="exact" w:val="283"/>
          <w:jc w:val="center"/>
        </w:trPr>
        <w:tc>
          <w:tcPr>
            <w:tcW w:w="0" w:type="auto"/>
            <w:vAlign w:val="center"/>
          </w:tcPr>
          <w:p w:rsidR="006C378F" w:rsidRDefault="00E12213">
            <w:pPr>
              <w:widowControl/>
              <w:jc w:val="center"/>
              <w:textAlignment w:val="center"/>
              <w:rPr>
                <w:color w:val="0000FF"/>
                <w:sz w:val="21"/>
                <w:szCs w:val="21"/>
              </w:rPr>
            </w:pPr>
            <w:r>
              <w:rPr>
                <w:color w:val="0000FF"/>
                <w:sz w:val="21"/>
                <w:szCs w:val="21"/>
              </w:rPr>
              <w:t>合计</w:t>
            </w:r>
          </w:p>
        </w:tc>
        <w:tc>
          <w:tcPr>
            <w:tcW w:w="0" w:type="auto"/>
            <w:vAlign w:val="center"/>
          </w:tcPr>
          <w:p w:rsidR="006C378F" w:rsidRDefault="00E12213">
            <w:pPr>
              <w:widowControl/>
              <w:jc w:val="center"/>
              <w:textAlignment w:val="center"/>
              <w:rPr>
                <w:bCs/>
                <w:color w:val="0000FF"/>
                <w:kern w:val="0"/>
                <w:sz w:val="21"/>
                <w:szCs w:val="21"/>
              </w:rPr>
            </w:pPr>
            <w:r>
              <w:rPr>
                <w:rFonts w:hint="eastAsia"/>
                <w:bCs/>
                <w:color w:val="0000FF"/>
                <w:kern w:val="0"/>
                <w:sz w:val="21"/>
                <w:szCs w:val="21"/>
              </w:rPr>
              <w:t>0.80</w:t>
            </w:r>
          </w:p>
        </w:tc>
        <w:tc>
          <w:tcPr>
            <w:tcW w:w="0" w:type="auto"/>
            <w:vAlign w:val="center"/>
          </w:tcPr>
          <w:p w:rsidR="006C378F" w:rsidRDefault="00E12213">
            <w:pPr>
              <w:widowControl/>
              <w:jc w:val="center"/>
              <w:textAlignment w:val="center"/>
              <w:rPr>
                <w:bCs/>
                <w:color w:val="0000FF"/>
                <w:kern w:val="0"/>
                <w:sz w:val="21"/>
                <w:szCs w:val="21"/>
              </w:rPr>
            </w:pPr>
            <w:r>
              <w:rPr>
                <w:rFonts w:hint="eastAsia"/>
                <w:bCs/>
                <w:color w:val="0000FF"/>
                <w:kern w:val="0"/>
                <w:sz w:val="21"/>
                <w:szCs w:val="21"/>
              </w:rPr>
              <w:t>0.80</w:t>
            </w:r>
          </w:p>
        </w:tc>
        <w:tc>
          <w:tcPr>
            <w:tcW w:w="0" w:type="auto"/>
            <w:vAlign w:val="center"/>
          </w:tcPr>
          <w:p w:rsidR="006C378F" w:rsidRDefault="00E12213">
            <w:pPr>
              <w:widowControl/>
              <w:jc w:val="center"/>
              <w:textAlignment w:val="center"/>
              <w:rPr>
                <w:color w:val="0000FF"/>
                <w:kern w:val="0"/>
                <w:sz w:val="21"/>
                <w:szCs w:val="21"/>
                <w:lang w:bidi="ar"/>
              </w:rPr>
            </w:pPr>
            <w:r>
              <w:rPr>
                <w:color w:val="0000FF"/>
                <w:kern w:val="0"/>
                <w:sz w:val="21"/>
                <w:szCs w:val="21"/>
                <w:lang w:bidi="ar"/>
              </w:rPr>
              <w:t>-</w:t>
            </w:r>
          </w:p>
        </w:tc>
      </w:tr>
    </w:tbl>
    <w:p w:rsidR="006C378F" w:rsidRDefault="006C378F"/>
    <w:p w:rsidR="006C378F" w:rsidRDefault="00E12213">
      <w:pPr>
        <w:pStyle w:val="2"/>
        <w:spacing w:beforeLines="50" w:before="120"/>
      </w:pPr>
      <w:bookmarkStart w:id="198" w:name="_Toc6707"/>
      <w:r>
        <w:t>5.2</w:t>
      </w:r>
      <w:r>
        <w:t>主体工程设计中具有水土保持措施界定与评价</w:t>
      </w:r>
      <w:bookmarkEnd w:id="193"/>
      <w:bookmarkEnd w:id="198"/>
    </w:p>
    <w:p w:rsidR="006C378F" w:rsidRDefault="00E12213">
      <w:pPr>
        <w:pStyle w:val="3"/>
      </w:pPr>
      <w:r>
        <w:lastRenderedPageBreak/>
        <w:t>5.1.1</w:t>
      </w:r>
      <w:r>
        <w:t>界定原则</w:t>
      </w:r>
    </w:p>
    <w:p w:rsidR="006C378F" w:rsidRDefault="00E12213">
      <w:pPr>
        <w:widowControl/>
        <w:adjustRightInd/>
        <w:snapToGrid/>
        <w:spacing w:line="360" w:lineRule="auto"/>
        <w:ind w:firstLine="420"/>
      </w:pPr>
      <w:r>
        <w:t>（</w:t>
      </w:r>
      <w:r>
        <w:t>1</w:t>
      </w:r>
      <w:r>
        <w:t>）主导功能原则</w:t>
      </w:r>
    </w:p>
    <w:p w:rsidR="006C378F" w:rsidRDefault="00E12213">
      <w:pPr>
        <w:widowControl/>
        <w:adjustRightInd/>
        <w:snapToGrid/>
        <w:spacing w:line="360" w:lineRule="auto"/>
        <w:ind w:firstLine="420"/>
      </w:pPr>
      <w:r>
        <w:t>以防治水土流失为主要目标的工程，其设计、工程量、投资应纳入水土保持设计中，以主体工程设计功能为主、同时具有水土保持功能的工程，其设计、工程量、投资不纳入水土保持设计中，仅对其进行水土保持分析与评价。</w:t>
      </w:r>
    </w:p>
    <w:p w:rsidR="006C378F" w:rsidRDefault="00E12213">
      <w:pPr>
        <w:widowControl/>
        <w:adjustRightInd/>
        <w:snapToGrid/>
        <w:spacing w:line="360" w:lineRule="auto"/>
        <w:ind w:firstLine="420"/>
      </w:pPr>
      <w:r>
        <w:t>（</w:t>
      </w:r>
      <w:r>
        <w:t>2</w:t>
      </w:r>
      <w:r>
        <w:t>）责任区分原则</w:t>
      </w:r>
    </w:p>
    <w:p w:rsidR="006C378F" w:rsidRDefault="00E12213">
      <w:pPr>
        <w:widowControl/>
        <w:adjustRightInd/>
        <w:snapToGrid/>
        <w:spacing w:line="360" w:lineRule="auto"/>
        <w:ind w:firstLine="420"/>
      </w:pPr>
      <w:r>
        <w:t>对建设过程中的临时征地、临时占地，因施工结束后将归还当地群众或当地政府，基于水土保持工程具有公益性质的特点，需要将此范围的各项防护措施作为水土保持功能，计入水土保持设计。</w:t>
      </w:r>
    </w:p>
    <w:p w:rsidR="006C378F" w:rsidRDefault="00E12213">
      <w:pPr>
        <w:widowControl/>
        <w:adjustRightInd/>
        <w:snapToGrid/>
        <w:spacing w:line="360" w:lineRule="auto"/>
        <w:ind w:firstLine="420"/>
      </w:pPr>
      <w:r>
        <w:t>（</w:t>
      </w:r>
      <w:r>
        <w:t>3</w:t>
      </w:r>
      <w:r>
        <w:t>）试验排除原则</w:t>
      </w:r>
    </w:p>
    <w:p w:rsidR="006C378F" w:rsidRDefault="00E12213">
      <w:pPr>
        <w:widowControl/>
        <w:adjustRightInd/>
        <w:snapToGrid/>
        <w:spacing w:line="360" w:lineRule="auto"/>
        <w:ind w:firstLine="420"/>
      </w:pPr>
      <w:r>
        <w:t>对主体设计功能和水土保持功能结合较紧密的工程，可按破坏性试验的原则进行排除。假定没有这些工程，在没有受到土壤外营力的同时，主体设计功能仍旧可以发挥作用的，此类工程即可看作以防止土壤侵蚀为主要目标，应算做水土保持工程，计入水土保持设计。</w:t>
      </w:r>
    </w:p>
    <w:p w:rsidR="006C378F" w:rsidRDefault="00E12213">
      <w:pPr>
        <w:pStyle w:val="3"/>
      </w:pPr>
      <w:r>
        <w:t>5.2.2</w:t>
      </w:r>
      <w:r>
        <w:t>主体工程设计中具有水土保持措施界定与评价</w:t>
      </w:r>
    </w:p>
    <w:p w:rsidR="006C378F" w:rsidRDefault="00E12213">
      <w:pPr>
        <w:adjustRightInd/>
        <w:snapToGrid/>
        <w:spacing w:line="360" w:lineRule="auto"/>
        <w:ind w:firstLineChars="200" w:firstLine="480"/>
        <w:rPr>
          <w:szCs w:val="24"/>
        </w:rPr>
      </w:pPr>
      <w:r>
        <w:rPr>
          <w:szCs w:val="24"/>
        </w:rPr>
        <w:t>本方案根据主导功能原则、责任区分原则、试验排除原则，从综合防治水土流失角度出发，对主体设计的水土保持工程进行分析论证。现对主体设计的水土保持进行界定评价如下：</w:t>
      </w:r>
    </w:p>
    <w:p w:rsidR="006C378F" w:rsidRDefault="00E12213">
      <w:pPr>
        <w:pStyle w:val="a0"/>
        <w:spacing w:after="0"/>
        <w:jc w:val="center"/>
        <w:rPr>
          <w:b/>
          <w:bCs/>
          <w:sz w:val="22"/>
          <w:szCs w:val="22"/>
        </w:rPr>
      </w:pPr>
      <w:r>
        <w:rPr>
          <w:b/>
          <w:bCs/>
          <w:sz w:val="22"/>
          <w:szCs w:val="22"/>
        </w:rPr>
        <w:t>表</w:t>
      </w:r>
      <w:r>
        <w:rPr>
          <w:b/>
          <w:bCs/>
          <w:sz w:val="22"/>
          <w:szCs w:val="22"/>
        </w:rPr>
        <w:t xml:space="preserve">5-3   </w:t>
      </w:r>
      <w:r>
        <w:rPr>
          <w:b/>
          <w:bCs/>
          <w:sz w:val="22"/>
          <w:szCs w:val="22"/>
        </w:rPr>
        <w:t>主体工程水土保持措施界定</w:t>
      </w:r>
    </w:p>
    <w:tbl>
      <w:tblPr>
        <w:tblW w:w="0" w:type="auto"/>
        <w:tblLayout w:type="fixed"/>
        <w:tblLook w:val="04A0" w:firstRow="1" w:lastRow="0" w:firstColumn="1" w:lastColumn="0" w:noHBand="0" w:noVBand="1"/>
      </w:tblPr>
      <w:tblGrid>
        <w:gridCol w:w="1384"/>
        <w:gridCol w:w="4820"/>
        <w:gridCol w:w="3082"/>
      </w:tblGrid>
      <w:tr w:rsidR="006C378F">
        <w:trPr>
          <w:trHeight w:val="224"/>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项目组成</w:t>
            </w:r>
          </w:p>
        </w:tc>
        <w:tc>
          <w:tcPr>
            <w:tcW w:w="4820" w:type="dxa"/>
            <w:tcBorders>
              <w:top w:val="single" w:sz="4" w:space="0" w:color="auto"/>
              <w:left w:val="nil"/>
              <w:bottom w:val="single" w:sz="4" w:space="0" w:color="auto"/>
              <w:right w:val="single" w:sz="4" w:space="0" w:color="auto"/>
            </w:tcBorders>
            <w:shd w:val="clear" w:color="auto" w:fill="auto"/>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界定为水土保持措施的工程</w:t>
            </w:r>
          </w:p>
        </w:tc>
        <w:tc>
          <w:tcPr>
            <w:tcW w:w="3082" w:type="dxa"/>
            <w:tcBorders>
              <w:top w:val="single" w:sz="4" w:space="0" w:color="auto"/>
              <w:left w:val="nil"/>
              <w:bottom w:val="single" w:sz="4" w:space="0" w:color="auto"/>
              <w:right w:val="single" w:sz="4" w:space="0" w:color="auto"/>
            </w:tcBorders>
            <w:shd w:val="clear" w:color="auto" w:fill="auto"/>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不界定为水土保持措施的工程</w:t>
            </w:r>
          </w:p>
        </w:tc>
      </w:tr>
      <w:tr w:rsidR="006C378F">
        <w:trPr>
          <w:trHeight w:val="77"/>
        </w:trPr>
        <w:tc>
          <w:tcPr>
            <w:tcW w:w="1384" w:type="dxa"/>
            <w:tcBorders>
              <w:top w:val="nil"/>
              <w:left w:val="single" w:sz="4" w:space="0" w:color="auto"/>
              <w:bottom w:val="single" w:sz="4" w:space="0" w:color="auto"/>
              <w:right w:val="single" w:sz="4" w:space="0" w:color="auto"/>
            </w:tcBorders>
            <w:shd w:val="clear" w:color="auto" w:fill="auto"/>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停车场区</w:t>
            </w:r>
          </w:p>
        </w:tc>
        <w:tc>
          <w:tcPr>
            <w:tcW w:w="4820" w:type="dxa"/>
            <w:tcBorders>
              <w:top w:val="nil"/>
              <w:left w:val="nil"/>
              <w:bottom w:val="single" w:sz="4" w:space="0" w:color="auto"/>
              <w:right w:val="single" w:sz="4" w:space="0" w:color="auto"/>
            </w:tcBorders>
            <w:shd w:val="clear" w:color="auto" w:fill="auto"/>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排水沟、雨水管、雨水井、雨水口、表土剥离、覆土整治、植物绿化</w:t>
            </w:r>
          </w:p>
        </w:tc>
        <w:tc>
          <w:tcPr>
            <w:tcW w:w="3082" w:type="dxa"/>
            <w:tcBorders>
              <w:top w:val="nil"/>
              <w:left w:val="nil"/>
              <w:bottom w:val="single" w:sz="4" w:space="0" w:color="auto"/>
              <w:right w:val="single" w:sz="4" w:space="0" w:color="auto"/>
            </w:tcBorders>
            <w:shd w:val="clear" w:color="auto" w:fill="auto"/>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围墙</w:t>
            </w:r>
          </w:p>
        </w:tc>
      </w:tr>
    </w:tbl>
    <w:p w:rsidR="006C378F" w:rsidRDefault="00E12213">
      <w:pPr>
        <w:pStyle w:val="af3"/>
        <w:ind w:firstLine="482"/>
        <w:rPr>
          <w:b/>
          <w:bCs/>
          <w:color w:val="auto"/>
        </w:rPr>
      </w:pPr>
      <w:r>
        <w:rPr>
          <w:b/>
          <w:bCs/>
          <w:color w:val="auto"/>
        </w:rPr>
        <w:t>一、停车场区</w:t>
      </w:r>
    </w:p>
    <w:p w:rsidR="006C378F" w:rsidRDefault="00E12213">
      <w:pPr>
        <w:pStyle w:val="af3"/>
        <w:ind w:firstLine="482"/>
        <w:rPr>
          <w:b/>
          <w:bCs/>
          <w:color w:val="auto"/>
        </w:rPr>
      </w:pPr>
      <w:r>
        <w:rPr>
          <w:b/>
          <w:bCs/>
          <w:color w:val="auto"/>
        </w:rPr>
        <w:t>主体设计措施：</w:t>
      </w:r>
    </w:p>
    <w:p w:rsidR="006C378F" w:rsidRDefault="00E12213">
      <w:pPr>
        <w:pStyle w:val="af3"/>
        <w:ind w:firstLine="482"/>
        <w:rPr>
          <w:b/>
          <w:bCs/>
          <w:color w:val="auto"/>
        </w:rPr>
      </w:pPr>
      <w:r>
        <w:rPr>
          <w:b/>
          <w:bCs/>
          <w:color w:val="auto"/>
        </w:rPr>
        <w:t>1</w:t>
      </w:r>
      <w:r>
        <w:rPr>
          <w:b/>
          <w:bCs/>
          <w:color w:val="auto"/>
        </w:rPr>
        <w:t>、工程措施</w:t>
      </w:r>
    </w:p>
    <w:p w:rsidR="006C378F" w:rsidRDefault="00E12213">
      <w:pPr>
        <w:pStyle w:val="af3"/>
        <w:ind w:firstLine="482"/>
        <w:rPr>
          <w:b/>
          <w:bCs/>
          <w:color w:val="auto"/>
        </w:rPr>
      </w:pPr>
      <w:r>
        <w:rPr>
          <w:b/>
          <w:bCs/>
          <w:color w:val="auto"/>
        </w:rPr>
        <w:t>（</w:t>
      </w:r>
      <w:r>
        <w:rPr>
          <w:b/>
          <w:bCs/>
          <w:color w:val="auto"/>
        </w:rPr>
        <w:t>1</w:t>
      </w:r>
      <w:r>
        <w:rPr>
          <w:b/>
          <w:bCs/>
          <w:color w:val="auto"/>
        </w:rPr>
        <w:t>）排水沟</w:t>
      </w:r>
    </w:p>
    <w:p w:rsidR="006C378F" w:rsidRDefault="00E12213">
      <w:pPr>
        <w:spacing w:line="360" w:lineRule="auto"/>
        <w:ind w:firstLine="562"/>
        <w:rPr>
          <w:bCs/>
        </w:rPr>
      </w:pPr>
      <w:r>
        <w:t>根据主体资料及现场调查，主体在</w:t>
      </w:r>
      <w:r>
        <w:rPr>
          <w:rFonts w:hint="eastAsia"/>
        </w:rPr>
        <w:t>东北侧</w:t>
      </w:r>
      <w:r>
        <w:t>修建</w:t>
      </w:r>
      <w:r>
        <w:rPr>
          <w:rFonts w:hint="eastAsia"/>
        </w:rPr>
        <w:t>混凝土</w:t>
      </w:r>
      <w:r>
        <w:t>排水</w:t>
      </w:r>
      <w:r>
        <w:rPr>
          <w:rFonts w:hint="eastAsia"/>
        </w:rPr>
        <w:t>明</w:t>
      </w:r>
      <w:r>
        <w:t>沟共</w:t>
      </w:r>
      <w:r>
        <w:t>125m</w:t>
      </w:r>
      <w:r>
        <w:t>，</w:t>
      </w:r>
      <w:r>
        <w:rPr>
          <w:szCs w:val="24"/>
        </w:rPr>
        <w:t>断面尺寸为</w:t>
      </w:r>
      <w:r>
        <w:rPr>
          <w:szCs w:val="24"/>
        </w:rPr>
        <w:t>0.5×0.6m</w:t>
      </w:r>
      <w:r>
        <w:rPr>
          <w:szCs w:val="24"/>
        </w:rPr>
        <w:t>矩形断面，为</w:t>
      </w:r>
      <w:r>
        <w:rPr>
          <w:szCs w:val="24"/>
        </w:rPr>
        <w:t>C</w:t>
      </w:r>
      <w:r>
        <w:rPr>
          <w:szCs w:val="24"/>
          <w:vertAlign w:val="subscript"/>
        </w:rPr>
        <w:t>15</w:t>
      </w:r>
      <w:r>
        <w:rPr>
          <w:szCs w:val="24"/>
        </w:rPr>
        <w:t>混凝土砌筑。排水沟终点接武德路排水沟。</w:t>
      </w:r>
      <w:r>
        <w:rPr>
          <w:bCs/>
        </w:rPr>
        <w:t>根据</w:t>
      </w:r>
      <w:r>
        <w:rPr>
          <w:szCs w:val="24"/>
          <w:lang w:val="zh-CN"/>
        </w:rPr>
        <w:t>《生产建设项目水土保持技术标准（</w:t>
      </w:r>
      <w:r>
        <w:rPr>
          <w:szCs w:val="24"/>
        </w:rPr>
        <w:t>GB50433-2018</w:t>
      </w:r>
      <w:r>
        <w:rPr>
          <w:szCs w:val="24"/>
          <w:lang w:val="zh-CN"/>
        </w:rPr>
        <w:t>）》附录</w:t>
      </w:r>
      <w:r>
        <w:rPr>
          <w:szCs w:val="24"/>
        </w:rPr>
        <w:t xml:space="preserve">D </w:t>
      </w:r>
      <w:r>
        <w:rPr>
          <w:szCs w:val="24"/>
          <w:lang w:val="zh-CN"/>
        </w:rPr>
        <w:t>主体工程设计中水土保持措施界定，排水沟应纳入水土保持工程措施。</w:t>
      </w:r>
    </w:p>
    <w:p w:rsidR="006C378F" w:rsidRDefault="00E12213">
      <w:pPr>
        <w:pStyle w:val="af3"/>
        <w:ind w:firstLine="480"/>
        <w:rPr>
          <w:color w:val="auto"/>
          <w:szCs w:val="24"/>
        </w:rPr>
      </w:pPr>
      <w:r>
        <w:rPr>
          <w:color w:val="auto"/>
          <w:szCs w:val="24"/>
        </w:rPr>
        <w:lastRenderedPageBreak/>
        <w:t>分析评价：本区排水沟已修建完成并运行，经现场勘查，现有排水沟措施满足本区排水要求且保存较好，本方案不再新增排水措施。</w:t>
      </w:r>
    </w:p>
    <w:p w:rsidR="006C378F" w:rsidRDefault="00E12213">
      <w:pPr>
        <w:pStyle w:val="af3"/>
        <w:ind w:firstLine="482"/>
        <w:rPr>
          <w:b/>
          <w:bCs/>
          <w:color w:val="auto"/>
        </w:rPr>
      </w:pPr>
      <w:r>
        <w:rPr>
          <w:b/>
          <w:bCs/>
          <w:color w:val="auto"/>
        </w:rPr>
        <w:t>（</w:t>
      </w:r>
      <w:r>
        <w:rPr>
          <w:b/>
          <w:bCs/>
          <w:color w:val="auto"/>
        </w:rPr>
        <w:t>2</w:t>
      </w:r>
      <w:r>
        <w:rPr>
          <w:b/>
          <w:bCs/>
          <w:color w:val="auto"/>
        </w:rPr>
        <w:t>）</w:t>
      </w:r>
      <w:r>
        <w:rPr>
          <w:rFonts w:hint="eastAsia"/>
          <w:b/>
          <w:bCs/>
          <w:color w:val="auto"/>
        </w:rPr>
        <w:t>雨水管、</w:t>
      </w:r>
      <w:r>
        <w:rPr>
          <w:b/>
          <w:bCs/>
          <w:color w:val="auto"/>
        </w:rPr>
        <w:t>雨水井、雨水口</w:t>
      </w:r>
    </w:p>
    <w:p w:rsidR="006C378F" w:rsidRDefault="00E12213">
      <w:pPr>
        <w:pStyle w:val="af3"/>
        <w:ind w:firstLine="480"/>
        <w:rPr>
          <w:color w:val="auto"/>
          <w:szCs w:val="24"/>
          <w:lang w:val="zh-CN"/>
        </w:rPr>
      </w:pPr>
      <w:r>
        <w:rPr>
          <w:color w:val="auto"/>
          <w:szCs w:val="24"/>
        </w:rPr>
        <w:t>根据主体资料及现场调查，主体在</w:t>
      </w:r>
      <w:r>
        <w:rPr>
          <w:rFonts w:hint="eastAsia"/>
          <w:color w:val="auto"/>
          <w:szCs w:val="24"/>
        </w:rPr>
        <w:t>项目区</w:t>
      </w:r>
      <w:r>
        <w:rPr>
          <w:color w:val="auto"/>
          <w:szCs w:val="24"/>
        </w:rPr>
        <w:t>内</w:t>
      </w:r>
      <w:r>
        <w:rPr>
          <w:rFonts w:hint="eastAsia"/>
          <w:color w:val="auto"/>
          <w:szCs w:val="24"/>
        </w:rPr>
        <w:t>布设雨水管</w:t>
      </w:r>
      <w:r>
        <w:rPr>
          <w:color w:val="auto"/>
          <w:szCs w:val="24"/>
        </w:rPr>
        <w:t>360m</w:t>
      </w:r>
      <w:r>
        <w:rPr>
          <w:rFonts w:hint="eastAsia"/>
          <w:color w:val="auto"/>
          <w:szCs w:val="24"/>
        </w:rPr>
        <w:t>，</w:t>
      </w:r>
      <w:r>
        <w:rPr>
          <w:color w:val="auto"/>
          <w:szCs w:val="24"/>
        </w:rPr>
        <w:t>雨水检查井</w:t>
      </w:r>
      <w:r>
        <w:rPr>
          <w:color w:val="auto"/>
          <w:szCs w:val="24"/>
        </w:rPr>
        <w:t>16</w:t>
      </w:r>
      <w:r>
        <w:rPr>
          <w:rFonts w:hint="eastAsia"/>
          <w:color w:val="auto"/>
          <w:szCs w:val="24"/>
        </w:rPr>
        <w:t>座</w:t>
      </w:r>
      <w:r>
        <w:rPr>
          <w:color w:val="auto"/>
          <w:szCs w:val="24"/>
        </w:rPr>
        <w:t>，雨水口</w:t>
      </w:r>
      <w:r>
        <w:rPr>
          <w:rFonts w:hint="eastAsia"/>
          <w:color w:val="auto"/>
          <w:szCs w:val="24"/>
        </w:rPr>
        <w:t>28</w:t>
      </w:r>
      <w:r>
        <w:rPr>
          <w:rFonts w:hint="eastAsia"/>
          <w:color w:val="auto"/>
          <w:szCs w:val="24"/>
        </w:rPr>
        <w:t>座。</w:t>
      </w:r>
      <w:r>
        <w:rPr>
          <w:color w:val="auto"/>
          <w:szCs w:val="24"/>
        </w:rPr>
        <w:t>根据《生产建设项目水土保持技术标准（</w:t>
      </w:r>
      <w:r>
        <w:rPr>
          <w:color w:val="auto"/>
          <w:szCs w:val="24"/>
        </w:rPr>
        <w:t>GB50433-2018</w:t>
      </w:r>
      <w:r>
        <w:rPr>
          <w:color w:val="auto"/>
          <w:szCs w:val="24"/>
        </w:rPr>
        <w:t>）》附录</w:t>
      </w:r>
      <w:r>
        <w:rPr>
          <w:color w:val="auto"/>
          <w:szCs w:val="24"/>
        </w:rPr>
        <w:t xml:space="preserve">D </w:t>
      </w:r>
      <w:r>
        <w:rPr>
          <w:color w:val="auto"/>
          <w:szCs w:val="24"/>
        </w:rPr>
        <w:t>主体工程设计中水土保持措施界定，</w:t>
      </w:r>
      <w:r>
        <w:rPr>
          <w:color w:val="auto"/>
          <w:szCs w:val="24"/>
          <w:lang w:val="zh-CN"/>
        </w:rPr>
        <w:t>应纳入水土保持工程措施。</w:t>
      </w:r>
    </w:p>
    <w:p w:rsidR="006C378F" w:rsidRDefault="00E12213">
      <w:pPr>
        <w:pStyle w:val="af3"/>
        <w:ind w:firstLine="480"/>
        <w:rPr>
          <w:color w:val="auto"/>
          <w:szCs w:val="24"/>
        </w:rPr>
      </w:pPr>
      <w:r>
        <w:rPr>
          <w:color w:val="auto"/>
          <w:szCs w:val="24"/>
        </w:rPr>
        <w:t>分析评价：本区</w:t>
      </w:r>
      <w:r>
        <w:rPr>
          <w:rFonts w:hint="eastAsia"/>
          <w:color w:val="auto"/>
          <w:szCs w:val="24"/>
        </w:rPr>
        <w:t>雨水管，</w:t>
      </w:r>
      <w:r>
        <w:rPr>
          <w:color w:val="auto"/>
          <w:szCs w:val="24"/>
        </w:rPr>
        <w:t>雨水</w:t>
      </w:r>
      <w:r>
        <w:rPr>
          <w:rFonts w:hint="eastAsia"/>
          <w:color w:val="auto"/>
          <w:szCs w:val="24"/>
        </w:rPr>
        <w:t>检查</w:t>
      </w:r>
      <w:r>
        <w:rPr>
          <w:color w:val="auto"/>
          <w:szCs w:val="24"/>
        </w:rPr>
        <w:t>井</w:t>
      </w:r>
      <w:r>
        <w:rPr>
          <w:rFonts w:hint="eastAsia"/>
          <w:color w:val="auto"/>
          <w:szCs w:val="24"/>
        </w:rPr>
        <w:t>和</w:t>
      </w:r>
      <w:r>
        <w:rPr>
          <w:color w:val="auto"/>
          <w:szCs w:val="24"/>
        </w:rPr>
        <w:t>雨水口已修建完成并运行，经现场勘查，现有排水沟措施满足本区排水要求且保存较好，本方案不再新增排水措施。</w:t>
      </w:r>
    </w:p>
    <w:p w:rsidR="006C378F" w:rsidRDefault="00E12213">
      <w:pPr>
        <w:pStyle w:val="08522"/>
        <w:spacing w:line="360" w:lineRule="auto"/>
        <w:ind w:left="482" w:firstLine="0"/>
        <w:rPr>
          <w:b/>
          <w:bCs/>
          <w:szCs w:val="24"/>
        </w:rPr>
      </w:pPr>
      <w:r>
        <w:rPr>
          <w:rFonts w:hint="eastAsia"/>
          <w:b/>
          <w:bCs/>
          <w:szCs w:val="24"/>
        </w:rPr>
        <w:t>（</w:t>
      </w:r>
      <w:r>
        <w:rPr>
          <w:rFonts w:hint="eastAsia"/>
          <w:b/>
          <w:bCs/>
          <w:szCs w:val="24"/>
        </w:rPr>
        <w:t>3</w:t>
      </w:r>
      <w:r>
        <w:rPr>
          <w:rFonts w:hint="eastAsia"/>
          <w:b/>
          <w:bCs/>
          <w:szCs w:val="24"/>
        </w:rPr>
        <w:t>）</w:t>
      </w:r>
      <w:r>
        <w:rPr>
          <w:b/>
          <w:bCs/>
          <w:szCs w:val="24"/>
        </w:rPr>
        <w:t>表土剥离</w:t>
      </w:r>
    </w:p>
    <w:p w:rsidR="006C378F" w:rsidRDefault="00E12213">
      <w:pPr>
        <w:pStyle w:val="af3"/>
        <w:ind w:firstLine="480"/>
        <w:rPr>
          <w:color w:val="auto"/>
          <w:szCs w:val="24"/>
        </w:rPr>
      </w:pPr>
      <w:r>
        <w:rPr>
          <w:color w:val="auto"/>
          <w:szCs w:val="24"/>
        </w:rPr>
        <w:t>根据主体资料及现场勘查，主体工程在施工前对本区进行了表土剥离，共剥离表土</w:t>
      </w:r>
      <w:r>
        <w:rPr>
          <w:color w:val="auto"/>
          <w:szCs w:val="24"/>
        </w:rPr>
        <w:t>120m</w:t>
      </w:r>
      <w:r>
        <w:rPr>
          <w:color w:val="auto"/>
          <w:szCs w:val="24"/>
          <w:vertAlign w:val="superscript"/>
        </w:rPr>
        <w:t>3</w:t>
      </w:r>
      <w:r>
        <w:rPr>
          <w:color w:val="auto"/>
          <w:szCs w:val="24"/>
        </w:rPr>
        <w:t>，剥离表土用于本区可绿化区域绿化覆土用土。根据《生产建设项目水土保持技术标准（</w:t>
      </w:r>
      <w:r>
        <w:rPr>
          <w:color w:val="auto"/>
          <w:szCs w:val="24"/>
        </w:rPr>
        <w:t>GB50433-2018</w:t>
      </w:r>
      <w:r>
        <w:rPr>
          <w:color w:val="auto"/>
          <w:szCs w:val="24"/>
        </w:rPr>
        <w:t>）》附录</w:t>
      </w:r>
      <w:r>
        <w:rPr>
          <w:color w:val="auto"/>
          <w:szCs w:val="24"/>
        </w:rPr>
        <w:t xml:space="preserve">D </w:t>
      </w:r>
      <w:r>
        <w:rPr>
          <w:color w:val="auto"/>
          <w:szCs w:val="24"/>
        </w:rPr>
        <w:t>主体工程设计中水土保持措施界定，表土剥离应纳入水土保持工程措施。</w:t>
      </w:r>
    </w:p>
    <w:p w:rsidR="006C378F" w:rsidRDefault="00E12213">
      <w:pPr>
        <w:spacing w:line="360" w:lineRule="auto"/>
        <w:ind w:firstLineChars="200" w:firstLine="480"/>
        <w:rPr>
          <w:szCs w:val="24"/>
          <w:lang w:val="zh-CN"/>
        </w:rPr>
      </w:pPr>
      <w:r>
        <w:rPr>
          <w:szCs w:val="24"/>
        </w:rPr>
        <w:t>分析评价：主体工程设计的表土剥离措施，有利于防治水土流失，经本《方案》复核之后，主体设计的表土剥离措施能满足要求，且项目已建设完成，目前不存在水土流失区域，因此，本方案不进行新增措施设计。</w:t>
      </w:r>
    </w:p>
    <w:p w:rsidR="006C378F" w:rsidRDefault="00E12213">
      <w:pPr>
        <w:pStyle w:val="08522"/>
        <w:spacing w:line="360" w:lineRule="auto"/>
        <w:ind w:left="482" w:firstLine="0"/>
        <w:rPr>
          <w:b/>
          <w:bCs/>
          <w:szCs w:val="24"/>
        </w:rPr>
      </w:pPr>
      <w:r>
        <w:rPr>
          <w:rFonts w:hint="eastAsia"/>
          <w:b/>
          <w:bCs/>
          <w:szCs w:val="24"/>
        </w:rPr>
        <w:t>（</w:t>
      </w:r>
      <w:r>
        <w:rPr>
          <w:rFonts w:hint="eastAsia"/>
          <w:b/>
          <w:bCs/>
          <w:szCs w:val="24"/>
        </w:rPr>
        <w:t>4</w:t>
      </w:r>
      <w:r>
        <w:rPr>
          <w:rFonts w:hint="eastAsia"/>
          <w:b/>
          <w:bCs/>
          <w:szCs w:val="24"/>
        </w:rPr>
        <w:t>）</w:t>
      </w:r>
      <w:r>
        <w:rPr>
          <w:b/>
          <w:bCs/>
          <w:szCs w:val="24"/>
        </w:rPr>
        <w:t>覆土整治：</w:t>
      </w:r>
    </w:p>
    <w:p w:rsidR="006C378F" w:rsidRDefault="00E12213">
      <w:pPr>
        <w:spacing w:line="360" w:lineRule="auto"/>
        <w:ind w:firstLineChars="200" w:firstLine="480"/>
        <w:rPr>
          <w:szCs w:val="24"/>
        </w:rPr>
      </w:pPr>
      <w:r>
        <w:rPr>
          <w:szCs w:val="24"/>
        </w:rPr>
        <w:t>主体设计在植物绿化之前进行覆土整治，覆土厚度</w:t>
      </w:r>
      <w:r>
        <w:rPr>
          <w:szCs w:val="24"/>
        </w:rPr>
        <w:t>1.0m</w:t>
      </w:r>
      <w:r>
        <w:rPr>
          <w:szCs w:val="24"/>
        </w:rPr>
        <w:t>，覆土量</w:t>
      </w:r>
      <w:r>
        <w:rPr>
          <w:szCs w:val="24"/>
        </w:rPr>
        <w:t>120m3</w:t>
      </w:r>
      <w:r>
        <w:rPr>
          <w:szCs w:val="24"/>
        </w:rPr>
        <w:t>，覆土来源于本项目前期剥离的表土。根据《生产建设项目水土保持技术标准（</w:t>
      </w:r>
      <w:r>
        <w:rPr>
          <w:szCs w:val="24"/>
        </w:rPr>
        <w:t>GB50433-2018</w:t>
      </w:r>
      <w:r>
        <w:rPr>
          <w:szCs w:val="24"/>
        </w:rPr>
        <w:t>）》附录</w:t>
      </w:r>
      <w:r>
        <w:rPr>
          <w:szCs w:val="24"/>
        </w:rPr>
        <w:t xml:space="preserve">D </w:t>
      </w:r>
      <w:r>
        <w:rPr>
          <w:szCs w:val="24"/>
        </w:rPr>
        <w:t>主体工程设计中水土保持措施界定，覆土整治应纳入水土保持工程措施。</w:t>
      </w:r>
    </w:p>
    <w:p w:rsidR="006C378F" w:rsidRDefault="00E12213">
      <w:pPr>
        <w:spacing w:line="360" w:lineRule="auto"/>
        <w:ind w:firstLineChars="200" w:firstLine="480"/>
        <w:rPr>
          <w:szCs w:val="24"/>
          <w:lang w:val="zh-CN"/>
        </w:rPr>
      </w:pPr>
      <w:r>
        <w:rPr>
          <w:szCs w:val="24"/>
        </w:rPr>
        <w:t>分析评价：主体工程设计的覆土整治措施，有利于防治水土流失，经本《方案》复核之后，主体设计的覆土整治措施能满足要求，且项目已建设完成，目前不存在水土流失区域，因此，本方案不进行新增措施设计。</w:t>
      </w:r>
    </w:p>
    <w:p w:rsidR="006C378F" w:rsidRDefault="00E12213">
      <w:pPr>
        <w:pStyle w:val="af3"/>
        <w:ind w:firstLine="482"/>
        <w:rPr>
          <w:b/>
          <w:bCs/>
          <w:color w:val="auto"/>
        </w:rPr>
      </w:pPr>
      <w:r>
        <w:rPr>
          <w:b/>
          <w:bCs/>
          <w:color w:val="auto"/>
        </w:rPr>
        <w:t>2</w:t>
      </w:r>
      <w:r>
        <w:rPr>
          <w:b/>
          <w:bCs/>
          <w:color w:val="auto"/>
        </w:rPr>
        <w:t>、植物措施</w:t>
      </w:r>
    </w:p>
    <w:p w:rsidR="006C378F" w:rsidRDefault="00E12213">
      <w:pPr>
        <w:pStyle w:val="08522"/>
        <w:spacing w:line="360" w:lineRule="auto"/>
        <w:ind w:firstLine="562"/>
        <w:rPr>
          <w:szCs w:val="32"/>
        </w:rPr>
      </w:pPr>
      <w:r>
        <w:t>根据主体设计资料及现场踏勘，主体在本区实施植物措施</w:t>
      </w:r>
      <w:r>
        <w:t>0.01hm</w:t>
      </w:r>
      <w:r>
        <w:rPr>
          <w:vertAlign w:val="superscript"/>
        </w:rPr>
        <w:t>2</w:t>
      </w:r>
      <w:r>
        <w:t>，主要栽种</w:t>
      </w:r>
      <w:r>
        <w:rPr>
          <w:rFonts w:hint="eastAsia"/>
        </w:rPr>
        <w:t>桂花，共计</w:t>
      </w:r>
      <w:r>
        <w:rPr>
          <w:rFonts w:hint="eastAsia"/>
        </w:rPr>
        <w:t>100</w:t>
      </w:r>
      <w:r>
        <w:rPr>
          <w:rFonts w:hint="eastAsia"/>
        </w:rPr>
        <w:t>株</w:t>
      </w:r>
      <w:r>
        <w:rPr>
          <w:szCs w:val="32"/>
        </w:rPr>
        <w:t>，单位投资</w:t>
      </w:r>
      <w:r>
        <w:rPr>
          <w:szCs w:val="32"/>
        </w:rPr>
        <w:t>363.5</w:t>
      </w:r>
      <w:r>
        <w:rPr>
          <w:szCs w:val="32"/>
        </w:rPr>
        <w:t>元</w:t>
      </w:r>
      <w:r>
        <w:rPr>
          <w:szCs w:val="32"/>
        </w:rPr>
        <w:t>/</w:t>
      </w:r>
      <w:r>
        <w:rPr>
          <w:szCs w:val="32"/>
        </w:rPr>
        <w:t>株，总投资共</w:t>
      </w:r>
      <w:r>
        <w:rPr>
          <w:szCs w:val="32"/>
        </w:rPr>
        <w:t>3.64</w:t>
      </w:r>
      <w:r>
        <w:rPr>
          <w:rFonts w:hint="eastAsia"/>
          <w:szCs w:val="32"/>
        </w:rPr>
        <w:t>万</w:t>
      </w:r>
      <w:r>
        <w:rPr>
          <w:szCs w:val="32"/>
        </w:rPr>
        <w:t>元，。</w:t>
      </w:r>
    </w:p>
    <w:p w:rsidR="006C378F" w:rsidRDefault="00E12213">
      <w:pPr>
        <w:pStyle w:val="af1"/>
        <w:ind w:firstLine="480"/>
      </w:pPr>
      <w:r>
        <w:rPr>
          <w:szCs w:val="24"/>
        </w:rPr>
        <w:t>分析评价：该区大部分地表已硬化，由于项目的特殊性，布置的植物措施为</w:t>
      </w:r>
      <w:r>
        <w:rPr>
          <w:rFonts w:hint="eastAsia"/>
          <w:szCs w:val="24"/>
        </w:rPr>
        <w:t>小乔木</w:t>
      </w:r>
      <w:r>
        <w:rPr>
          <w:szCs w:val="24"/>
        </w:rPr>
        <w:t>。数量充足、布置较为合理，能有效的防治水土流失，满足本区水土保持的要求</w:t>
      </w:r>
      <w:r>
        <w:rPr>
          <w:kern w:val="28"/>
          <w:szCs w:val="24"/>
        </w:rPr>
        <w:t>，不再补充设计</w:t>
      </w:r>
      <w:r>
        <w:t>。</w:t>
      </w:r>
    </w:p>
    <w:p w:rsidR="006C378F" w:rsidRDefault="00E12213">
      <w:pPr>
        <w:pStyle w:val="08522"/>
        <w:spacing w:line="360" w:lineRule="auto"/>
      </w:pPr>
      <w:r>
        <w:rPr>
          <w:b/>
          <w:bCs/>
          <w:szCs w:val="32"/>
        </w:rPr>
        <w:t>方案新增措施：</w:t>
      </w:r>
      <w:r>
        <w:rPr>
          <w:szCs w:val="32"/>
        </w:rPr>
        <w:t>经本方案复核，项目大部分建设完工，主体布设的措施能满足要求，</w:t>
      </w:r>
      <w:r>
        <w:rPr>
          <w:szCs w:val="32"/>
        </w:rPr>
        <w:lastRenderedPageBreak/>
        <w:t>本方案不对该区新增措施。</w:t>
      </w:r>
    </w:p>
    <w:p w:rsidR="006C378F" w:rsidRDefault="00E12213">
      <w:pPr>
        <w:pStyle w:val="2"/>
      </w:pPr>
      <w:bookmarkStart w:id="199" w:name="_Toc22377"/>
      <w:bookmarkStart w:id="200" w:name="_Toc14361"/>
      <w:r>
        <w:t>5.2</w:t>
      </w:r>
      <w:r>
        <w:t>措施总体布局</w:t>
      </w:r>
      <w:bookmarkEnd w:id="199"/>
    </w:p>
    <w:p w:rsidR="006C378F" w:rsidRDefault="00E12213">
      <w:pPr>
        <w:pStyle w:val="30"/>
        <w:widowControl/>
        <w:spacing w:line="360" w:lineRule="auto"/>
        <w:ind w:firstLineChars="0" w:firstLine="0"/>
        <w:outlineLvl w:val="2"/>
        <w:rPr>
          <w:b/>
          <w:bCs/>
          <w:spacing w:val="-2"/>
          <w:szCs w:val="28"/>
        </w:rPr>
      </w:pPr>
      <w:r>
        <w:rPr>
          <w:b/>
          <w:bCs/>
          <w:spacing w:val="-2"/>
          <w:szCs w:val="28"/>
        </w:rPr>
        <w:t>5.2.1</w:t>
      </w:r>
      <w:r>
        <w:rPr>
          <w:b/>
          <w:bCs/>
          <w:spacing w:val="-2"/>
          <w:szCs w:val="28"/>
        </w:rPr>
        <w:t>防治措施体系</w:t>
      </w:r>
    </w:p>
    <w:p w:rsidR="006C378F" w:rsidRDefault="00E12213">
      <w:pPr>
        <w:pStyle w:val="30"/>
        <w:widowControl/>
        <w:adjustRightInd/>
        <w:snapToGrid/>
        <w:spacing w:line="360" w:lineRule="auto"/>
        <w:ind w:firstLine="472"/>
        <w:rPr>
          <w:spacing w:val="-2"/>
          <w:sz w:val="24"/>
          <w:szCs w:val="24"/>
        </w:rPr>
      </w:pPr>
      <w:r>
        <w:rPr>
          <w:spacing w:val="-2"/>
          <w:sz w:val="24"/>
          <w:szCs w:val="24"/>
        </w:rPr>
        <w:t>根据本项目特点和防治措施布局原则，水土保持防治措施体系由</w:t>
      </w:r>
      <w:r>
        <w:rPr>
          <w:bCs/>
          <w:sz w:val="24"/>
          <w:szCs w:val="24"/>
        </w:rPr>
        <w:t>停车场区</w:t>
      </w:r>
      <w:r>
        <w:rPr>
          <w:bCs/>
          <w:sz w:val="24"/>
          <w:szCs w:val="24"/>
        </w:rPr>
        <w:t>1</w:t>
      </w:r>
      <w:r>
        <w:rPr>
          <w:bCs/>
          <w:sz w:val="24"/>
          <w:szCs w:val="24"/>
        </w:rPr>
        <w:t>个</w:t>
      </w:r>
      <w:r>
        <w:rPr>
          <w:spacing w:val="-2"/>
          <w:sz w:val="24"/>
          <w:szCs w:val="24"/>
        </w:rPr>
        <w:t>防治区构成。根据本《方案》水土流失预测结果，结合主体工程已有水土保持工程等内容。建立以水土保持工程措施和植物措施相结合的生态恢复体系，最大限度地减少水土流失量。</w:t>
      </w:r>
    </w:p>
    <w:p w:rsidR="006C378F" w:rsidRDefault="00E12213">
      <w:pPr>
        <w:pStyle w:val="30"/>
        <w:widowControl/>
        <w:adjustRightInd/>
        <w:snapToGrid/>
        <w:spacing w:line="360" w:lineRule="auto"/>
        <w:ind w:firstLine="472"/>
        <w:rPr>
          <w:spacing w:val="-2"/>
          <w:sz w:val="24"/>
          <w:szCs w:val="24"/>
        </w:rPr>
      </w:pPr>
      <w:r>
        <w:rPr>
          <w:spacing w:val="-2"/>
          <w:sz w:val="24"/>
          <w:szCs w:val="24"/>
        </w:rPr>
        <w:t>项目工程水土流失治理措施体系由工程措施、植物措施构成。工程措施主要是</w:t>
      </w:r>
      <w:r>
        <w:rPr>
          <w:sz w:val="24"/>
          <w:szCs w:val="24"/>
        </w:rPr>
        <w:t>排水沟、</w:t>
      </w:r>
      <w:r>
        <w:rPr>
          <w:rFonts w:hint="eastAsia"/>
          <w:sz w:val="24"/>
          <w:szCs w:val="24"/>
        </w:rPr>
        <w:t>雨水管、</w:t>
      </w:r>
      <w:r>
        <w:rPr>
          <w:sz w:val="24"/>
          <w:szCs w:val="24"/>
        </w:rPr>
        <w:t>雨水井、雨水口、表土剥离、覆土整治</w:t>
      </w:r>
      <w:r>
        <w:rPr>
          <w:spacing w:val="-2"/>
          <w:sz w:val="24"/>
          <w:szCs w:val="24"/>
        </w:rPr>
        <w:t>；植物措施</w:t>
      </w:r>
      <w:r>
        <w:rPr>
          <w:rFonts w:hint="eastAsia"/>
          <w:spacing w:val="-2"/>
          <w:sz w:val="24"/>
          <w:szCs w:val="24"/>
        </w:rPr>
        <w:t>主要</w:t>
      </w:r>
      <w:r>
        <w:rPr>
          <w:spacing w:val="-2"/>
          <w:sz w:val="24"/>
          <w:szCs w:val="24"/>
        </w:rPr>
        <w:t>包括</w:t>
      </w:r>
      <w:r>
        <w:rPr>
          <w:rFonts w:hint="eastAsia"/>
          <w:spacing w:val="-2"/>
          <w:sz w:val="24"/>
          <w:szCs w:val="24"/>
        </w:rPr>
        <w:t>种植桂花</w:t>
      </w:r>
      <w:r>
        <w:rPr>
          <w:spacing w:val="-2"/>
          <w:sz w:val="24"/>
          <w:szCs w:val="24"/>
        </w:rPr>
        <w:t>。详见表</w:t>
      </w:r>
      <w:r>
        <w:rPr>
          <w:spacing w:val="-2"/>
          <w:sz w:val="24"/>
          <w:szCs w:val="24"/>
        </w:rPr>
        <w:t>5-4</w:t>
      </w:r>
      <w:r>
        <w:rPr>
          <w:spacing w:val="-2"/>
          <w:sz w:val="24"/>
          <w:szCs w:val="24"/>
        </w:rPr>
        <w:t>。</w:t>
      </w:r>
    </w:p>
    <w:p w:rsidR="006C378F" w:rsidRDefault="00E12213">
      <w:pPr>
        <w:widowControl/>
        <w:adjustRightInd/>
        <w:snapToGrid/>
        <w:jc w:val="center"/>
        <w:rPr>
          <w:b/>
          <w:sz w:val="22"/>
          <w:szCs w:val="22"/>
        </w:rPr>
      </w:pPr>
      <w:r>
        <w:rPr>
          <w:b/>
          <w:sz w:val="22"/>
          <w:szCs w:val="22"/>
        </w:rPr>
        <w:t>表</w:t>
      </w:r>
      <w:r>
        <w:rPr>
          <w:b/>
          <w:sz w:val="22"/>
          <w:szCs w:val="22"/>
        </w:rPr>
        <w:t xml:space="preserve">5-4              </w:t>
      </w:r>
      <w:r>
        <w:rPr>
          <w:b/>
          <w:sz w:val="22"/>
          <w:szCs w:val="22"/>
        </w:rPr>
        <w:t>水土保持分区防治措施体系表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00"/>
        <w:gridCol w:w="4743"/>
        <w:gridCol w:w="1736"/>
        <w:gridCol w:w="1421"/>
      </w:tblGrid>
      <w:tr w:rsidR="006C378F">
        <w:trPr>
          <w:trHeight w:val="23"/>
        </w:trPr>
        <w:tc>
          <w:tcPr>
            <w:tcW w:w="5000" w:type="pct"/>
            <w:gridSpan w:val="4"/>
            <w:tcBorders>
              <w:tl2br w:val="nil"/>
              <w:tr2bl w:val="nil"/>
            </w:tcBorders>
            <w:tcMar>
              <w:top w:w="15" w:type="dxa"/>
              <w:left w:w="15" w:type="dxa"/>
              <w:right w:w="15" w:type="dxa"/>
            </w:tcMar>
            <w:vAlign w:val="center"/>
          </w:tcPr>
          <w:p w:rsidR="006C378F" w:rsidRDefault="00E12213">
            <w:pPr>
              <w:widowControl/>
              <w:jc w:val="center"/>
              <w:textAlignment w:val="center"/>
              <w:rPr>
                <w:sz w:val="20"/>
              </w:rPr>
            </w:pPr>
            <w:r>
              <w:rPr>
                <w:kern w:val="0"/>
                <w:sz w:val="20"/>
                <w:lang w:bidi="ar"/>
              </w:rPr>
              <w:t>水土保持防治措施体系表</w:t>
            </w:r>
          </w:p>
        </w:tc>
      </w:tr>
      <w:tr w:rsidR="006C378F">
        <w:trPr>
          <w:trHeight w:val="23"/>
        </w:trPr>
        <w:tc>
          <w:tcPr>
            <w:tcW w:w="659" w:type="pct"/>
            <w:vMerge w:val="restart"/>
            <w:tcBorders>
              <w:tl2br w:val="nil"/>
              <w:tr2bl w:val="nil"/>
            </w:tcBorders>
            <w:tcMar>
              <w:top w:w="15" w:type="dxa"/>
              <w:left w:w="15" w:type="dxa"/>
              <w:right w:w="15" w:type="dxa"/>
            </w:tcMar>
            <w:vAlign w:val="center"/>
          </w:tcPr>
          <w:p w:rsidR="006C378F" w:rsidRDefault="00E12213">
            <w:pPr>
              <w:widowControl/>
              <w:jc w:val="center"/>
              <w:textAlignment w:val="center"/>
              <w:rPr>
                <w:sz w:val="20"/>
              </w:rPr>
            </w:pPr>
            <w:r>
              <w:rPr>
                <w:kern w:val="0"/>
                <w:sz w:val="20"/>
                <w:lang w:bidi="ar"/>
              </w:rPr>
              <w:t>项目组成</w:t>
            </w:r>
          </w:p>
        </w:tc>
        <w:tc>
          <w:tcPr>
            <w:tcW w:w="4341" w:type="pct"/>
            <w:gridSpan w:val="3"/>
            <w:tcBorders>
              <w:tl2br w:val="nil"/>
              <w:tr2bl w:val="nil"/>
            </w:tcBorders>
            <w:tcMar>
              <w:top w:w="15" w:type="dxa"/>
              <w:left w:w="15" w:type="dxa"/>
              <w:right w:w="15" w:type="dxa"/>
            </w:tcMar>
            <w:vAlign w:val="center"/>
          </w:tcPr>
          <w:p w:rsidR="006C378F" w:rsidRDefault="00E12213">
            <w:pPr>
              <w:widowControl/>
              <w:jc w:val="center"/>
              <w:textAlignment w:val="center"/>
              <w:rPr>
                <w:sz w:val="20"/>
              </w:rPr>
            </w:pPr>
            <w:r>
              <w:rPr>
                <w:kern w:val="0"/>
                <w:sz w:val="20"/>
                <w:lang w:bidi="ar"/>
              </w:rPr>
              <w:t>治</w:t>
            </w:r>
            <w:r>
              <w:rPr>
                <w:kern w:val="0"/>
                <w:sz w:val="20"/>
                <w:lang w:bidi="ar"/>
              </w:rPr>
              <w:t xml:space="preserve">   </w:t>
            </w:r>
            <w:r>
              <w:rPr>
                <w:kern w:val="0"/>
                <w:sz w:val="20"/>
                <w:lang w:bidi="ar"/>
              </w:rPr>
              <w:t>理</w:t>
            </w:r>
            <w:r>
              <w:rPr>
                <w:kern w:val="0"/>
                <w:sz w:val="20"/>
                <w:lang w:bidi="ar"/>
              </w:rPr>
              <w:t xml:space="preserve">   </w:t>
            </w:r>
            <w:r>
              <w:rPr>
                <w:kern w:val="0"/>
                <w:sz w:val="20"/>
                <w:lang w:bidi="ar"/>
              </w:rPr>
              <w:t>措</w:t>
            </w:r>
            <w:r>
              <w:rPr>
                <w:kern w:val="0"/>
                <w:sz w:val="20"/>
                <w:lang w:bidi="ar"/>
              </w:rPr>
              <w:t xml:space="preserve">   </w:t>
            </w:r>
            <w:r>
              <w:rPr>
                <w:kern w:val="0"/>
                <w:sz w:val="20"/>
                <w:lang w:bidi="ar"/>
              </w:rPr>
              <w:t>施</w:t>
            </w:r>
          </w:p>
        </w:tc>
      </w:tr>
      <w:tr w:rsidR="006C378F">
        <w:trPr>
          <w:trHeight w:val="23"/>
        </w:trPr>
        <w:tc>
          <w:tcPr>
            <w:tcW w:w="659" w:type="pct"/>
            <w:vMerge/>
            <w:tcBorders>
              <w:tl2br w:val="nil"/>
              <w:tr2bl w:val="nil"/>
            </w:tcBorders>
            <w:tcMar>
              <w:top w:w="15" w:type="dxa"/>
              <w:left w:w="15" w:type="dxa"/>
              <w:right w:w="15" w:type="dxa"/>
            </w:tcMar>
            <w:vAlign w:val="center"/>
          </w:tcPr>
          <w:p w:rsidR="006C378F" w:rsidRDefault="006C378F">
            <w:pPr>
              <w:jc w:val="center"/>
              <w:rPr>
                <w:sz w:val="20"/>
              </w:rPr>
            </w:pPr>
          </w:p>
        </w:tc>
        <w:tc>
          <w:tcPr>
            <w:tcW w:w="2606" w:type="pct"/>
            <w:tcBorders>
              <w:tl2br w:val="nil"/>
              <w:tr2bl w:val="nil"/>
            </w:tcBorders>
            <w:tcMar>
              <w:top w:w="15" w:type="dxa"/>
              <w:left w:w="15" w:type="dxa"/>
              <w:right w:w="15" w:type="dxa"/>
            </w:tcMar>
            <w:vAlign w:val="center"/>
          </w:tcPr>
          <w:p w:rsidR="006C378F" w:rsidRDefault="00E12213">
            <w:pPr>
              <w:widowControl/>
              <w:jc w:val="center"/>
              <w:textAlignment w:val="center"/>
              <w:rPr>
                <w:sz w:val="20"/>
              </w:rPr>
            </w:pPr>
            <w:r>
              <w:rPr>
                <w:kern w:val="0"/>
                <w:sz w:val="20"/>
                <w:lang w:bidi="ar"/>
              </w:rPr>
              <w:t>工程措施</w:t>
            </w:r>
          </w:p>
        </w:tc>
        <w:tc>
          <w:tcPr>
            <w:tcW w:w="954" w:type="pct"/>
            <w:tcBorders>
              <w:tl2br w:val="nil"/>
              <w:tr2bl w:val="nil"/>
            </w:tcBorders>
            <w:tcMar>
              <w:top w:w="15" w:type="dxa"/>
              <w:left w:w="15" w:type="dxa"/>
              <w:right w:w="15" w:type="dxa"/>
            </w:tcMar>
            <w:vAlign w:val="center"/>
          </w:tcPr>
          <w:p w:rsidR="006C378F" w:rsidRDefault="00E12213">
            <w:pPr>
              <w:widowControl/>
              <w:jc w:val="center"/>
              <w:textAlignment w:val="center"/>
              <w:rPr>
                <w:sz w:val="20"/>
              </w:rPr>
            </w:pPr>
            <w:r>
              <w:rPr>
                <w:kern w:val="0"/>
                <w:sz w:val="20"/>
                <w:lang w:bidi="ar"/>
              </w:rPr>
              <w:t>植物措施</w:t>
            </w:r>
          </w:p>
        </w:tc>
        <w:tc>
          <w:tcPr>
            <w:tcW w:w="781" w:type="pct"/>
            <w:tcBorders>
              <w:tl2br w:val="nil"/>
              <w:tr2bl w:val="nil"/>
            </w:tcBorders>
            <w:tcMar>
              <w:top w:w="15" w:type="dxa"/>
              <w:left w:w="15" w:type="dxa"/>
              <w:right w:w="15" w:type="dxa"/>
            </w:tcMar>
            <w:vAlign w:val="center"/>
          </w:tcPr>
          <w:p w:rsidR="006C378F" w:rsidRDefault="00E12213">
            <w:pPr>
              <w:widowControl/>
              <w:jc w:val="center"/>
              <w:textAlignment w:val="center"/>
              <w:rPr>
                <w:sz w:val="20"/>
              </w:rPr>
            </w:pPr>
            <w:r>
              <w:rPr>
                <w:kern w:val="0"/>
                <w:sz w:val="20"/>
                <w:lang w:bidi="ar"/>
              </w:rPr>
              <w:t>临时措施</w:t>
            </w:r>
          </w:p>
        </w:tc>
      </w:tr>
      <w:tr w:rsidR="006C378F">
        <w:trPr>
          <w:trHeight w:val="23"/>
        </w:trPr>
        <w:tc>
          <w:tcPr>
            <w:tcW w:w="659" w:type="pct"/>
            <w:tcBorders>
              <w:tl2br w:val="nil"/>
              <w:tr2bl w:val="nil"/>
            </w:tcBorders>
            <w:tcMar>
              <w:top w:w="15" w:type="dxa"/>
              <w:left w:w="15" w:type="dxa"/>
              <w:right w:w="15" w:type="dxa"/>
            </w:tcMar>
            <w:vAlign w:val="center"/>
          </w:tcPr>
          <w:p w:rsidR="006C378F" w:rsidRDefault="00E12213">
            <w:pPr>
              <w:widowControl/>
              <w:jc w:val="center"/>
              <w:textAlignment w:val="center"/>
              <w:rPr>
                <w:sz w:val="20"/>
              </w:rPr>
            </w:pPr>
            <w:r>
              <w:rPr>
                <w:kern w:val="0"/>
                <w:sz w:val="20"/>
                <w:lang w:bidi="ar"/>
              </w:rPr>
              <w:t>停车场区</w:t>
            </w:r>
          </w:p>
        </w:tc>
        <w:tc>
          <w:tcPr>
            <w:tcW w:w="2606" w:type="pct"/>
            <w:tcBorders>
              <w:tl2br w:val="nil"/>
              <w:tr2bl w:val="nil"/>
            </w:tcBorders>
            <w:tcMar>
              <w:top w:w="15" w:type="dxa"/>
              <w:left w:w="15" w:type="dxa"/>
              <w:right w:w="15" w:type="dxa"/>
            </w:tcMar>
            <w:vAlign w:val="center"/>
          </w:tcPr>
          <w:p w:rsidR="006C378F" w:rsidRDefault="00E12213">
            <w:pPr>
              <w:widowControl/>
              <w:jc w:val="center"/>
              <w:textAlignment w:val="center"/>
              <w:rPr>
                <w:b/>
                <w:i/>
                <w:sz w:val="20"/>
              </w:rPr>
            </w:pPr>
            <w:r>
              <w:rPr>
                <w:b/>
                <w:i/>
                <w:sz w:val="20"/>
              </w:rPr>
              <w:t>排水沟</w:t>
            </w:r>
            <w:r>
              <w:rPr>
                <w:b/>
                <w:i/>
                <w:sz w:val="20"/>
              </w:rPr>
              <w:t>125m</w:t>
            </w:r>
            <w:r>
              <w:rPr>
                <w:b/>
                <w:i/>
                <w:sz w:val="20"/>
              </w:rPr>
              <w:t>、</w:t>
            </w:r>
            <w:r>
              <w:rPr>
                <w:rFonts w:hint="eastAsia"/>
                <w:b/>
                <w:i/>
                <w:sz w:val="20"/>
              </w:rPr>
              <w:t>雨水管</w:t>
            </w:r>
            <w:r>
              <w:rPr>
                <w:rFonts w:hint="eastAsia"/>
                <w:b/>
                <w:i/>
                <w:sz w:val="20"/>
              </w:rPr>
              <w:t>360</w:t>
            </w:r>
            <w:r>
              <w:rPr>
                <w:b/>
                <w:i/>
                <w:sz w:val="20"/>
              </w:rPr>
              <w:t>m</w:t>
            </w:r>
            <w:r>
              <w:rPr>
                <w:b/>
                <w:i/>
                <w:sz w:val="20"/>
              </w:rPr>
              <w:t>，雨水井</w:t>
            </w:r>
            <w:r>
              <w:rPr>
                <w:rFonts w:hint="eastAsia"/>
                <w:b/>
                <w:i/>
                <w:sz w:val="20"/>
              </w:rPr>
              <w:t>16</w:t>
            </w:r>
            <w:r>
              <w:rPr>
                <w:rFonts w:hint="eastAsia"/>
                <w:b/>
                <w:i/>
                <w:sz w:val="20"/>
              </w:rPr>
              <w:t>座</w:t>
            </w:r>
            <w:r>
              <w:rPr>
                <w:b/>
                <w:i/>
                <w:sz w:val="20"/>
              </w:rPr>
              <w:t>、雨水口</w:t>
            </w:r>
            <w:r>
              <w:rPr>
                <w:rFonts w:hint="eastAsia"/>
                <w:b/>
                <w:i/>
                <w:sz w:val="20"/>
              </w:rPr>
              <w:t>28</w:t>
            </w:r>
            <w:r>
              <w:rPr>
                <w:rFonts w:hint="eastAsia"/>
                <w:b/>
                <w:i/>
                <w:sz w:val="20"/>
              </w:rPr>
              <w:t>座</w:t>
            </w:r>
            <w:r>
              <w:rPr>
                <w:b/>
                <w:i/>
                <w:sz w:val="20"/>
              </w:rPr>
              <w:t>、表土剥离</w:t>
            </w:r>
            <w:r>
              <w:rPr>
                <w:b/>
                <w:i/>
                <w:sz w:val="20"/>
              </w:rPr>
              <w:t>120m</w:t>
            </w:r>
            <w:r>
              <w:rPr>
                <w:b/>
                <w:i/>
                <w:sz w:val="20"/>
                <w:vertAlign w:val="superscript"/>
              </w:rPr>
              <w:t>3</w:t>
            </w:r>
            <w:r>
              <w:rPr>
                <w:b/>
                <w:i/>
                <w:sz w:val="20"/>
              </w:rPr>
              <w:t>、覆土整治</w:t>
            </w:r>
            <w:r>
              <w:rPr>
                <w:b/>
                <w:i/>
                <w:sz w:val="20"/>
              </w:rPr>
              <w:t>120m</w:t>
            </w:r>
            <w:r>
              <w:rPr>
                <w:b/>
                <w:i/>
                <w:sz w:val="20"/>
                <w:vertAlign w:val="superscript"/>
              </w:rPr>
              <w:t>3</w:t>
            </w:r>
          </w:p>
        </w:tc>
        <w:tc>
          <w:tcPr>
            <w:tcW w:w="954" w:type="pct"/>
            <w:tcBorders>
              <w:tl2br w:val="nil"/>
              <w:tr2bl w:val="nil"/>
            </w:tcBorders>
            <w:tcMar>
              <w:top w:w="15" w:type="dxa"/>
              <w:left w:w="15" w:type="dxa"/>
              <w:right w:w="15" w:type="dxa"/>
            </w:tcMar>
            <w:vAlign w:val="center"/>
          </w:tcPr>
          <w:p w:rsidR="006C378F" w:rsidRDefault="00E12213">
            <w:pPr>
              <w:jc w:val="center"/>
              <w:rPr>
                <w:b/>
                <w:i/>
                <w:sz w:val="20"/>
              </w:rPr>
            </w:pPr>
            <w:r>
              <w:rPr>
                <w:b/>
                <w:i/>
                <w:sz w:val="20"/>
              </w:rPr>
              <w:t>植物措施</w:t>
            </w:r>
            <w:r>
              <w:rPr>
                <w:b/>
                <w:i/>
                <w:sz w:val="20"/>
              </w:rPr>
              <w:t>0.01hm</w:t>
            </w:r>
            <w:r>
              <w:rPr>
                <w:b/>
                <w:i/>
                <w:sz w:val="20"/>
                <w:vertAlign w:val="superscript"/>
              </w:rPr>
              <w:t>2</w:t>
            </w:r>
          </w:p>
        </w:tc>
        <w:tc>
          <w:tcPr>
            <w:tcW w:w="781" w:type="pct"/>
            <w:tcBorders>
              <w:tl2br w:val="nil"/>
              <w:tr2bl w:val="nil"/>
            </w:tcBorders>
            <w:tcMar>
              <w:top w:w="15" w:type="dxa"/>
              <w:left w:w="15" w:type="dxa"/>
              <w:right w:w="15" w:type="dxa"/>
            </w:tcMar>
            <w:vAlign w:val="center"/>
          </w:tcPr>
          <w:p w:rsidR="006C378F" w:rsidRDefault="00E12213">
            <w:pPr>
              <w:widowControl/>
              <w:jc w:val="center"/>
              <w:textAlignment w:val="center"/>
              <w:rPr>
                <w:b/>
                <w:sz w:val="20"/>
              </w:rPr>
            </w:pPr>
            <w:r>
              <w:rPr>
                <w:b/>
                <w:sz w:val="20"/>
              </w:rPr>
              <w:t>/</w:t>
            </w:r>
          </w:p>
        </w:tc>
      </w:tr>
    </w:tbl>
    <w:p w:rsidR="006C378F" w:rsidRDefault="00E12213">
      <w:pPr>
        <w:pStyle w:val="30"/>
        <w:adjustRightInd/>
        <w:snapToGrid/>
        <w:spacing w:line="360" w:lineRule="auto"/>
        <w:ind w:firstLineChars="0" w:firstLine="0"/>
        <w:rPr>
          <w:sz w:val="18"/>
          <w:szCs w:val="18"/>
        </w:rPr>
      </w:pPr>
      <w:r>
        <w:rPr>
          <w:b/>
          <w:bCs/>
          <w:sz w:val="18"/>
          <w:szCs w:val="18"/>
        </w:rPr>
        <w:t>注：加粗斜体为主体工程已设计措施，其余为本《方案》补充设计的措施。</w:t>
      </w:r>
    </w:p>
    <w:p w:rsidR="006C378F" w:rsidRDefault="00E12213">
      <w:pPr>
        <w:pStyle w:val="3"/>
        <w:rPr>
          <w:lang w:val="zh-CN"/>
        </w:rPr>
      </w:pPr>
      <w:r>
        <w:t>5.2.2</w:t>
      </w:r>
      <w:bookmarkEnd w:id="200"/>
      <w:r>
        <w:rPr>
          <w:lang w:val="zh-CN"/>
        </w:rPr>
        <w:t>水土保持措施布设的成果</w:t>
      </w:r>
    </w:p>
    <w:p w:rsidR="006C378F" w:rsidRDefault="00E12213">
      <w:pPr>
        <w:spacing w:line="360" w:lineRule="auto"/>
        <w:ind w:firstLine="472"/>
        <w:rPr>
          <w:spacing w:val="-2"/>
        </w:rPr>
      </w:pPr>
      <w:r>
        <w:rPr>
          <w:spacing w:val="-2"/>
        </w:rPr>
        <w:t>针对项目建设区过程中新增水土流失特征，在综合分析评价主体工程施工工艺的基础上，建立由各个分区构成的防治体系。结合本《方案》与主体工程分析结果，本项目工程水土流失综合防治措施体系分为工程措施、植物措施。</w:t>
      </w:r>
    </w:p>
    <w:p w:rsidR="006C378F" w:rsidRDefault="00E12213">
      <w:pPr>
        <w:spacing w:line="360" w:lineRule="auto"/>
        <w:ind w:firstLine="472"/>
        <w:rPr>
          <w:spacing w:val="-2"/>
        </w:rPr>
      </w:pPr>
      <w:r>
        <w:rPr>
          <w:spacing w:val="-2"/>
        </w:rPr>
        <w:t>根据主体设计资料及实际调查，对本项目各类水土保持措施进行设计，形成水土保持措施综合防护体系。项目建设区水土保持措施布局如下：</w:t>
      </w:r>
    </w:p>
    <w:p w:rsidR="006C378F" w:rsidRDefault="00E12213">
      <w:pPr>
        <w:pStyle w:val="af1"/>
        <w:ind w:firstLine="482"/>
        <w:rPr>
          <w:b/>
          <w:bCs/>
        </w:rPr>
      </w:pPr>
      <w:r>
        <w:rPr>
          <w:b/>
          <w:bCs/>
        </w:rPr>
        <w:t>（一）停车场区</w:t>
      </w:r>
    </w:p>
    <w:p w:rsidR="006C378F" w:rsidRDefault="00E12213">
      <w:pPr>
        <w:pStyle w:val="08522"/>
        <w:spacing w:line="360" w:lineRule="auto"/>
        <w:rPr>
          <w:szCs w:val="32"/>
        </w:rPr>
      </w:pPr>
      <w:r>
        <w:rPr>
          <w:b/>
          <w:bCs/>
        </w:rPr>
        <w:t>主体设计措施：</w:t>
      </w:r>
      <w:r>
        <w:t>根据主体设计资料及现场调查，主体在施工在进行了</w:t>
      </w:r>
      <w:r>
        <w:rPr>
          <w:spacing w:val="-2"/>
        </w:rPr>
        <w:t>表土剥离</w:t>
      </w:r>
      <w:r>
        <w:rPr>
          <w:szCs w:val="22"/>
        </w:rPr>
        <w:t>120m</w:t>
      </w:r>
      <w:r>
        <w:rPr>
          <w:szCs w:val="22"/>
          <w:vertAlign w:val="superscript"/>
        </w:rPr>
        <w:t>3</w:t>
      </w:r>
      <w:r>
        <w:t>。在</w:t>
      </w:r>
      <w:r>
        <w:rPr>
          <w:rFonts w:hint="eastAsia"/>
        </w:rPr>
        <w:t>项目区东北</w:t>
      </w:r>
      <w:r>
        <w:t>侧修建排水沟共</w:t>
      </w:r>
      <w:r>
        <w:t>125m</w:t>
      </w:r>
      <w:r>
        <w:t>，</w:t>
      </w:r>
      <w:r>
        <w:rPr>
          <w:szCs w:val="24"/>
        </w:rPr>
        <w:t>断面尺寸为</w:t>
      </w:r>
      <w:r>
        <w:rPr>
          <w:szCs w:val="24"/>
        </w:rPr>
        <w:t>0.5×0.6m</w:t>
      </w:r>
      <w:r>
        <w:rPr>
          <w:szCs w:val="24"/>
        </w:rPr>
        <w:t>矩形断面，为</w:t>
      </w:r>
      <w:r>
        <w:rPr>
          <w:szCs w:val="24"/>
        </w:rPr>
        <w:t>C</w:t>
      </w:r>
      <w:r>
        <w:rPr>
          <w:szCs w:val="24"/>
          <w:vertAlign w:val="subscript"/>
        </w:rPr>
        <w:t>15</w:t>
      </w:r>
      <w:r>
        <w:rPr>
          <w:szCs w:val="24"/>
        </w:rPr>
        <w:t>混凝土砌筑。排水沟终点接</w:t>
      </w:r>
      <w:r>
        <w:rPr>
          <w:rFonts w:hint="eastAsia"/>
          <w:szCs w:val="24"/>
        </w:rPr>
        <w:t>西北侧和东侧</w:t>
      </w:r>
      <w:r>
        <w:rPr>
          <w:szCs w:val="24"/>
        </w:rPr>
        <w:t>市政管网排水沟</w:t>
      </w:r>
      <w:r>
        <w:rPr>
          <w:rFonts w:hint="eastAsia"/>
          <w:szCs w:val="24"/>
        </w:rPr>
        <w:t>。在项目区</w:t>
      </w:r>
      <w:r>
        <w:rPr>
          <w:szCs w:val="24"/>
        </w:rPr>
        <w:t>内部主体</w:t>
      </w:r>
      <w:r>
        <w:rPr>
          <w:rFonts w:hint="eastAsia"/>
          <w:szCs w:val="24"/>
        </w:rPr>
        <w:t>布设</w:t>
      </w:r>
      <w:r>
        <w:rPr>
          <w:szCs w:val="24"/>
        </w:rPr>
        <w:t>雨水管</w:t>
      </w:r>
      <w:r>
        <w:rPr>
          <w:rFonts w:hint="eastAsia"/>
          <w:szCs w:val="24"/>
        </w:rPr>
        <w:t>360m</w:t>
      </w:r>
      <w:r>
        <w:rPr>
          <w:szCs w:val="24"/>
        </w:rPr>
        <w:t>，雨水检查</w:t>
      </w:r>
      <w:r>
        <w:rPr>
          <w:rFonts w:hint="eastAsia"/>
          <w:szCs w:val="24"/>
        </w:rPr>
        <w:t>井</w:t>
      </w:r>
      <w:r>
        <w:rPr>
          <w:rFonts w:hint="eastAsia"/>
          <w:szCs w:val="24"/>
        </w:rPr>
        <w:t>26</w:t>
      </w:r>
      <w:r>
        <w:rPr>
          <w:rFonts w:hint="eastAsia"/>
          <w:szCs w:val="24"/>
        </w:rPr>
        <w:t>座</w:t>
      </w:r>
      <w:r>
        <w:rPr>
          <w:szCs w:val="24"/>
        </w:rPr>
        <w:t>，雨水口</w:t>
      </w:r>
      <w:r>
        <w:rPr>
          <w:rFonts w:hint="eastAsia"/>
          <w:szCs w:val="24"/>
        </w:rPr>
        <w:t>28</w:t>
      </w:r>
      <w:r>
        <w:rPr>
          <w:rFonts w:hint="eastAsia"/>
          <w:szCs w:val="24"/>
        </w:rPr>
        <w:t>座。</w:t>
      </w:r>
      <w:r>
        <w:rPr>
          <w:szCs w:val="24"/>
        </w:rPr>
        <w:t>施工结束后，</w:t>
      </w:r>
      <w:r>
        <w:rPr>
          <w:bCs/>
        </w:rPr>
        <w:t>在绿化区域进行覆土整治</w:t>
      </w:r>
      <w:r>
        <w:rPr>
          <w:bCs/>
        </w:rPr>
        <w:t>120</w:t>
      </w:r>
      <w:r>
        <w:rPr>
          <w:szCs w:val="22"/>
        </w:rPr>
        <w:t>m</w:t>
      </w:r>
      <w:r>
        <w:rPr>
          <w:szCs w:val="22"/>
          <w:vertAlign w:val="superscript"/>
        </w:rPr>
        <w:t>3</w:t>
      </w:r>
      <w:r>
        <w:rPr>
          <w:bCs/>
        </w:rPr>
        <w:t>。在植物绿化区域实施</w:t>
      </w:r>
      <w:r>
        <w:rPr>
          <w:rFonts w:hint="eastAsia"/>
          <w:bCs/>
        </w:rPr>
        <w:t>桂花</w:t>
      </w:r>
      <w:r>
        <w:rPr>
          <w:bCs/>
        </w:rPr>
        <w:t>100</w:t>
      </w:r>
      <w:r>
        <w:rPr>
          <w:bCs/>
        </w:rPr>
        <w:t>株</w:t>
      </w:r>
      <w:r>
        <w:rPr>
          <w:szCs w:val="32"/>
        </w:rPr>
        <w:t>。</w:t>
      </w:r>
    </w:p>
    <w:p w:rsidR="006C378F" w:rsidRDefault="00E12213">
      <w:pPr>
        <w:pStyle w:val="08522"/>
        <w:spacing w:line="360" w:lineRule="auto"/>
      </w:pPr>
      <w:r>
        <w:rPr>
          <w:b/>
          <w:bCs/>
          <w:szCs w:val="32"/>
        </w:rPr>
        <w:t>方案新增措施：</w:t>
      </w:r>
      <w:r>
        <w:rPr>
          <w:szCs w:val="32"/>
        </w:rPr>
        <w:t>经本方案复核，项目大部分已建设完成，主体布设的措施能满足要求，本方案不对该区新增措施。</w:t>
      </w:r>
    </w:p>
    <w:p w:rsidR="006C378F" w:rsidRDefault="00E12213">
      <w:pPr>
        <w:pStyle w:val="2"/>
      </w:pPr>
      <w:bookmarkStart w:id="201" w:name="_Toc11206"/>
      <w:r>
        <w:t>5.3</w:t>
      </w:r>
      <w:r>
        <w:rPr>
          <w:lang w:val="zh-CN"/>
        </w:rPr>
        <w:t>分区措施布设</w:t>
      </w:r>
      <w:bookmarkEnd w:id="201"/>
    </w:p>
    <w:p w:rsidR="006C378F" w:rsidRDefault="00E12213">
      <w:pPr>
        <w:pStyle w:val="af1"/>
        <w:ind w:firstLine="482"/>
        <w:rPr>
          <w:b/>
          <w:bCs/>
        </w:rPr>
      </w:pPr>
      <w:r>
        <w:rPr>
          <w:b/>
          <w:bCs/>
        </w:rPr>
        <w:lastRenderedPageBreak/>
        <w:t>（一）停车场区</w:t>
      </w:r>
    </w:p>
    <w:p w:rsidR="006C378F" w:rsidRDefault="00E12213">
      <w:pPr>
        <w:pStyle w:val="08522"/>
        <w:spacing w:line="360" w:lineRule="auto"/>
        <w:rPr>
          <w:szCs w:val="32"/>
        </w:rPr>
      </w:pPr>
      <w:r>
        <w:t>根据主体设计资料及现场调查，主体在施工在进行了</w:t>
      </w:r>
      <w:r>
        <w:rPr>
          <w:spacing w:val="-2"/>
        </w:rPr>
        <w:t>表土剥离</w:t>
      </w:r>
      <w:r>
        <w:rPr>
          <w:szCs w:val="22"/>
        </w:rPr>
        <w:t>120m</w:t>
      </w:r>
      <w:r>
        <w:rPr>
          <w:szCs w:val="22"/>
          <w:vertAlign w:val="superscript"/>
        </w:rPr>
        <w:t>3</w:t>
      </w:r>
      <w:r>
        <w:t>。在</w:t>
      </w:r>
      <w:r>
        <w:rPr>
          <w:rFonts w:hint="eastAsia"/>
        </w:rPr>
        <w:t>项目区东北侧</w:t>
      </w:r>
      <w:r>
        <w:t>修建排水沟共</w:t>
      </w:r>
      <w:r>
        <w:t>125m</w:t>
      </w:r>
      <w:r>
        <w:t>，</w:t>
      </w:r>
      <w:r>
        <w:rPr>
          <w:szCs w:val="24"/>
        </w:rPr>
        <w:t>断面尺寸为</w:t>
      </w:r>
      <w:r>
        <w:rPr>
          <w:szCs w:val="24"/>
        </w:rPr>
        <w:t>0.5×0.6m</w:t>
      </w:r>
      <w:r>
        <w:rPr>
          <w:szCs w:val="24"/>
        </w:rPr>
        <w:t>矩形断面，为</w:t>
      </w:r>
      <w:r>
        <w:rPr>
          <w:szCs w:val="24"/>
        </w:rPr>
        <w:t>C</w:t>
      </w:r>
      <w:r>
        <w:rPr>
          <w:szCs w:val="24"/>
          <w:vertAlign w:val="subscript"/>
        </w:rPr>
        <w:t>15</w:t>
      </w:r>
      <w:r>
        <w:rPr>
          <w:szCs w:val="24"/>
        </w:rPr>
        <w:t>混凝土砌筑。排水沟终点接</w:t>
      </w:r>
      <w:r>
        <w:rPr>
          <w:rFonts w:hint="eastAsia"/>
          <w:szCs w:val="24"/>
        </w:rPr>
        <w:t>西北侧和东侧</w:t>
      </w:r>
      <w:r>
        <w:rPr>
          <w:szCs w:val="24"/>
        </w:rPr>
        <w:t>市政管网排水沟</w:t>
      </w:r>
      <w:r>
        <w:rPr>
          <w:rFonts w:hint="eastAsia"/>
          <w:szCs w:val="24"/>
        </w:rPr>
        <w:t>。在项目区内部</w:t>
      </w:r>
      <w:r>
        <w:rPr>
          <w:szCs w:val="24"/>
        </w:rPr>
        <w:t>布设雨水管</w:t>
      </w:r>
      <w:r>
        <w:rPr>
          <w:rFonts w:hint="eastAsia"/>
          <w:szCs w:val="24"/>
        </w:rPr>
        <w:t>360</w:t>
      </w:r>
      <w:r>
        <w:rPr>
          <w:szCs w:val="24"/>
        </w:rPr>
        <w:t>m</w:t>
      </w:r>
      <w:r>
        <w:rPr>
          <w:szCs w:val="24"/>
        </w:rPr>
        <w:t>，雨水检查井</w:t>
      </w:r>
      <w:r>
        <w:rPr>
          <w:rFonts w:hint="eastAsia"/>
          <w:szCs w:val="24"/>
        </w:rPr>
        <w:t>16</w:t>
      </w:r>
      <w:r>
        <w:rPr>
          <w:rFonts w:hint="eastAsia"/>
          <w:szCs w:val="24"/>
        </w:rPr>
        <w:t>座</w:t>
      </w:r>
      <w:r>
        <w:rPr>
          <w:szCs w:val="24"/>
        </w:rPr>
        <w:t>，雨水就</w:t>
      </w:r>
      <w:r>
        <w:rPr>
          <w:rFonts w:hint="eastAsia"/>
          <w:szCs w:val="24"/>
        </w:rPr>
        <w:t>28</w:t>
      </w:r>
      <w:r>
        <w:rPr>
          <w:rFonts w:hint="eastAsia"/>
          <w:szCs w:val="24"/>
        </w:rPr>
        <w:t>座</w:t>
      </w:r>
      <w:r>
        <w:rPr>
          <w:szCs w:val="24"/>
        </w:rPr>
        <w:t>。</w:t>
      </w:r>
      <w:r>
        <w:rPr>
          <w:rFonts w:hint="eastAsia"/>
          <w:szCs w:val="24"/>
        </w:rPr>
        <w:t>雨水管</w:t>
      </w:r>
      <w:r>
        <w:rPr>
          <w:szCs w:val="24"/>
        </w:rPr>
        <w:t>施工结束后，</w:t>
      </w:r>
      <w:r>
        <w:rPr>
          <w:bCs/>
        </w:rPr>
        <w:t>在绿化区域进行覆土整治</w:t>
      </w:r>
      <w:r>
        <w:rPr>
          <w:bCs/>
        </w:rPr>
        <w:t>120</w:t>
      </w:r>
      <w:r>
        <w:rPr>
          <w:szCs w:val="22"/>
        </w:rPr>
        <w:t>m</w:t>
      </w:r>
      <w:r>
        <w:rPr>
          <w:szCs w:val="22"/>
          <w:vertAlign w:val="superscript"/>
        </w:rPr>
        <w:t>3</w:t>
      </w:r>
      <w:r>
        <w:rPr>
          <w:bCs/>
        </w:rPr>
        <w:t>。在植物绿化区域实施</w:t>
      </w:r>
      <w:r>
        <w:rPr>
          <w:rFonts w:hint="eastAsia"/>
          <w:bCs/>
        </w:rPr>
        <w:t>桂花</w:t>
      </w:r>
      <w:r>
        <w:rPr>
          <w:rFonts w:hint="eastAsia"/>
          <w:bCs/>
        </w:rPr>
        <w:t>100</w:t>
      </w:r>
      <w:r>
        <w:rPr>
          <w:bCs/>
        </w:rPr>
        <w:t>株</w:t>
      </w:r>
      <w:r>
        <w:rPr>
          <w:szCs w:val="32"/>
        </w:rPr>
        <w:t>。</w:t>
      </w:r>
    </w:p>
    <w:p w:rsidR="006C378F" w:rsidRDefault="00E12213">
      <w:pPr>
        <w:pStyle w:val="ad"/>
        <w:ind w:firstLine="480"/>
        <w:rPr>
          <w:szCs w:val="24"/>
        </w:rPr>
      </w:pPr>
      <w:r>
        <w:rPr>
          <w:szCs w:val="24"/>
        </w:rPr>
        <w:t>由于本项目大部分建设完成，施工期水土流失已得到妥善治理，已实施的各项水土保持防护措施完善，现状及后期已无水土流失产生，方案着重对已建成的水土保持措施运行管理提出要求，为及早完成水土保持工程竣工验收，提高工程运行管理水平，巩固完善综合防护体系，发挥工程的整体效益而提出以下几点要求。</w:t>
      </w:r>
    </w:p>
    <w:p w:rsidR="006C378F" w:rsidRDefault="00E12213">
      <w:pPr>
        <w:pStyle w:val="ad"/>
        <w:ind w:firstLine="480"/>
        <w:rPr>
          <w:szCs w:val="24"/>
        </w:rPr>
      </w:pPr>
      <w:r>
        <w:rPr>
          <w:szCs w:val="24"/>
        </w:rPr>
        <w:t>（</w:t>
      </w:r>
      <w:r>
        <w:rPr>
          <w:szCs w:val="24"/>
        </w:rPr>
        <w:t>1</w:t>
      </w:r>
      <w:r>
        <w:rPr>
          <w:szCs w:val="24"/>
        </w:rPr>
        <w:t>）健全水土保持工程运行技术制度，加强工程的统一管理，保证各项工程安全运行。</w:t>
      </w:r>
    </w:p>
    <w:p w:rsidR="006C378F" w:rsidRDefault="00E12213">
      <w:pPr>
        <w:pStyle w:val="ad"/>
        <w:ind w:firstLine="480"/>
        <w:rPr>
          <w:szCs w:val="24"/>
        </w:rPr>
      </w:pPr>
      <w:r>
        <w:rPr>
          <w:szCs w:val="24"/>
        </w:rPr>
        <w:t>（</w:t>
      </w:r>
      <w:r>
        <w:rPr>
          <w:szCs w:val="24"/>
        </w:rPr>
        <w:t>2</w:t>
      </w:r>
      <w:r>
        <w:rPr>
          <w:szCs w:val="24"/>
        </w:rPr>
        <w:t>）坚持</w:t>
      </w:r>
      <w:r>
        <w:rPr>
          <w:szCs w:val="24"/>
        </w:rPr>
        <w:t>“</w:t>
      </w:r>
      <w:r>
        <w:rPr>
          <w:szCs w:val="24"/>
        </w:rPr>
        <w:t>谁受益，谁管理</w:t>
      </w:r>
      <w:r>
        <w:rPr>
          <w:szCs w:val="24"/>
        </w:rPr>
        <w:t>”</w:t>
      </w:r>
      <w:r>
        <w:rPr>
          <w:szCs w:val="24"/>
        </w:rPr>
        <w:t>，落实工程管护的责任主体。</w:t>
      </w:r>
    </w:p>
    <w:p w:rsidR="006C378F" w:rsidRDefault="00E12213">
      <w:pPr>
        <w:pStyle w:val="0"/>
        <w:spacing w:line="360" w:lineRule="auto"/>
        <w:rPr>
          <w:rFonts w:ascii="Times New Roman" w:hAnsi="Times New Roman"/>
          <w:color w:val="auto"/>
          <w:kern w:val="2"/>
          <w:szCs w:val="24"/>
        </w:rPr>
      </w:pPr>
      <w:r>
        <w:rPr>
          <w:rFonts w:ascii="Times New Roman" w:hAnsi="Times New Roman"/>
          <w:color w:val="auto"/>
          <w:kern w:val="2"/>
          <w:szCs w:val="24"/>
        </w:rPr>
        <w:t>（</w:t>
      </w:r>
      <w:r>
        <w:rPr>
          <w:rFonts w:ascii="Times New Roman" w:hAnsi="Times New Roman"/>
          <w:color w:val="auto"/>
          <w:kern w:val="2"/>
          <w:szCs w:val="24"/>
        </w:rPr>
        <w:t>3</w:t>
      </w:r>
      <w:r>
        <w:rPr>
          <w:rFonts w:ascii="Times New Roman" w:hAnsi="Times New Roman"/>
          <w:color w:val="auto"/>
          <w:kern w:val="2"/>
          <w:szCs w:val="24"/>
        </w:rPr>
        <w:t>）坚持日常维护管理和重点检查维护相结合的原则，落实好植被的定期管护，为提高保存率，栽植后应根据造林立地条件、生长发育时期要求等，及时进行松土、除草、踏穴、培土、选苗、定株、抹芽、打杈和必要的修枝、病虫害防治、护林防火等抚育管理措施，严禁人为破坏。</w:t>
      </w:r>
    </w:p>
    <w:p w:rsidR="006C378F" w:rsidRDefault="00E12213">
      <w:pPr>
        <w:pStyle w:val="0"/>
        <w:spacing w:line="360" w:lineRule="auto"/>
        <w:rPr>
          <w:rFonts w:ascii="Times New Roman" w:hAnsi="Times New Roman"/>
          <w:color w:val="auto"/>
        </w:rPr>
      </w:pPr>
      <w:r>
        <w:rPr>
          <w:rFonts w:ascii="Times New Roman" w:hAnsi="Times New Roman"/>
          <w:color w:val="auto"/>
        </w:rPr>
        <w:t>现阶段项目大部分已建设完成，现有的水土保持措施能够满足水土流失的防治要求，本《方案》不再新增任何水土保持的措施。各项措施工程量详见表</w:t>
      </w:r>
      <w:r>
        <w:rPr>
          <w:rFonts w:ascii="Times New Roman" w:hAnsi="Times New Roman"/>
          <w:color w:val="auto"/>
        </w:rPr>
        <w:t>5-5</w:t>
      </w:r>
      <w:r>
        <w:rPr>
          <w:rFonts w:ascii="Times New Roman" w:hAnsi="Times New Roman"/>
          <w:color w:val="auto"/>
        </w:rPr>
        <w:t>。</w:t>
      </w:r>
    </w:p>
    <w:p w:rsidR="006C378F" w:rsidRDefault="00E12213">
      <w:pPr>
        <w:pStyle w:val="0"/>
        <w:ind w:firstLineChars="0" w:firstLine="0"/>
        <w:jc w:val="center"/>
        <w:rPr>
          <w:rFonts w:ascii="Times New Roman" w:hAnsi="Times New Roman"/>
          <w:b/>
          <w:bCs/>
          <w:color w:val="auto"/>
        </w:rPr>
      </w:pPr>
      <w:r>
        <w:rPr>
          <w:rFonts w:ascii="Times New Roman" w:hAnsi="Times New Roman"/>
          <w:b/>
          <w:color w:val="auto"/>
          <w:kern w:val="2"/>
          <w:sz w:val="22"/>
          <w:szCs w:val="22"/>
        </w:rPr>
        <w:t>表</w:t>
      </w:r>
      <w:r>
        <w:rPr>
          <w:rFonts w:ascii="Times New Roman" w:hAnsi="Times New Roman"/>
          <w:b/>
          <w:color w:val="auto"/>
          <w:kern w:val="2"/>
          <w:sz w:val="22"/>
          <w:szCs w:val="22"/>
        </w:rPr>
        <w:t xml:space="preserve">5-5 </w:t>
      </w:r>
      <w:r>
        <w:rPr>
          <w:rFonts w:ascii="Times New Roman" w:hAnsi="Times New Roman" w:hint="eastAsia"/>
          <w:b/>
          <w:color w:val="auto"/>
          <w:kern w:val="2"/>
          <w:sz w:val="22"/>
          <w:szCs w:val="22"/>
        </w:rPr>
        <w:t xml:space="preserve">      </w:t>
      </w:r>
      <w:r>
        <w:rPr>
          <w:rFonts w:ascii="Times New Roman" w:hAnsi="Times New Roman"/>
          <w:b/>
          <w:color w:val="auto"/>
          <w:kern w:val="2"/>
          <w:sz w:val="22"/>
          <w:szCs w:val="22"/>
        </w:rPr>
        <w:t>主体设计的水土保持措施工程量及投资统计表</w:t>
      </w:r>
    </w:p>
    <w:tbl>
      <w:tblPr>
        <w:tblW w:w="5000" w:type="pct"/>
        <w:tblLook w:val="04A0" w:firstRow="1" w:lastRow="0" w:firstColumn="1" w:lastColumn="0" w:noHBand="0" w:noVBand="1"/>
      </w:tblPr>
      <w:tblGrid>
        <w:gridCol w:w="1090"/>
        <w:gridCol w:w="1091"/>
        <w:gridCol w:w="1090"/>
        <w:gridCol w:w="1091"/>
        <w:gridCol w:w="1091"/>
        <w:gridCol w:w="1091"/>
        <w:gridCol w:w="1266"/>
        <w:gridCol w:w="1476"/>
      </w:tblGrid>
      <w:tr w:rsidR="006C378F">
        <w:trPr>
          <w:trHeight w:val="285"/>
        </w:trPr>
        <w:tc>
          <w:tcPr>
            <w:tcW w:w="605" w:type="pct"/>
            <w:tcBorders>
              <w:top w:val="single" w:sz="4" w:space="0" w:color="auto"/>
              <w:left w:val="single" w:sz="4" w:space="0" w:color="auto"/>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bookmarkStart w:id="202" w:name="_Toc8749"/>
            <w:bookmarkStart w:id="203" w:name="_Toc15299"/>
            <w:bookmarkStart w:id="204" w:name="_Toc32712"/>
            <w:bookmarkStart w:id="205" w:name="_Toc9130470"/>
            <w:bookmarkStart w:id="206" w:name="_Toc23123"/>
            <w:bookmarkStart w:id="207" w:name="_Toc3658"/>
            <w:r>
              <w:rPr>
                <w:rFonts w:ascii="仿宋_GB2312" w:hAnsi="等线" w:cs="宋体" w:hint="eastAsia"/>
                <w:kern w:val="0"/>
                <w:sz w:val="21"/>
                <w:szCs w:val="21"/>
              </w:rPr>
              <w:t>项目组成</w:t>
            </w:r>
          </w:p>
        </w:tc>
        <w:tc>
          <w:tcPr>
            <w:tcW w:w="605" w:type="pct"/>
            <w:tcBorders>
              <w:top w:val="single" w:sz="4" w:space="0" w:color="auto"/>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措施类型</w:t>
            </w:r>
          </w:p>
        </w:tc>
        <w:tc>
          <w:tcPr>
            <w:tcW w:w="605" w:type="pct"/>
            <w:tcBorders>
              <w:top w:val="single" w:sz="4" w:space="0" w:color="auto"/>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措施名称</w:t>
            </w:r>
          </w:p>
        </w:tc>
        <w:tc>
          <w:tcPr>
            <w:tcW w:w="605" w:type="pct"/>
            <w:tcBorders>
              <w:top w:val="single" w:sz="4" w:space="0" w:color="auto"/>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规格</w:t>
            </w:r>
          </w:p>
        </w:tc>
        <w:tc>
          <w:tcPr>
            <w:tcW w:w="605" w:type="pct"/>
            <w:tcBorders>
              <w:top w:val="single" w:sz="4" w:space="0" w:color="auto"/>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单位</w:t>
            </w:r>
          </w:p>
        </w:tc>
        <w:tc>
          <w:tcPr>
            <w:tcW w:w="605" w:type="pct"/>
            <w:tcBorders>
              <w:top w:val="single" w:sz="4" w:space="0" w:color="auto"/>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数量</w:t>
            </w:r>
          </w:p>
        </w:tc>
        <w:tc>
          <w:tcPr>
            <w:tcW w:w="605" w:type="pct"/>
            <w:tcBorders>
              <w:top w:val="single" w:sz="4" w:space="0" w:color="auto"/>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单价（元）</w:t>
            </w:r>
          </w:p>
        </w:tc>
        <w:tc>
          <w:tcPr>
            <w:tcW w:w="762" w:type="pct"/>
            <w:tcBorders>
              <w:top w:val="single" w:sz="4" w:space="0" w:color="auto"/>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总价（万元）</w:t>
            </w:r>
          </w:p>
        </w:tc>
      </w:tr>
      <w:tr w:rsidR="006C378F">
        <w:trPr>
          <w:trHeight w:val="285"/>
        </w:trPr>
        <w:tc>
          <w:tcPr>
            <w:tcW w:w="605" w:type="pct"/>
            <w:vMerge w:val="restart"/>
            <w:tcBorders>
              <w:top w:val="nil"/>
              <w:left w:val="single" w:sz="4" w:space="0" w:color="auto"/>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停车场区</w:t>
            </w:r>
          </w:p>
        </w:tc>
        <w:tc>
          <w:tcPr>
            <w:tcW w:w="605" w:type="pct"/>
            <w:vMerge w:val="restart"/>
            <w:tcBorders>
              <w:top w:val="nil"/>
              <w:left w:val="single" w:sz="4" w:space="0" w:color="auto"/>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工程措施</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排水沟</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0.5*0.6</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 xml:space="preserve">m </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125</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115.5</w:t>
            </w:r>
          </w:p>
        </w:tc>
        <w:tc>
          <w:tcPr>
            <w:tcW w:w="762"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 xml:space="preserve">1.44 </w:t>
            </w:r>
          </w:p>
        </w:tc>
      </w:tr>
      <w:tr w:rsidR="006C378F">
        <w:trPr>
          <w:trHeight w:val="285"/>
        </w:trPr>
        <w:tc>
          <w:tcPr>
            <w:tcW w:w="605" w:type="pct"/>
            <w:vMerge/>
            <w:tcBorders>
              <w:top w:val="nil"/>
              <w:left w:val="single" w:sz="4" w:space="0" w:color="auto"/>
              <w:bottom w:val="single" w:sz="4" w:space="0" w:color="auto"/>
              <w:right w:val="single" w:sz="4" w:space="0" w:color="auto"/>
            </w:tcBorders>
            <w:vAlign w:val="center"/>
          </w:tcPr>
          <w:p w:rsidR="006C378F" w:rsidRDefault="006C378F">
            <w:pPr>
              <w:widowControl/>
              <w:adjustRightInd/>
              <w:snapToGrid/>
              <w:jc w:val="left"/>
              <w:rPr>
                <w:rFonts w:ascii="仿宋_GB2312" w:hAnsi="等线" w:cs="宋体"/>
                <w:kern w:val="0"/>
                <w:sz w:val="21"/>
                <w:szCs w:val="21"/>
              </w:rPr>
            </w:pPr>
          </w:p>
        </w:tc>
        <w:tc>
          <w:tcPr>
            <w:tcW w:w="605" w:type="pct"/>
            <w:vMerge/>
            <w:tcBorders>
              <w:top w:val="nil"/>
              <w:left w:val="single" w:sz="4" w:space="0" w:color="auto"/>
              <w:bottom w:val="single" w:sz="4" w:space="0" w:color="auto"/>
              <w:right w:val="single" w:sz="4" w:space="0" w:color="auto"/>
            </w:tcBorders>
            <w:vAlign w:val="center"/>
          </w:tcPr>
          <w:p w:rsidR="006C378F" w:rsidRDefault="006C378F">
            <w:pPr>
              <w:widowControl/>
              <w:adjustRightInd/>
              <w:snapToGrid/>
              <w:jc w:val="left"/>
              <w:rPr>
                <w:rFonts w:ascii="仿宋_GB2312" w:hAnsi="等线" w:cs="宋体"/>
                <w:kern w:val="0"/>
                <w:sz w:val="21"/>
                <w:szCs w:val="21"/>
              </w:rPr>
            </w:pP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雨水管</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 xml:space="preserve">　</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 xml:space="preserve">m </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360</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288.9</w:t>
            </w:r>
          </w:p>
        </w:tc>
        <w:tc>
          <w:tcPr>
            <w:tcW w:w="762"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 xml:space="preserve">10.40 </w:t>
            </w:r>
          </w:p>
        </w:tc>
      </w:tr>
      <w:tr w:rsidR="006C378F">
        <w:trPr>
          <w:trHeight w:val="285"/>
        </w:trPr>
        <w:tc>
          <w:tcPr>
            <w:tcW w:w="605" w:type="pct"/>
            <w:vMerge/>
            <w:tcBorders>
              <w:top w:val="nil"/>
              <w:left w:val="single" w:sz="4" w:space="0" w:color="auto"/>
              <w:bottom w:val="single" w:sz="4" w:space="0" w:color="auto"/>
              <w:right w:val="single" w:sz="4" w:space="0" w:color="auto"/>
            </w:tcBorders>
            <w:vAlign w:val="center"/>
          </w:tcPr>
          <w:p w:rsidR="006C378F" w:rsidRDefault="006C378F">
            <w:pPr>
              <w:widowControl/>
              <w:adjustRightInd/>
              <w:snapToGrid/>
              <w:jc w:val="left"/>
              <w:rPr>
                <w:rFonts w:ascii="仿宋_GB2312" w:hAnsi="等线" w:cs="宋体"/>
                <w:kern w:val="0"/>
                <w:sz w:val="21"/>
                <w:szCs w:val="21"/>
              </w:rPr>
            </w:pPr>
          </w:p>
        </w:tc>
        <w:tc>
          <w:tcPr>
            <w:tcW w:w="605" w:type="pct"/>
            <w:vMerge/>
            <w:tcBorders>
              <w:top w:val="nil"/>
              <w:left w:val="single" w:sz="4" w:space="0" w:color="auto"/>
              <w:bottom w:val="single" w:sz="4" w:space="0" w:color="auto"/>
              <w:right w:val="single" w:sz="4" w:space="0" w:color="auto"/>
            </w:tcBorders>
            <w:vAlign w:val="center"/>
          </w:tcPr>
          <w:p w:rsidR="006C378F" w:rsidRDefault="006C378F">
            <w:pPr>
              <w:widowControl/>
              <w:adjustRightInd/>
              <w:snapToGrid/>
              <w:jc w:val="left"/>
              <w:rPr>
                <w:rFonts w:ascii="仿宋_GB2312" w:hAnsi="等线" w:cs="宋体"/>
                <w:kern w:val="0"/>
                <w:sz w:val="21"/>
                <w:szCs w:val="21"/>
              </w:rPr>
            </w:pP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雨水井</w:t>
            </w:r>
          </w:p>
        </w:tc>
        <w:tc>
          <w:tcPr>
            <w:tcW w:w="605" w:type="pct"/>
            <w:tcBorders>
              <w:top w:val="nil"/>
              <w:left w:val="nil"/>
              <w:bottom w:val="single" w:sz="4" w:space="0" w:color="auto"/>
              <w:right w:val="single" w:sz="4" w:space="0" w:color="auto"/>
            </w:tcBorders>
            <w:shd w:val="clear" w:color="auto" w:fill="auto"/>
            <w:noWrap/>
            <w:vAlign w:val="bottom"/>
          </w:tcPr>
          <w:p w:rsidR="006C378F" w:rsidRDefault="00E12213">
            <w:pPr>
              <w:widowControl/>
              <w:adjustRightInd/>
              <w:snapToGrid/>
              <w:jc w:val="left"/>
              <w:rPr>
                <w:rFonts w:ascii="等线" w:eastAsia="等线" w:hAnsi="等线" w:cs="宋体"/>
                <w:kern w:val="0"/>
                <w:sz w:val="22"/>
                <w:szCs w:val="22"/>
              </w:rPr>
            </w:pPr>
            <w:r>
              <w:rPr>
                <w:rFonts w:ascii="等线" w:eastAsia="等线" w:hAnsi="等线" w:cs="宋体" w:hint="eastAsia"/>
                <w:kern w:val="0"/>
                <w:sz w:val="22"/>
                <w:szCs w:val="22"/>
              </w:rPr>
              <w:t xml:space="preserve">　</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等线" w:eastAsia="等线" w:hAnsi="等线" w:cs="宋体"/>
                <w:kern w:val="0"/>
                <w:sz w:val="22"/>
                <w:szCs w:val="22"/>
              </w:rPr>
            </w:pPr>
            <w:r>
              <w:rPr>
                <w:rFonts w:ascii="等线" w:eastAsia="等线" w:hAnsi="等线" w:cs="宋体" w:hint="eastAsia"/>
                <w:kern w:val="0"/>
                <w:sz w:val="22"/>
                <w:szCs w:val="22"/>
              </w:rPr>
              <w:t>座</w:t>
            </w:r>
          </w:p>
        </w:tc>
        <w:tc>
          <w:tcPr>
            <w:tcW w:w="605" w:type="pct"/>
            <w:tcBorders>
              <w:top w:val="nil"/>
              <w:left w:val="nil"/>
              <w:bottom w:val="single" w:sz="4" w:space="0" w:color="auto"/>
              <w:right w:val="single" w:sz="4" w:space="0" w:color="auto"/>
            </w:tcBorders>
            <w:shd w:val="clear" w:color="auto" w:fill="auto"/>
            <w:noWrap/>
            <w:vAlign w:val="bottom"/>
          </w:tcPr>
          <w:p w:rsidR="006C378F" w:rsidRDefault="00E12213">
            <w:pPr>
              <w:widowControl/>
              <w:adjustRightInd/>
              <w:snapToGrid/>
              <w:jc w:val="center"/>
              <w:rPr>
                <w:rFonts w:ascii="等线" w:eastAsia="等线" w:hAnsi="等线" w:cs="宋体"/>
                <w:kern w:val="0"/>
                <w:sz w:val="22"/>
                <w:szCs w:val="22"/>
              </w:rPr>
            </w:pPr>
            <w:r>
              <w:rPr>
                <w:rFonts w:ascii="等线" w:eastAsia="等线" w:hAnsi="等线" w:cs="宋体" w:hint="eastAsia"/>
                <w:kern w:val="0"/>
                <w:sz w:val="22"/>
                <w:szCs w:val="22"/>
              </w:rPr>
              <w:t>16</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2500</w:t>
            </w:r>
          </w:p>
        </w:tc>
        <w:tc>
          <w:tcPr>
            <w:tcW w:w="762"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 xml:space="preserve">4.00 </w:t>
            </w:r>
          </w:p>
        </w:tc>
      </w:tr>
      <w:tr w:rsidR="006C378F">
        <w:trPr>
          <w:trHeight w:val="285"/>
        </w:trPr>
        <w:tc>
          <w:tcPr>
            <w:tcW w:w="605" w:type="pct"/>
            <w:vMerge/>
            <w:tcBorders>
              <w:top w:val="nil"/>
              <w:left w:val="single" w:sz="4" w:space="0" w:color="auto"/>
              <w:bottom w:val="single" w:sz="4" w:space="0" w:color="auto"/>
              <w:right w:val="single" w:sz="4" w:space="0" w:color="auto"/>
            </w:tcBorders>
            <w:vAlign w:val="center"/>
          </w:tcPr>
          <w:p w:rsidR="006C378F" w:rsidRDefault="006C378F">
            <w:pPr>
              <w:widowControl/>
              <w:adjustRightInd/>
              <w:snapToGrid/>
              <w:jc w:val="left"/>
              <w:rPr>
                <w:rFonts w:ascii="仿宋_GB2312" w:hAnsi="等线" w:cs="宋体"/>
                <w:kern w:val="0"/>
                <w:sz w:val="21"/>
                <w:szCs w:val="21"/>
              </w:rPr>
            </w:pPr>
          </w:p>
        </w:tc>
        <w:tc>
          <w:tcPr>
            <w:tcW w:w="605" w:type="pct"/>
            <w:vMerge/>
            <w:tcBorders>
              <w:top w:val="nil"/>
              <w:left w:val="single" w:sz="4" w:space="0" w:color="auto"/>
              <w:bottom w:val="single" w:sz="4" w:space="0" w:color="auto"/>
              <w:right w:val="single" w:sz="4" w:space="0" w:color="auto"/>
            </w:tcBorders>
            <w:vAlign w:val="center"/>
          </w:tcPr>
          <w:p w:rsidR="006C378F" w:rsidRDefault="006C378F">
            <w:pPr>
              <w:widowControl/>
              <w:adjustRightInd/>
              <w:snapToGrid/>
              <w:jc w:val="left"/>
              <w:rPr>
                <w:rFonts w:ascii="仿宋_GB2312" w:hAnsi="等线" w:cs="宋体"/>
                <w:kern w:val="0"/>
                <w:sz w:val="21"/>
                <w:szCs w:val="21"/>
              </w:rPr>
            </w:pP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雨水口</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 xml:space="preserve">　</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等线" w:eastAsia="等线" w:hAnsi="等线" w:cs="宋体"/>
                <w:kern w:val="0"/>
                <w:sz w:val="22"/>
                <w:szCs w:val="22"/>
              </w:rPr>
            </w:pPr>
            <w:r>
              <w:rPr>
                <w:rFonts w:ascii="等线" w:eastAsia="等线" w:hAnsi="等线" w:cs="宋体" w:hint="eastAsia"/>
                <w:kern w:val="0"/>
                <w:sz w:val="22"/>
                <w:szCs w:val="22"/>
              </w:rPr>
              <w:t>座</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28</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153.4</w:t>
            </w:r>
          </w:p>
        </w:tc>
        <w:tc>
          <w:tcPr>
            <w:tcW w:w="762"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 xml:space="preserve">0.43 </w:t>
            </w:r>
          </w:p>
        </w:tc>
      </w:tr>
      <w:tr w:rsidR="006C378F">
        <w:trPr>
          <w:trHeight w:val="330"/>
        </w:trPr>
        <w:tc>
          <w:tcPr>
            <w:tcW w:w="605" w:type="pct"/>
            <w:vMerge/>
            <w:tcBorders>
              <w:top w:val="nil"/>
              <w:left w:val="single" w:sz="4" w:space="0" w:color="auto"/>
              <w:bottom w:val="single" w:sz="4" w:space="0" w:color="auto"/>
              <w:right w:val="single" w:sz="4" w:space="0" w:color="auto"/>
            </w:tcBorders>
            <w:vAlign w:val="center"/>
          </w:tcPr>
          <w:p w:rsidR="006C378F" w:rsidRDefault="006C378F">
            <w:pPr>
              <w:widowControl/>
              <w:adjustRightInd/>
              <w:snapToGrid/>
              <w:jc w:val="left"/>
              <w:rPr>
                <w:rFonts w:ascii="仿宋_GB2312" w:hAnsi="等线" w:cs="宋体"/>
                <w:kern w:val="0"/>
                <w:sz w:val="21"/>
                <w:szCs w:val="21"/>
              </w:rPr>
            </w:pPr>
          </w:p>
        </w:tc>
        <w:tc>
          <w:tcPr>
            <w:tcW w:w="605" w:type="pct"/>
            <w:vMerge/>
            <w:tcBorders>
              <w:top w:val="nil"/>
              <w:left w:val="single" w:sz="4" w:space="0" w:color="auto"/>
              <w:bottom w:val="single" w:sz="4" w:space="0" w:color="auto"/>
              <w:right w:val="single" w:sz="4" w:space="0" w:color="auto"/>
            </w:tcBorders>
            <w:vAlign w:val="center"/>
          </w:tcPr>
          <w:p w:rsidR="006C378F" w:rsidRDefault="006C378F">
            <w:pPr>
              <w:widowControl/>
              <w:adjustRightInd/>
              <w:snapToGrid/>
              <w:jc w:val="left"/>
              <w:rPr>
                <w:rFonts w:ascii="仿宋_GB2312" w:hAnsi="等线" w:cs="宋体"/>
                <w:kern w:val="0"/>
                <w:sz w:val="21"/>
                <w:szCs w:val="21"/>
              </w:rPr>
            </w:pP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表土剥离</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 xml:space="preserve">　</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m</w:t>
            </w:r>
            <w:r>
              <w:rPr>
                <w:rFonts w:eastAsia="等线"/>
                <w:kern w:val="0"/>
                <w:sz w:val="21"/>
                <w:szCs w:val="21"/>
                <w:vertAlign w:val="superscript"/>
              </w:rPr>
              <w:t>3</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120</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19.92</w:t>
            </w:r>
          </w:p>
        </w:tc>
        <w:tc>
          <w:tcPr>
            <w:tcW w:w="762"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 xml:space="preserve">0.24 </w:t>
            </w:r>
          </w:p>
        </w:tc>
      </w:tr>
      <w:tr w:rsidR="006C378F">
        <w:trPr>
          <w:trHeight w:val="330"/>
        </w:trPr>
        <w:tc>
          <w:tcPr>
            <w:tcW w:w="605" w:type="pct"/>
            <w:vMerge/>
            <w:tcBorders>
              <w:top w:val="nil"/>
              <w:left w:val="single" w:sz="4" w:space="0" w:color="auto"/>
              <w:bottom w:val="single" w:sz="4" w:space="0" w:color="auto"/>
              <w:right w:val="single" w:sz="4" w:space="0" w:color="auto"/>
            </w:tcBorders>
            <w:vAlign w:val="center"/>
          </w:tcPr>
          <w:p w:rsidR="006C378F" w:rsidRDefault="006C378F">
            <w:pPr>
              <w:widowControl/>
              <w:adjustRightInd/>
              <w:snapToGrid/>
              <w:jc w:val="left"/>
              <w:rPr>
                <w:rFonts w:ascii="仿宋_GB2312" w:hAnsi="等线" w:cs="宋体"/>
                <w:kern w:val="0"/>
                <w:sz w:val="21"/>
                <w:szCs w:val="21"/>
              </w:rPr>
            </w:pPr>
          </w:p>
        </w:tc>
        <w:tc>
          <w:tcPr>
            <w:tcW w:w="605" w:type="pct"/>
            <w:vMerge/>
            <w:tcBorders>
              <w:top w:val="nil"/>
              <w:left w:val="single" w:sz="4" w:space="0" w:color="auto"/>
              <w:bottom w:val="single" w:sz="4" w:space="0" w:color="auto"/>
              <w:right w:val="single" w:sz="4" w:space="0" w:color="auto"/>
            </w:tcBorders>
            <w:vAlign w:val="center"/>
          </w:tcPr>
          <w:p w:rsidR="006C378F" w:rsidRDefault="006C378F">
            <w:pPr>
              <w:widowControl/>
              <w:adjustRightInd/>
              <w:snapToGrid/>
              <w:jc w:val="left"/>
              <w:rPr>
                <w:rFonts w:ascii="仿宋_GB2312" w:hAnsi="等线" w:cs="宋体"/>
                <w:kern w:val="0"/>
                <w:sz w:val="21"/>
                <w:szCs w:val="21"/>
              </w:rPr>
            </w:pP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覆土整治</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 xml:space="preserve">　</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m</w:t>
            </w:r>
            <w:r>
              <w:rPr>
                <w:rFonts w:eastAsia="等线"/>
                <w:kern w:val="0"/>
                <w:sz w:val="21"/>
                <w:szCs w:val="21"/>
                <w:vertAlign w:val="superscript"/>
              </w:rPr>
              <w:t>3</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120</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22.42</w:t>
            </w:r>
          </w:p>
        </w:tc>
        <w:tc>
          <w:tcPr>
            <w:tcW w:w="762"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 xml:space="preserve">0.27 </w:t>
            </w:r>
          </w:p>
        </w:tc>
      </w:tr>
      <w:tr w:rsidR="006C378F">
        <w:trPr>
          <w:trHeight w:val="285"/>
        </w:trPr>
        <w:tc>
          <w:tcPr>
            <w:tcW w:w="605" w:type="pct"/>
            <w:vMerge/>
            <w:tcBorders>
              <w:top w:val="nil"/>
              <w:left w:val="single" w:sz="4" w:space="0" w:color="auto"/>
              <w:bottom w:val="single" w:sz="4" w:space="0" w:color="auto"/>
              <w:right w:val="single" w:sz="4" w:space="0" w:color="auto"/>
            </w:tcBorders>
            <w:vAlign w:val="center"/>
          </w:tcPr>
          <w:p w:rsidR="006C378F" w:rsidRDefault="006C378F">
            <w:pPr>
              <w:widowControl/>
              <w:adjustRightInd/>
              <w:snapToGrid/>
              <w:jc w:val="left"/>
              <w:rPr>
                <w:rFonts w:ascii="仿宋_GB2312" w:hAnsi="等线" w:cs="宋体"/>
                <w:kern w:val="0"/>
                <w:sz w:val="21"/>
                <w:szCs w:val="21"/>
              </w:rPr>
            </w:pP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植物措施</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桂花</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 xml:space="preserve">　</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株</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100</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363.5</w:t>
            </w:r>
          </w:p>
        </w:tc>
        <w:tc>
          <w:tcPr>
            <w:tcW w:w="762"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 xml:space="preserve">3.64 </w:t>
            </w:r>
          </w:p>
        </w:tc>
      </w:tr>
      <w:tr w:rsidR="006C378F">
        <w:trPr>
          <w:trHeight w:val="285"/>
        </w:trPr>
        <w:tc>
          <w:tcPr>
            <w:tcW w:w="1211"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ascii="仿宋_GB2312" w:hAnsi="等线" w:cs="宋体"/>
                <w:kern w:val="0"/>
                <w:sz w:val="21"/>
                <w:szCs w:val="21"/>
              </w:rPr>
            </w:pPr>
            <w:r>
              <w:rPr>
                <w:rFonts w:ascii="仿宋_GB2312" w:hAnsi="等线" w:cs="宋体" w:hint="eastAsia"/>
                <w:kern w:val="0"/>
                <w:sz w:val="21"/>
                <w:szCs w:val="21"/>
              </w:rPr>
              <w:t>合计</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 xml:space="preserve">　</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 xml:space="preserve">　</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 xml:space="preserve">　</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 xml:space="preserve">　</w:t>
            </w:r>
          </w:p>
        </w:tc>
        <w:tc>
          <w:tcPr>
            <w:tcW w:w="605"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 xml:space="preserve">　</w:t>
            </w:r>
          </w:p>
        </w:tc>
        <w:tc>
          <w:tcPr>
            <w:tcW w:w="762" w:type="pct"/>
            <w:tcBorders>
              <w:top w:val="nil"/>
              <w:left w:val="nil"/>
              <w:bottom w:val="single" w:sz="4" w:space="0" w:color="auto"/>
              <w:right w:val="single" w:sz="4" w:space="0" w:color="auto"/>
            </w:tcBorders>
            <w:shd w:val="clear" w:color="auto" w:fill="auto"/>
            <w:noWrap/>
            <w:vAlign w:val="center"/>
          </w:tcPr>
          <w:p w:rsidR="006C378F" w:rsidRDefault="00E12213">
            <w:pPr>
              <w:widowControl/>
              <w:adjustRightInd/>
              <w:snapToGrid/>
              <w:jc w:val="center"/>
              <w:rPr>
                <w:rFonts w:eastAsia="等线"/>
                <w:kern w:val="0"/>
                <w:sz w:val="21"/>
                <w:szCs w:val="21"/>
              </w:rPr>
            </w:pPr>
            <w:r>
              <w:rPr>
                <w:rFonts w:eastAsia="等线"/>
                <w:kern w:val="0"/>
                <w:sz w:val="21"/>
                <w:szCs w:val="21"/>
              </w:rPr>
              <w:t xml:space="preserve">20.42 </w:t>
            </w:r>
          </w:p>
        </w:tc>
      </w:tr>
    </w:tbl>
    <w:p w:rsidR="006C378F" w:rsidRDefault="00E12213">
      <w:pPr>
        <w:pStyle w:val="08522"/>
        <w:rPr>
          <w:sz w:val="32"/>
        </w:rPr>
      </w:pPr>
      <w:r>
        <w:br w:type="page"/>
      </w:r>
    </w:p>
    <w:bookmarkEnd w:id="202"/>
    <w:bookmarkEnd w:id="203"/>
    <w:bookmarkEnd w:id="204"/>
    <w:bookmarkEnd w:id="205"/>
    <w:bookmarkEnd w:id="206"/>
    <w:bookmarkEnd w:id="207"/>
    <w:p w:rsidR="006C378F" w:rsidRDefault="006C378F">
      <w:pPr>
        <w:sectPr w:rsidR="006C378F">
          <w:pgSz w:w="11906" w:h="16838"/>
          <w:pgMar w:top="1417" w:right="1418" w:bottom="1417" w:left="1418" w:header="851" w:footer="992" w:gutter="0"/>
          <w:cols w:space="720"/>
          <w:docGrid w:linePitch="312"/>
        </w:sectPr>
      </w:pPr>
    </w:p>
    <w:p w:rsidR="006C378F" w:rsidRDefault="00E12213">
      <w:pPr>
        <w:pStyle w:val="1"/>
        <w:rPr>
          <w:szCs w:val="22"/>
        </w:rPr>
      </w:pPr>
      <w:bookmarkStart w:id="208" w:name="_Toc6328"/>
      <w:bookmarkStart w:id="209" w:name="_Toc24802"/>
      <w:r>
        <w:rPr>
          <w:rFonts w:hint="eastAsia"/>
          <w:szCs w:val="22"/>
        </w:rPr>
        <w:lastRenderedPageBreak/>
        <w:t>6</w:t>
      </w:r>
      <w:r>
        <w:rPr>
          <w:rFonts w:hint="eastAsia"/>
          <w:szCs w:val="22"/>
        </w:rPr>
        <w:t>水土保持监测</w:t>
      </w:r>
      <w:bookmarkEnd w:id="208"/>
      <w:bookmarkEnd w:id="209"/>
    </w:p>
    <w:p w:rsidR="006C378F" w:rsidRDefault="00E12213">
      <w:pPr>
        <w:pStyle w:val="2"/>
        <w:spacing w:beforeLines="50" w:before="120"/>
        <w:rPr>
          <w:color w:val="0000FF"/>
          <w:szCs w:val="22"/>
        </w:rPr>
      </w:pPr>
      <w:bookmarkStart w:id="210" w:name="_Toc5749"/>
      <w:bookmarkStart w:id="211" w:name="_Toc26732"/>
      <w:r>
        <w:rPr>
          <w:rFonts w:hint="eastAsia"/>
          <w:color w:val="0000FF"/>
          <w:szCs w:val="22"/>
        </w:rPr>
        <w:t>6.1</w:t>
      </w:r>
      <w:r>
        <w:rPr>
          <w:rFonts w:hint="eastAsia"/>
          <w:color w:val="0000FF"/>
          <w:szCs w:val="22"/>
        </w:rPr>
        <w:t>监测范围</w:t>
      </w:r>
      <w:bookmarkEnd w:id="210"/>
      <w:bookmarkEnd w:id="211"/>
    </w:p>
    <w:p w:rsidR="006C378F" w:rsidRDefault="00E12213">
      <w:pPr>
        <w:pStyle w:val="13"/>
        <w:ind w:firstLine="480"/>
        <w:rPr>
          <w:color w:val="0000FF"/>
          <w:kern w:val="0"/>
        </w:rPr>
      </w:pPr>
      <w:r>
        <w:rPr>
          <w:color w:val="0000FF"/>
        </w:rPr>
        <w:t>本项目为建设类项目，根据《生产建设项目水土保持监测与评价标准》（</w:t>
      </w:r>
      <w:r>
        <w:rPr>
          <w:color w:val="0000FF"/>
        </w:rPr>
        <w:t>GB/T51240-2018</w:t>
      </w:r>
      <w:r>
        <w:rPr>
          <w:color w:val="0000FF"/>
        </w:rPr>
        <w:t>），水土保持监测范围包括工程建设征占、使用和其他扰动区域。结合本项目水土流失防治责任范围，确定本项目水土保持监测范围为</w:t>
      </w:r>
      <w:r>
        <w:rPr>
          <w:color w:val="0000FF"/>
          <w:kern w:val="0"/>
        </w:rPr>
        <w:t>建构筑物区、道路及硬化铺装区、景观绿化区及地下</w:t>
      </w:r>
      <w:r>
        <w:rPr>
          <w:rFonts w:hint="eastAsia"/>
          <w:color w:val="0000FF"/>
          <w:kern w:val="0"/>
        </w:rPr>
        <w:t>建构筑物区</w:t>
      </w:r>
      <w:r>
        <w:rPr>
          <w:color w:val="0000FF"/>
          <w:kern w:val="0"/>
        </w:rPr>
        <w:t>，防治范围共</w:t>
      </w:r>
      <w:r>
        <w:rPr>
          <w:rFonts w:hint="eastAsia"/>
          <w:color w:val="0000FF"/>
          <w:kern w:val="0"/>
        </w:rPr>
        <w:t>0.80</w:t>
      </w:r>
      <w:r>
        <w:rPr>
          <w:color w:val="0000FF"/>
          <w:kern w:val="0"/>
        </w:rPr>
        <w:t>hm</w:t>
      </w:r>
      <w:r>
        <w:rPr>
          <w:color w:val="0000FF"/>
          <w:kern w:val="0"/>
          <w:vertAlign w:val="superscript"/>
        </w:rPr>
        <w:t>2</w:t>
      </w:r>
      <w:r>
        <w:rPr>
          <w:color w:val="0000FF"/>
          <w:kern w:val="0"/>
        </w:rPr>
        <w:t>。</w:t>
      </w:r>
    </w:p>
    <w:p w:rsidR="006C378F" w:rsidRDefault="00E12213">
      <w:pPr>
        <w:pStyle w:val="13"/>
        <w:ind w:firstLine="480"/>
        <w:rPr>
          <w:color w:val="0000FF"/>
        </w:rPr>
      </w:pPr>
      <w:r>
        <w:rPr>
          <w:rFonts w:hint="eastAsia"/>
          <w:color w:val="0000FF"/>
        </w:rPr>
        <w:t>监测时段：</w:t>
      </w:r>
      <w:r>
        <w:rPr>
          <w:color w:val="0000FF"/>
        </w:rPr>
        <w:t>按照《开发建设项目水土保持技术规范》，该项目属于建设类点型项目。监测时段应从施工准备期前的背景值监测开始，至设计水平年结束。</w:t>
      </w:r>
    </w:p>
    <w:p w:rsidR="006C378F" w:rsidRDefault="00E12213">
      <w:pPr>
        <w:pStyle w:val="13"/>
        <w:ind w:firstLine="480"/>
        <w:rPr>
          <w:color w:val="0000FF"/>
          <w:lang w:val="zh-CN"/>
        </w:rPr>
      </w:pPr>
      <w:r>
        <w:rPr>
          <w:color w:val="0000FF"/>
          <w:kern w:val="0"/>
        </w:rPr>
        <w:t>由于本项目已于</w:t>
      </w:r>
      <w:r>
        <w:rPr>
          <w:color w:val="0000FF"/>
          <w:kern w:val="0"/>
        </w:rPr>
        <w:t>201</w:t>
      </w:r>
      <w:r>
        <w:rPr>
          <w:rFonts w:hint="eastAsia"/>
          <w:color w:val="0000FF"/>
          <w:kern w:val="0"/>
        </w:rPr>
        <w:t>7</w:t>
      </w:r>
      <w:r>
        <w:rPr>
          <w:color w:val="0000FF"/>
          <w:kern w:val="0"/>
        </w:rPr>
        <w:t>年</w:t>
      </w:r>
      <w:r>
        <w:rPr>
          <w:rFonts w:hint="eastAsia"/>
          <w:color w:val="0000FF"/>
          <w:kern w:val="0"/>
        </w:rPr>
        <w:t>3</w:t>
      </w:r>
      <w:r>
        <w:rPr>
          <w:color w:val="0000FF"/>
          <w:kern w:val="0"/>
        </w:rPr>
        <w:t>月底施工结束，本项目建设期间未开展水土保持监测工作，鉴于此，本方案补充试运行期间的监测，重点对项目林草恢复、工程措施运行及其防治效果进行监测。</w:t>
      </w:r>
      <w:r>
        <w:rPr>
          <w:rFonts w:hint="eastAsia"/>
          <w:color w:val="0000FF"/>
          <w:kern w:val="0"/>
        </w:rPr>
        <w:t>由于本方案布设了植物措施，故本项目监测时段至</w:t>
      </w:r>
      <w:r>
        <w:rPr>
          <w:rFonts w:hint="eastAsia"/>
          <w:color w:val="0000FF"/>
          <w:kern w:val="0"/>
        </w:rPr>
        <w:t>2021</w:t>
      </w:r>
      <w:r>
        <w:rPr>
          <w:rFonts w:hint="eastAsia"/>
          <w:color w:val="0000FF"/>
          <w:kern w:val="0"/>
        </w:rPr>
        <w:t>年</w:t>
      </w:r>
      <w:r>
        <w:rPr>
          <w:rFonts w:hint="eastAsia"/>
          <w:color w:val="0000FF"/>
          <w:kern w:val="0"/>
        </w:rPr>
        <w:t>12</w:t>
      </w:r>
      <w:r>
        <w:rPr>
          <w:rFonts w:hint="eastAsia"/>
          <w:color w:val="0000FF"/>
          <w:kern w:val="0"/>
        </w:rPr>
        <w:t>月底。监测时长为</w:t>
      </w:r>
      <w:r>
        <w:rPr>
          <w:rFonts w:hint="eastAsia"/>
          <w:color w:val="0000FF"/>
        </w:rPr>
        <w:t>10</w:t>
      </w:r>
      <w:r>
        <w:rPr>
          <w:rFonts w:hint="eastAsia"/>
          <w:color w:val="0000FF"/>
        </w:rPr>
        <w:t>个月</w:t>
      </w:r>
      <w:r>
        <w:rPr>
          <w:color w:val="0000FF"/>
          <w:lang w:val="zh-CN"/>
        </w:rPr>
        <w:t>。</w:t>
      </w:r>
    </w:p>
    <w:p w:rsidR="006C378F" w:rsidRDefault="00E12213">
      <w:pPr>
        <w:pStyle w:val="2"/>
        <w:spacing w:beforeLines="50" w:before="120"/>
        <w:rPr>
          <w:color w:val="0000FF"/>
          <w:szCs w:val="22"/>
          <w:lang w:val="zh-CN"/>
        </w:rPr>
      </w:pPr>
      <w:bookmarkStart w:id="212" w:name="_Toc20520"/>
      <w:bookmarkStart w:id="213" w:name="_Toc7269"/>
      <w:bookmarkStart w:id="214" w:name="_Toc31433"/>
      <w:bookmarkStart w:id="215" w:name="_Toc25826"/>
      <w:r>
        <w:rPr>
          <w:rFonts w:hint="eastAsia"/>
          <w:color w:val="0000FF"/>
          <w:szCs w:val="22"/>
        </w:rPr>
        <w:t>6.2</w:t>
      </w:r>
      <w:r>
        <w:rPr>
          <w:rFonts w:hint="eastAsia"/>
          <w:color w:val="0000FF"/>
          <w:szCs w:val="22"/>
          <w:lang w:val="zh-CN"/>
        </w:rPr>
        <w:t>监测内容</w:t>
      </w:r>
      <w:bookmarkEnd w:id="212"/>
      <w:bookmarkEnd w:id="213"/>
      <w:bookmarkEnd w:id="214"/>
      <w:bookmarkEnd w:id="215"/>
    </w:p>
    <w:p w:rsidR="006C378F" w:rsidRDefault="00E12213">
      <w:pPr>
        <w:pStyle w:val="13"/>
        <w:ind w:firstLine="480"/>
        <w:rPr>
          <w:color w:val="0000FF"/>
        </w:rPr>
      </w:pPr>
      <w:r>
        <w:rPr>
          <w:color w:val="0000FF"/>
        </w:rPr>
        <w:t>按照《生产建设项目水土保持监测与评价标准》（</w:t>
      </w:r>
      <w:r>
        <w:rPr>
          <w:color w:val="0000FF"/>
        </w:rPr>
        <w:t>GB/T51240-2018</w:t>
      </w:r>
      <w:r>
        <w:rPr>
          <w:color w:val="0000FF"/>
        </w:rPr>
        <w:t>）的规定，生产建设项目水土保持监测内容主要包括水土流失影响因子、水土流失状况、水土流失危害和水土保持措施的监测。</w:t>
      </w:r>
    </w:p>
    <w:p w:rsidR="006C378F" w:rsidRDefault="00E12213">
      <w:pPr>
        <w:pStyle w:val="13"/>
        <w:ind w:firstLine="480"/>
        <w:rPr>
          <w:color w:val="0000FF"/>
          <w:kern w:val="0"/>
        </w:rPr>
      </w:pPr>
      <w:r>
        <w:rPr>
          <w:color w:val="0000FF"/>
        </w:rPr>
        <w:t>本项目主体工程已经完工，构建筑物及道路区域已硬化，无水土流失产生，绿化区域也已完工，因此，</w:t>
      </w:r>
      <w:r>
        <w:rPr>
          <w:color w:val="0000FF"/>
          <w:kern w:val="0"/>
        </w:rPr>
        <w:t>重点对项目林草恢复、工程措施运行及其防治效果进行监测。主要为以下方面：</w:t>
      </w:r>
    </w:p>
    <w:p w:rsidR="006C378F" w:rsidRDefault="00E12213">
      <w:pPr>
        <w:pStyle w:val="13"/>
        <w:ind w:firstLine="480"/>
        <w:rPr>
          <w:color w:val="0000FF"/>
          <w:kern w:val="0"/>
        </w:rPr>
      </w:pPr>
      <w:r>
        <w:rPr>
          <w:color w:val="0000FF"/>
          <w:kern w:val="0"/>
        </w:rPr>
        <w:t>（</w:t>
      </w:r>
      <w:r>
        <w:rPr>
          <w:color w:val="0000FF"/>
          <w:kern w:val="0"/>
        </w:rPr>
        <w:t>1</w:t>
      </w:r>
      <w:r>
        <w:rPr>
          <w:color w:val="0000FF"/>
          <w:kern w:val="0"/>
        </w:rPr>
        <w:t>）植物措施的种类、面积、分布、生长状况、成活率、保存率和林草覆盖率；</w:t>
      </w:r>
    </w:p>
    <w:p w:rsidR="006C378F" w:rsidRDefault="00E12213">
      <w:pPr>
        <w:pStyle w:val="13"/>
        <w:ind w:firstLine="480"/>
        <w:rPr>
          <w:color w:val="0000FF"/>
          <w:kern w:val="0"/>
        </w:rPr>
      </w:pPr>
      <w:r>
        <w:rPr>
          <w:color w:val="0000FF"/>
          <w:kern w:val="0"/>
        </w:rPr>
        <w:t>（</w:t>
      </w:r>
      <w:r>
        <w:rPr>
          <w:color w:val="0000FF"/>
          <w:kern w:val="0"/>
        </w:rPr>
        <w:t>2</w:t>
      </w:r>
      <w:r>
        <w:rPr>
          <w:color w:val="0000FF"/>
          <w:kern w:val="0"/>
        </w:rPr>
        <w:t>）工程措施的类型、数量、分布和完好程度；</w:t>
      </w:r>
    </w:p>
    <w:p w:rsidR="006C378F" w:rsidRDefault="00E12213">
      <w:pPr>
        <w:pStyle w:val="13"/>
        <w:ind w:firstLine="480"/>
        <w:rPr>
          <w:color w:val="0000FF"/>
          <w:kern w:val="0"/>
        </w:rPr>
      </w:pPr>
      <w:r>
        <w:rPr>
          <w:color w:val="0000FF"/>
          <w:kern w:val="0"/>
        </w:rPr>
        <w:t>（</w:t>
      </w:r>
      <w:r>
        <w:rPr>
          <w:color w:val="0000FF"/>
          <w:kern w:val="0"/>
        </w:rPr>
        <w:t>3</w:t>
      </w:r>
      <w:r>
        <w:rPr>
          <w:color w:val="0000FF"/>
          <w:kern w:val="0"/>
        </w:rPr>
        <w:t>）临时措施的类型、数量和分布；</w:t>
      </w:r>
    </w:p>
    <w:p w:rsidR="006C378F" w:rsidRDefault="00E12213">
      <w:pPr>
        <w:pStyle w:val="13"/>
        <w:ind w:firstLine="480"/>
        <w:rPr>
          <w:color w:val="0000FF"/>
          <w:kern w:val="0"/>
        </w:rPr>
      </w:pPr>
      <w:r>
        <w:rPr>
          <w:color w:val="0000FF"/>
          <w:kern w:val="0"/>
        </w:rPr>
        <w:t>（</w:t>
      </w:r>
      <w:r>
        <w:rPr>
          <w:color w:val="0000FF"/>
          <w:kern w:val="0"/>
        </w:rPr>
        <w:t>4</w:t>
      </w:r>
      <w:r>
        <w:rPr>
          <w:color w:val="0000FF"/>
          <w:kern w:val="0"/>
        </w:rPr>
        <w:t>）主体工程和各项水土保持的实施进展情况；</w:t>
      </w:r>
    </w:p>
    <w:p w:rsidR="006C378F" w:rsidRDefault="00E12213">
      <w:pPr>
        <w:pStyle w:val="13"/>
        <w:ind w:firstLine="480"/>
        <w:rPr>
          <w:color w:val="0000FF"/>
          <w:kern w:val="0"/>
        </w:rPr>
      </w:pPr>
      <w:r>
        <w:rPr>
          <w:color w:val="0000FF"/>
          <w:kern w:val="0"/>
        </w:rPr>
        <w:t>（</w:t>
      </w:r>
      <w:r>
        <w:rPr>
          <w:color w:val="0000FF"/>
          <w:kern w:val="0"/>
        </w:rPr>
        <w:t>5</w:t>
      </w:r>
      <w:r>
        <w:rPr>
          <w:color w:val="0000FF"/>
          <w:kern w:val="0"/>
        </w:rPr>
        <w:t>）水土保持措施对周边生态环境发挥的作用。</w:t>
      </w:r>
    </w:p>
    <w:p w:rsidR="006C378F" w:rsidRDefault="00E12213">
      <w:pPr>
        <w:pStyle w:val="2"/>
        <w:spacing w:beforeLines="50" w:before="120"/>
        <w:rPr>
          <w:color w:val="0000FF"/>
          <w:szCs w:val="22"/>
          <w:lang w:val="zh-CN"/>
        </w:rPr>
      </w:pPr>
      <w:bookmarkStart w:id="216" w:name="_Toc11533"/>
      <w:bookmarkStart w:id="217" w:name="_Toc893"/>
      <w:bookmarkStart w:id="218" w:name="_Toc30941"/>
      <w:bookmarkStart w:id="219" w:name="_Toc24367"/>
      <w:r>
        <w:rPr>
          <w:rFonts w:hint="eastAsia"/>
          <w:color w:val="0000FF"/>
          <w:szCs w:val="22"/>
        </w:rPr>
        <w:t>6.3</w:t>
      </w:r>
      <w:r>
        <w:rPr>
          <w:rFonts w:hint="eastAsia"/>
          <w:color w:val="0000FF"/>
          <w:szCs w:val="22"/>
          <w:lang w:val="zh-CN"/>
        </w:rPr>
        <w:t>监测方法</w:t>
      </w:r>
      <w:bookmarkEnd w:id="216"/>
      <w:bookmarkEnd w:id="217"/>
      <w:bookmarkEnd w:id="218"/>
      <w:bookmarkEnd w:id="219"/>
    </w:p>
    <w:p w:rsidR="006C378F" w:rsidRDefault="00E12213">
      <w:pPr>
        <w:pStyle w:val="13"/>
        <w:ind w:firstLine="482"/>
        <w:rPr>
          <w:b/>
          <w:bCs/>
          <w:color w:val="0000FF"/>
          <w:lang w:val="zh-CN"/>
        </w:rPr>
      </w:pPr>
      <w:r>
        <w:rPr>
          <w:rFonts w:hint="eastAsia"/>
          <w:b/>
          <w:bCs/>
          <w:color w:val="0000FF"/>
          <w:lang w:val="zh-CN"/>
        </w:rPr>
        <w:t>（一）</w:t>
      </w:r>
      <w:r>
        <w:rPr>
          <w:b/>
          <w:bCs/>
          <w:color w:val="0000FF"/>
          <w:lang w:val="zh-CN"/>
        </w:rPr>
        <w:t>资料分析法</w:t>
      </w:r>
    </w:p>
    <w:p w:rsidR="006C378F" w:rsidRDefault="00E12213">
      <w:pPr>
        <w:pStyle w:val="13"/>
        <w:ind w:firstLine="480"/>
        <w:rPr>
          <w:color w:val="0000FF"/>
          <w:lang w:val="zh-CN"/>
        </w:rPr>
      </w:pPr>
      <w:r>
        <w:rPr>
          <w:color w:val="0000FF"/>
          <w:lang w:val="zh-CN"/>
        </w:rPr>
        <w:t>前期建设水土保持状况摸底监测方案主要采用资料收集与室内分析相结合方法。</w:t>
      </w:r>
    </w:p>
    <w:p w:rsidR="006C378F" w:rsidRDefault="00E12213">
      <w:pPr>
        <w:pStyle w:val="13"/>
        <w:ind w:firstLine="480"/>
        <w:rPr>
          <w:color w:val="0000FF"/>
        </w:rPr>
      </w:pPr>
      <w:r>
        <w:rPr>
          <w:color w:val="0000FF"/>
        </w:rPr>
        <w:lastRenderedPageBreak/>
        <w:t>（</w:t>
      </w:r>
      <w:r>
        <w:rPr>
          <w:color w:val="0000FF"/>
        </w:rPr>
        <w:t>1</w:t>
      </w:r>
      <w:r>
        <w:rPr>
          <w:color w:val="0000FF"/>
        </w:rPr>
        <w:t>）收集、分析资料。收集内容包括：主体设计方案、施工组织设计、施工记录、施工监理资料、施工时气象水文资料等。</w:t>
      </w:r>
    </w:p>
    <w:p w:rsidR="006C378F" w:rsidRDefault="00E12213">
      <w:pPr>
        <w:pStyle w:val="13"/>
        <w:ind w:firstLine="480"/>
        <w:rPr>
          <w:color w:val="0000FF"/>
        </w:rPr>
      </w:pPr>
      <w:r>
        <w:rPr>
          <w:color w:val="0000FF"/>
        </w:rPr>
        <w:t>（</w:t>
      </w:r>
      <w:r>
        <w:rPr>
          <w:color w:val="0000FF"/>
        </w:rPr>
        <w:t>2</w:t>
      </w:r>
      <w:r>
        <w:rPr>
          <w:color w:val="0000FF"/>
        </w:rPr>
        <w:t>）具体内容和方法：根据项目施工记录及施工监理资料，结合项目主体设计方案、施工组织设计、咨询建设单位和施工单位，得出项目施工过程中产生的水土流失类型、强度，推断施工过程中产生的水土流失危害和影响。</w:t>
      </w:r>
    </w:p>
    <w:p w:rsidR="006C378F" w:rsidRDefault="00E12213">
      <w:pPr>
        <w:pStyle w:val="13"/>
        <w:ind w:firstLine="482"/>
        <w:rPr>
          <w:b/>
          <w:bCs/>
          <w:color w:val="0000FF"/>
          <w:lang w:val="zh-CN"/>
        </w:rPr>
      </w:pPr>
      <w:r>
        <w:rPr>
          <w:rFonts w:hint="eastAsia"/>
          <w:b/>
          <w:bCs/>
          <w:color w:val="0000FF"/>
          <w:lang w:val="zh-CN"/>
        </w:rPr>
        <w:t>（二）</w:t>
      </w:r>
      <w:r>
        <w:rPr>
          <w:b/>
          <w:bCs/>
          <w:color w:val="0000FF"/>
          <w:lang w:val="zh-CN"/>
        </w:rPr>
        <w:t>实地调查监测</w:t>
      </w:r>
    </w:p>
    <w:p w:rsidR="006C378F" w:rsidRDefault="00E12213">
      <w:pPr>
        <w:pStyle w:val="13"/>
        <w:ind w:firstLine="480"/>
        <w:rPr>
          <w:color w:val="0000FF"/>
        </w:rPr>
      </w:pPr>
      <w:r>
        <w:rPr>
          <w:color w:val="0000FF"/>
        </w:rPr>
        <w:t>通过现场调查，以了解</w:t>
      </w:r>
      <w:r>
        <w:rPr>
          <w:color w:val="0000FF"/>
          <w:kern w:val="0"/>
        </w:rPr>
        <w:t>工程措施运行情况及其防治效果</w:t>
      </w:r>
      <w:r>
        <w:rPr>
          <w:color w:val="0000FF"/>
        </w:rPr>
        <w:t>，对植被恢复情况采取设置样方的方式进行调查。</w:t>
      </w:r>
    </w:p>
    <w:p w:rsidR="006C378F" w:rsidRDefault="00E12213">
      <w:pPr>
        <w:pStyle w:val="08522"/>
        <w:sectPr w:rsidR="006C378F">
          <w:headerReference w:type="default" r:id="rId23"/>
          <w:pgSz w:w="11906" w:h="16838"/>
          <w:pgMar w:top="1417" w:right="1418" w:bottom="1417" w:left="1418" w:header="851" w:footer="992" w:gutter="0"/>
          <w:cols w:space="720"/>
          <w:docGrid w:linePitch="312"/>
        </w:sectPr>
      </w:pPr>
      <w:r>
        <w:rPr>
          <w:rFonts w:hint="eastAsia"/>
          <w:color w:val="0000FF"/>
          <w:lang w:val="zh-CN"/>
        </w:rPr>
        <w:t>监测点位：</w:t>
      </w:r>
      <w:r>
        <w:rPr>
          <w:color w:val="0000FF"/>
        </w:rPr>
        <w:t>考虑到本项目主体工程已完工，因此本项目仅对植被恢复期进行水土保持监测，由于本项目林草恢复期主要为景观绿化，因此水土保持监测重点设定为景观绿化区，设</w:t>
      </w:r>
      <w:r>
        <w:rPr>
          <w:rFonts w:hint="eastAsia"/>
          <w:color w:val="0000FF"/>
        </w:rPr>
        <w:t>2</w:t>
      </w:r>
      <w:r>
        <w:rPr>
          <w:color w:val="0000FF"/>
        </w:rPr>
        <w:t>个监测点</w:t>
      </w:r>
    </w:p>
    <w:p w:rsidR="006C378F" w:rsidRDefault="00E12213">
      <w:pPr>
        <w:pStyle w:val="1"/>
        <w:keepNext w:val="0"/>
        <w:keepLines w:val="0"/>
        <w:pageBreakBefore/>
        <w:jc w:val="center"/>
      </w:pPr>
      <w:bookmarkStart w:id="220" w:name="_Toc26217"/>
      <w:r>
        <w:lastRenderedPageBreak/>
        <w:t>7</w:t>
      </w:r>
      <w:r>
        <w:t>水土保持投资概算</w:t>
      </w:r>
      <w:bookmarkEnd w:id="220"/>
    </w:p>
    <w:p w:rsidR="006C378F" w:rsidRDefault="00E12213">
      <w:pPr>
        <w:pStyle w:val="2"/>
      </w:pPr>
      <w:bookmarkStart w:id="221" w:name="_Toc205693026"/>
      <w:bookmarkStart w:id="222" w:name="_Toc158454429"/>
      <w:bookmarkStart w:id="223" w:name="_Toc141666439"/>
      <w:bookmarkStart w:id="224" w:name="_Toc24262"/>
      <w:bookmarkStart w:id="225" w:name="_Toc7858"/>
      <w:r>
        <w:t>7.1</w:t>
      </w:r>
      <w:r>
        <w:t>编制原则</w:t>
      </w:r>
      <w:bookmarkEnd w:id="221"/>
      <w:bookmarkEnd w:id="222"/>
      <w:bookmarkEnd w:id="223"/>
      <w:r>
        <w:t>及依据</w:t>
      </w:r>
      <w:bookmarkEnd w:id="224"/>
    </w:p>
    <w:p w:rsidR="006C378F" w:rsidRDefault="00E12213">
      <w:pPr>
        <w:keepNext/>
        <w:keepLines/>
        <w:spacing w:line="360" w:lineRule="auto"/>
        <w:ind w:firstLineChars="200" w:firstLine="482"/>
        <w:rPr>
          <w:b/>
          <w:bCs/>
        </w:rPr>
      </w:pPr>
      <w:bookmarkStart w:id="226" w:name="_Toc317684759"/>
      <w:bookmarkStart w:id="227" w:name="OLE_LINK301"/>
      <w:r>
        <w:rPr>
          <w:b/>
          <w:bCs/>
        </w:rPr>
        <w:t>一、</w:t>
      </w:r>
      <w:r>
        <w:rPr>
          <w:b/>
          <w:bCs/>
          <w:lang w:val="zh-CN"/>
        </w:rPr>
        <w:t>编制原则</w:t>
      </w:r>
    </w:p>
    <w:p w:rsidR="006C378F" w:rsidRDefault="00E12213">
      <w:pPr>
        <w:spacing w:line="360" w:lineRule="auto"/>
        <w:ind w:firstLine="480"/>
        <w:rPr>
          <w:bCs/>
          <w:iCs/>
        </w:rPr>
      </w:pPr>
      <w:r>
        <w:rPr>
          <w:bCs/>
          <w:iCs/>
        </w:rPr>
        <w:t>（</w:t>
      </w:r>
      <w:r>
        <w:rPr>
          <w:bCs/>
          <w:iCs/>
        </w:rPr>
        <w:t>1</w:t>
      </w:r>
      <w:r>
        <w:rPr>
          <w:bCs/>
          <w:iCs/>
        </w:rPr>
        <w:t>）遵循国家和地方颁布的有关水土保持政策法规；</w:t>
      </w:r>
    </w:p>
    <w:p w:rsidR="006C378F" w:rsidRDefault="00E12213">
      <w:pPr>
        <w:spacing w:line="360" w:lineRule="auto"/>
        <w:ind w:firstLine="480"/>
        <w:rPr>
          <w:bCs/>
          <w:iCs/>
        </w:rPr>
      </w:pPr>
      <w:r>
        <w:rPr>
          <w:bCs/>
          <w:iCs/>
        </w:rPr>
        <w:t>（</w:t>
      </w:r>
      <w:r>
        <w:rPr>
          <w:bCs/>
          <w:iCs/>
        </w:rPr>
        <w:t>2</w:t>
      </w:r>
      <w:r>
        <w:rPr>
          <w:bCs/>
          <w:iCs/>
        </w:rPr>
        <w:t>）编制深度与主体工程一致，按初步设计阶段编制投资概算；</w:t>
      </w:r>
    </w:p>
    <w:p w:rsidR="006C378F" w:rsidRDefault="00E12213">
      <w:pPr>
        <w:spacing w:line="360" w:lineRule="auto"/>
        <w:ind w:firstLine="480"/>
        <w:rPr>
          <w:bCs/>
          <w:iCs/>
        </w:rPr>
      </w:pPr>
      <w:r>
        <w:rPr>
          <w:bCs/>
          <w:iCs/>
        </w:rPr>
        <w:t>（</w:t>
      </w:r>
      <w:r>
        <w:rPr>
          <w:bCs/>
          <w:iCs/>
        </w:rPr>
        <w:t>3</w:t>
      </w:r>
      <w:r>
        <w:rPr>
          <w:bCs/>
          <w:iCs/>
        </w:rPr>
        <w:t>）本方案编制的价格水平年以</w:t>
      </w:r>
      <w:r>
        <w:rPr>
          <w:bCs/>
          <w:iCs/>
        </w:rPr>
        <w:t>202</w:t>
      </w:r>
      <w:r>
        <w:rPr>
          <w:rFonts w:hint="eastAsia"/>
          <w:bCs/>
          <w:iCs/>
        </w:rPr>
        <w:t>1</w:t>
      </w:r>
      <w:r>
        <w:rPr>
          <w:bCs/>
          <w:iCs/>
        </w:rPr>
        <w:t>年第</w:t>
      </w:r>
      <w:r>
        <w:rPr>
          <w:rFonts w:hint="eastAsia"/>
          <w:bCs/>
          <w:iCs/>
        </w:rPr>
        <w:t>一</w:t>
      </w:r>
      <w:r>
        <w:rPr>
          <w:bCs/>
          <w:iCs/>
        </w:rPr>
        <w:t>季度市场价格为准；</w:t>
      </w:r>
    </w:p>
    <w:p w:rsidR="006C378F" w:rsidRDefault="00E12213">
      <w:pPr>
        <w:spacing w:line="360" w:lineRule="auto"/>
        <w:ind w:firstLineChars="200" w:firstLine="480"/>
        <w:rPr>
          <w:bCs/>
          <w:iCs/>
          <w:szCs w:val="24"/>
        </w:rPr>
      </w:pPr>
      <w:r>
        <w:rPr>
          <w:bCs/>
          <w:iCs/>
        </w:rPr>
        <w:t>（</w:t>
      </w:r>
      <w:r>
        <w:rPr>
          <w:bCs/>
          <w:iCs/>
        </w:rPr>
        <w:t>4</w:t>
      </w:r>
      <w:r>
        <w:rPr>
          <w:bCs/>
          <w:iCs/>
        </w:rPr>
        <w:t>）</w:t>
      </w:r>
      <w:r>
        <w:rPr>
          <w:bCs/>
          <w:iCs/>
          <w:szCs w:val="24"/>
        </w:rPr>
        <w:t>主体工程已有单价采用主体工程单价，未计列部分按水利部水总〔</w:t>
      </w:r>
      <w:r>
        <w:rPr>
          <w:bCs/>
          <w:iCs/>
          <w:szCs w:val="24"/>
        </w:rPr>
        <w:t>2003</w:t>
      </w:r>
      <w:r>
        <w:rPr>
          <w:bCs/>
          <w:iCs/>
          <w:szCs w:val="24"/>
        </w:rPr>
        <w:t>〕</w:t>
      </w:r>
      <w:r>
        <w:rPr>
          <w:bCs/>
          <w:iCs/>
          <w:szCs w:val="24"/>
        </w:rPr>
        <w:t>67</w:t>
      </w:r>
      <w:r>
        <w:rPr>
          <w:bCs/>
          <w:iCs/>
          <w:szCs w:val="24"/>
        </w:rPr>
        <w:t>号及</w:t>
      </w:r>
      <w:r>
        <w:rPr>
          <w:szCs w:val="24"/>
        </w:rPr>
        <w:t>《水利工程概（估）算编制规定》（水总</w:t>
      </w:r>
      <w:r>
        <w:rPr>
          <w:bCs/>
          <w:iCs/>
          <w:szCs w:val="24"/>
        </w:rPr>
        <w:t>〔</w:t>
      </w:r>
      <w:r>
        <w:rPr>
          <w:bCs/>
          <w:iCs/>
          <w:szCs w:val="24"/>
        </w:rPr>
        <w:t>2014</w:t>
      </w:r>
      <w:r>
        <w:rPr>
          <w:bCs/>
          <w:iCs/>
          <w:szCs w:val="24"/>
        </w:rPr>
        <w:t>〕</w:t>
      </w:r>
      <w:r>
        <w:rPr>
          <w:szCs w:val="24"/>
        </w:rPr>
        <w:t>429</w:t>
      </w:r>
      <w:r>
        <w:rPr>
          <w:szCs w:val="24"/>
        </w:rPr>
        <w:t>号）等</w:t>
      </w:r>
      <w:r>
        <w:rPr>
          <w:bCs/>
          <w:iCs/>
          <w:szCs w:val="24"/>
        </w:rPr>
        <w:t>文件补充完善；</w:t>
      </w:r>
    </w:p>
    <w:p w:rsidR="006C378F" w:rsidRDefault="00E12213">
      <w:pPr>
        <w:spacing w:line="360" w:lineRule="auto"/>
        <w:ind w:firstLine="480"/>
        <w:rPr>
          <w:bCs/>
          <w:iCs/>
        </w:rPr>
      </w:pPr>
      <w:r>
        <w:rPr>
          <w:bCs/>
          <w:iCs/>
        </w:rPr>
        <w:t>（</w:t>
      </w:r>
      <w:r>
        <w:rPr>
          <w:bCs/>
          <w:iCs/>
        </w:rPr>
        <w:t>5</w:t>
      </w:r>
      <w:r>
        <w:rPr>
          <w:bCs/>
          <w:iCs/>
        </w:rPr>
        <w:t>）建设过程中发生的水土流失防治费用，从基本建设投资中列支；</w:t>
      </w:r>
    </w:p>
    <w:p w:rsidR="006C378F" w:rsidRDefault="00E12213">
      <w:pPr>
        <w:spacing w:line="360" w:lineRule="auto"/>
        <w:ind w:firstLine="480"/>
        <w:rPr>
          <w:bCs/>
          <w:iCs/>
        </w:rPr>
      </w:pPr>
      <w:r>
        <w:rPr>
          <w:bCs/>
          <w:iCs/>
        </w:rPr>
        <w:t>（</w:t>
      </w:r>
      <w:r>
        <w:rPr>
          <w:bCs/>
          <w:iCs/>
        </w:rPr>
        <w:t>6</w:t>
      </w:r>
      <w:r>
        <w:rPr>
          <w:bCs/>
          <w:iCs/>
        </w:rPr>
        <w:t>）本工程水土保持投资概算作为主体工程投资概算组成部分，计入总投资概算中。</w:t>
      </w:r>
    </w:p>
    <w:p w:rsidR="006C378F" w:rsidRDefault="00E12213">
      <w:pPr>
        <w:keepNext/>
        <w:keepLines/>
        <w:spacing w:line="360" w:lineRule="auto"/>
        <w:ind w:firstLineChars="200" w:firstLine="482"/>
        <w:rPr>
          <w:b/>
          <w:bCs/>
          <w:lang w:val="zh-CN"/>
        </w:rPr>
      </w:pPr>
      <w:r>
        <w:rPr>
          <w:b/>
          <w:bCs/>
        </w:rPr>
        <w:t>二、</w:t>
      </w:r>
      <w:r>
        <w:rPr>
          <w:b/>
          <w:bCs/>
          <w:lang w:val="zh-CN"/>
        </w:rPr>
        <w:t>编制依据</w:t>
      </w:r>
    </w:p>
    <w:p w:rsidR="006C378F" w:rsidRDefault="00E12213">
      <w:pPr>
        <w:spacing w:line="360" w:lineRule="auto"/>
        <w:ind w:firstLineChars="192" w:firstLine="461"/>
      </w:pPr>
      <w:r>
        <w:t>（</w:t>
      </w:r>
      <w:r>
        <w:t>1</w:t>
      </w:r>
      <w:r>
        <w:t>）关于颁发《水土保持工程概（估）算编制规定和定额》的通知（水利部水总〔</w:t>
      </w:r>
      <w:r>
        <w:t>2003</w:t>
      </w:r>
      <w:r>
        <w:t>〕</w:t>
      </w:r>
      <w:r>
        <w:t>67</w:t>
      </w:r>
      <w:r>
        <w:t>号）；</w:t>
      </w:r>
    </w:p>
    <w:p w:rsidR="006C378F" w:rsidRDefault="00E12213">
      <w:pPr>
        <w:spacing w:line="360" w:lineRule="auto"/>
        <w:ind w:firstLineChars="192" w:firstLine="461"/>
      </w:pPr>
      <w:r>
        <w:t>①</w:t>
      </w:r>
      <w:r>
        <w:t>《水土保持工程概（估）算编制规定》；</w:t>
      </w:r>
    </w:p>
    <w:p w:rsidR="006C378F" w:rsidRDefault="00E12213">
      <w:pPr>
        <w:spacing w:line="360" w:lineRule="auto"/>
        <w:ind w:firstLineChars="192" w:firstLine="461"/>
      </w:pPr>
      <w:r>
        <w:t>②</w:t>
      </w:r>
      <w:r>
        <w:t>《水土保持工程概算定额》；</w:t>
      </w:r>
    </w:p>
    <w:p w:rsidR="006C378F" w:rsidRDefault="00E12213">
      <w:pPr>
        <w:spacing w:line="360" w:lineRule="auto"/>
        <w:ind w:firstLineChars="192" w:firstLine="461"/>
      </w:pPr>
      <w:r>
        <w:t>③</w:t>
      </w:r>
      <w:r>
        <w:t>《水土保持工程施工机械台时费定额》；</w:t>
      </w:r>
    </w:p>
    <w:p w:rsidR="006C378F" w:rsidRDefault="00E12213">
      <w:pPr>
        <w:spacing w:line="360" w:lineRule="auto"/>
        <w:ind w:firstLineChars="192" w:firstLine="461"/>
      </w:pPr>
      <w:r>
        <w:t>（</w:t>
      </w:r>
      <w:r>
        <w:t>2</w:t>
      </w:r>
      <w:r>
        <w:t>）《开发建设项目水土保持工程投资概（估）算编制规定》（总院内部资料</w:t>
      </w:r>
      <w:r>
        <w:t>2015</w:t>
      </w:r>
      <w:r>
        <w:t>版）；</w:t>
      </w:r>
    </w:p>
    <w:p w:rsidR="006C378F" w:rsidRDefault="00E12213">
      <w:pPr>
        <w:spacing w:line="360" w:lineRule="auto"/>
        <w:ind w:firstLineChars="192" w:firstLine="461"/>
      </w:pPr>
      <w:r>
        <w:t>（</w:t>
      </w:r>
      <w:r>
        <w:t>3</w:t>
      </w:r>
      <w:r>
        <w:t>）《水利工程设计概（估）算编制规定》（水利部水总〔</w:t>
      </w:r>
      <w:r>
        <w:t>2014</w:t>
      </w:r>
      <w:r>
        <w:t>〕</w:t>
      </w:r>
      <w:r>
        <w:t>429</w:t>
      </w:r>
      <w:r>
        <w:t>号</w:t>
      </w:r>
      <w:r>
        <w:t xml:space="preserve"> </w:t>
      </w:r>
      <w:r>
        <w:t>）；</w:t>
      </w:r>
    </w:p>
    <w:p w:rsidR="006C378F" w:rsidRDefault="00E12213">
      <w:pPr>
        <w:spacing w:line="360" w:lineRule="auto"/>
        <w:ind w:firstLineChars="192" w:firstLine="461"/>
      </w:pPr>
      <w:r>
        <w:t>（</w:t>
      </w:r>
      <w:r>
        <w:t>4</w:t>
      </w:r>
      <w:r>
        <w:t>）国家发展改革委、建设部关于印发《建设工程监理与相关服务收费管理规定》的通知（发改价格〔</w:t>
      </w:r>
      <w:r>
        <w:t>2007</w:t>
      </w:r>
      <w:r>
        <w:t>〕</w:t>
      </w:r>
      <w:r>
        <w:t>670</w:t>
      </w:r>
      <w:r>
        <w:t>号）；</w:t>
      </w:r>
    </w:p>
    <w:p w:rsidR="006C378F" w:rsidRDefault="00E12213">
      <w:pPr>
        <w:spacing w:line="360" w:lineRule="auto"/>
        <w:ind w:firstLineChars="192" w:firstLine="461"/>
      </w:pPr>
      <w:r>
        <w:t>（</w:t>
      </w:r>
      <w:r>
        <w:t>5</w:t>
      </w:r>
      <w:r>
        <w:t>）《财政部、国家发改委关于公布取消和停止征收</w:t>
      </w:r>
      <w:r>
        <w:t>100</w:t>
      </w:r>
      <w:r>
        <w:t>项行政事业性收费项目的通知》（财综〔</w:t>
      </w:r>
      <w:r>
        <w:t>2008</w:t>
      </w:r>
      <w:r>
        <w:t>〕</w:t>
      </w:r>
      <w:r>
        <w:t>78</w:t>
      </w:r>
      <w:r>
        <w:t>号）；</w:t>
      </w:r>
    </w:p>
    <w:p w:rsidR="006C378F" w:rsidRDefault="00E12213">
      <w:pPr>
        <w:spacing w:line="360" w:lineRule="auto"/>
        <w:ind w:firstLineChars="192" w:firstLine="461"/>
      </w:pPr>
      <w:r>
        <w:t>（</w:t>
      </w:r>
      <w:r>
        <w:t>6</w:t>
      </w:r>
      <w:r>
        <w:t>）水利部办公厅关于印发《水利工程营业税改征增值税计价依据调整办法》的通知（办水总〔</w:t>
      </w:r>
      <w:r>
        <w:t>2016</w:t>
      </w:r>
      <w:r>
        <w:t>〕</w:t>
      </w:r>
      <w:r>
        <w:t>132</w:t>
      </w:r>
      <w:r>
        <w:t>号）</w:t>
      </w:r>
      <w:r>
        <w:rPr>
          <w:rFonts w:hint="eastAsia"/>
        </w:rPr>
        <w:t>；</w:t>
      </w:r>
    </w:p>
    <w:p w:rsidR="006C378F" w:rsidRDefault="00E12213">
      <w:pPr>
        <w:spacing w:line="360" w:lineRule="auto"/>
        <w:ind w:firstLineChars="192" w:firstLine="461"/>
      </w:pPr>
      <w:r>
        <w:t>（</w:t>
      </w:r>
      <w:r>
        <w:t>7</w:t>
      </w:r>
      <w:r>
        <w:t>）《</w:t>
      </w:r>
      <w:r>
        <w:rPr>
          <w:rFonts w:hint="eastAsia"/>
        </w:rPr>
        <w:t>四川省财政厅关于制定水土保持补偿费收费标准的通知</w:t>
      </w:r>
      <w:r>
        <w:t>》（</w:t>
      </w:r>
      <w:r>
        <w:rPr>
          <w:rFonts w:hint="eastAsia"/>
        </w:rPr>
        <w:t>川发改价格〔</w:t>
      </w:r>
      <w:r>
        <w:rPr>
          <w:rFonts w:hint="eastAsia"/>
        </w:rPr>
        <w:t>2017</w:t>
      </w:r>
      <w:r>
        <w:rPr>
          <w:rFonts w:hint="eastAsia"/>
        </w:rPr>
        <w:t>〕</w:t>
      </w:r>
      <w:r>
        <w:rPr>
          <w:rFonts w:hint="eastAsia"/>
        </w:rPr>
        <w:t>347</w:t>
      </w:r>
      <w:r>
        <w:rPr>
          <w:rFonts w:hint="eastAsia"/>
        </w:rPr>
        <w:t>号</w:t>
      </w:r>
      <w:r>
        <w:t>）；</w:t>
      </w:r>
    </w:p>
    <w:p w:rsidR="006C378F" w:rsidRDefault="00E12213">
      <w:pPr>
        <w:keepNext/>
        <w:keepLines/>
        <w:spacing w:line="360" w:lineRule="auto"/>
        <w:ind w:firstLineChars="200" w:firstLine="482"/>
        <w:rPr>
          <w:b/>
          <w:bCs/>
          <w:lang w:val="zh-CN"/>
        </w:rPr>
      </w:pPr>
      <w:r>
        <w:rPr>
          <w:b/>
          <w:bCs/>
        </w:rPr>
        <w:lastRenderedPageBreak/>
        <w:t>三、</w:t>
      </w:r>
      <w:r>
        <w:rPr>
          <w:b/>
          <w:bCs/>
          <w:lang w:val="zh-CN"/>
        </w:rPr>
        <w:t>编制方法及计算标准</w:t>
      </w:r>
    </w:p>
    <w:p w:rsidR="006C378F" w:rsidRDefault="00E12213">
      <w:pPr>
        <w:spacing w:line="360" w:lineRule="auto"/>
        <w:ind w:firstLineChars="192" w:firstLine="461"/>
      </w:pPr>
      <w:r>
        <w:t>水土保持工程投资分为水土保持工程静态投资和水土保持补偿费两大部分。水土保持工程静态投资由水土保持工程措施、植物措施、监测措施、临时措施、独立费用和预备费</w:t>
      </w:r>
      <w:r>
        <w:t>6</w:t>
      </w:r>
      <w:r>
        <w:t>部分组成。</w:t>
      </w:r>
    </w:p>
    <w:p w:rsidR="006C378F" w:rsidRDefault="00E12213">
      <w:pPr>
        <w:spacing w:line="360" w:lineRule="auto"/>
        <w:ind w:firstLineChars="192" w:firstLine="461"/>
      </w:pPr>
      <w:r>
        <w:t>1</w:t>
      </w:r>
      <w:r>
        <w:t>、基础单价</w:t>
      </w:r>
    </w:p>
    <w:p w:rsidR="006C378F" w:rsidRDefault="00E12213">
      <w:pPr>
        <w:spacing w:line="360" w:lineRule="auto"/>
        <w:ind w:firstLineChars="192" w:firstLine="461"/>
      </w:pPr>
      <w:r>
        <w:t>（</w:t>
      </w:r>
      <w:r>
        <w:t>1</w:t>
      </w:r>
      <w:r>
        <w:t>）人工预算单价</w:t>
      </w:r>
    </w:p>
    <w:p w:rsidR="006C378F" w:rsidRDefault="00E12213">
      <w:pPr>
        <w:pStyle w:val="ad"/>
        <w:ind w:firstLine="480"/>
      </w:pPr>
      <w:r>
        <w:t>引用主体。人工费（含机械工）单价按</w:t>
      </w:r>
      <w:r>
        <w:t>73.2</w:t>
      </w:r>
      <w:r>
        <w:t>元</w:t>
      </w:r>
      <w:r>
        <w:t>/</w:t>
      </w:r>
      <w:r>
        <w:t>工日，</w:t>
      </w:r>
      <w:r>
        <w:t>9.15</w:t>
      </w:r>
      <w:r>
        <w:t>元</w:t>
      </w:r>
      <w:r>
        <w:t>/</w:t>
      </w:r>
      <w:r>
        <w:t>工时。</w:t>
      </w:r>
    </w:p>
    <w:p w:rsidR="006C378F" w:rsidRDefault="00E12213">
      <w:pPr>
        <w:spacing w:line="360" w:lineRule="auto"/>
        <w:ind w:firstLineChars="192" w:firstLine="461"/>
      </w:pPr>
      <w:r>
        <w:t>（</w:t>
      </w:r>
      <w:r>
        <w:t>2</w:t>
      </w:r>
      <w:r>
        <w:t>）主要材料预算价格。</w:t>
      </w:r>
    </w:p>
    <w:p w:rsidR="006C378F" w:rsidRDefault="00E12213">
      <w:pPr>
        <w:pStyle w:val="ad"/>
        <w:ind w:firstLine="480"/>
      </w:pPr>
      <w:r>
        <w:t>工程单价及材料预算价格引用主体工程相关单价以及采用《</w:t>
      </w:r>
      <w:r>
        <w:rPr>
          <w:rFonts w:hint="eastAsia"/>
        </w:rPr>
        <w:t>四川</w:t>
      </w:r>
      <w:r>
        <w:t>省建设工程造价信息》（</w:t>
      </w:r>
      <w:r>
        <w:t>202</w:t>
      </w:r>
      <w:r>
        <w:rPr>
          <w:rFonts w:hint="eastAsia"/>
        </w:rPr>
        <w:t>1</w:t>
      </w:r>
      <w:r>
        <w:t>年第</w:t>
      </w:r>
      <w:r>
        <w:t>1</w:t>
      </w:r>
      <w:r>
        <w:t>期）的价格，工程单价及材料预算价格如：</w:t>
      </w:r>
    </w:p>
    <w:p w:rsidR="006C378F" w:rsidRDefault="00E12213">
      <w:pPr>
        <w:pStyle w:val="af5"/>
        <w:widowControl w:val="0"/>
        <w:adjustRightInd w:val="0"/>
        <w:snapToGrid w:val="0"/>
        <w:jc w:val="center"/>
      </w:pPr>
      <w:r>
        <w:rPr>
          <w:sz w:val="22"/>
          <w:szCs w:val="22"/>
        </w:rPr>
        <w:t>表</w:t>
      </w:r>
      <w:r>
        <w:rPr>
          <w:sz w:val="22"/>
          <w:szCs w:val="22"/>
        </w:rPr>
        <w:t xml:space="preserve">6-1    </w:t>
      </w:r>
      <w:r>
        <w:rPr>
          <w:sz w:val="22"/>
          <w:szCs w:val="22"/>
        </w:rPr>
        <w:t>材料价格汇总表</w:t>
      </w:r>
    </w:p>
    <w:tbl>
      <w:tblPr>
        <w:tblW w:w="5000" w:type="pct"/>
        <w:tblCellMar>
          <w:top w:w="15" w:type="dxa"/>
          <w:left w:w="15" w:type="dxa"/>
          <w:bottom w:w="15" w:type="dxa"/>
          <w:right w:w="15" w:type="dxa"/>
        </w:tblCellMar>
        <w:tblLook w:val="04A0" w:firstRow="1" w:lastRow="0" w:firstColumn="1" w:lastColumn="0" w:noHBand="0" w:noVBand="1"/>
      </w:tblPr>
      <w:tblGrid>
        <w:gridCol w:w="1151"/>
        <w:gridCol w:w="1736"/>
        <w:gridCol w:w="1434"/>
        <w:gridCol w:w="1841"/>
        <w:gridCol w:w="2174"/>
      </w:tblGrid>
      <w:tr w:rsidR="006C378F">
        <w:trPr>
          <w:trHeight w:hRule="exact" w:val="492"/>
        </w:trPr>
        <w:tc>
          <w:tcPr>
            <w:tcW w:w="690"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序号</w:t>
            </w:r>
          </w:p>
        </w:tc>
        <w:tc>
          <w:tcPr>
            <w:tcW w:w="1041"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名称及规格</w:t>
            </w:r>
          </w:p>
        </w:tc>
        <w:tc>
          <w:tcPr>
            <w:tcW w:w="860"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单位</w:t>
            </w:r>
          </w:p>
        </w:tc>
        <w:tc>
          <w:tcPr>
            <w:tcW w:w="1104"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价格依据</w:t>
            </w:r>
          </w:p>
        </w:tc>
        <w:tc>
          <w:tcPr>
            <w:tcW w:w="1303"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概算价格（元）</w:t>
            </w:r>
          </w:p>
        </w:tc>
      </w:tr>
      <w:tr w:rsidR="006C378F">
        <w:trPr>
          <w:trHeight w:hRule="exact" w:val="541"/>
        </w:trPr>
        <w:tc>
          <w:tcPr>
            <w:tcW w:w="690"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1</w:t>
            </w:r>
          </w:p>
        </w:tc>
        <w:tc>
          <w:tcPr>
            <w:tcW w:w="1041"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42.5</w:t>
            </w:r>
            <w:r>
              <w:rPr>
                <w:kern w:val="0"/>
                <w:sz w:val="21"/>
                <w:szCs w:val="21"/>
                <w:lang w:bidi="ar"/>
              </w:rPr>
              <w:t>水泥（袋装）</w:t>
            </w:r>
          </w:p>
        </w:tc>
        <w:tc>
          <w:tcPr>
            <w:tcW w:w="860"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t</w:t>
            </w:r>
          </w:p>
        </w:tc>
        <w:tc>
          <w:tcPr>
            <w:tcW w:w="1104"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引用主体</w:t>
            </w:r>
          </w:p>
        </w:tc>
        <w:tc>
          <w:tcPr>
            <w:tcW w:w="1303"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432.91</w:t>
            </w:r>
          </w:p>
        </w:tc>
      </w:tr>
      <w:tr w:rsidR="006C378F">
        <w:trPr>
          <w:trHeight w:hRule="exact" w:val="422"/>
        </w:trPr>
        <w:tc>
          <w:tcPr>
            <w:tcW w:w="690"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2</w:t>
            </w:r>
          </w:p>
        </w:tc>
        <w:tc>
          <w:tcPr>
            <w:tcW w:w="1041"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炸药</w:t>
            </w:r>
          </w:p>
        </w:tc>
        <w:tc>
          <w:tcPr>
            <w:tcW w:w="860"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kg</w:t>
            </w:r>
          </w:p>
        </w:tc>
        <w:tc>
          <w:tcPr>
            <w:tcW w:w="1104"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引用主体</w:t>
            </w:r>
          </w:p>
        </w:tc>
        <w:tc>
          <w:tcPr>
            <w:tcW w:w="1303"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25.42</w:t>
            </w:r>
          </w:p>
        </w:tc>
      </w:tr>
      <w:tr w:rsidR="006C378F">
        <w:trPr>
          <w:trHeight w:hRule="exact" w:val="556"/>
        </w:trPr>
        <w:tc>
          <w:tcPr>
            <w:tcW w:w="690"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3</w:t>
            </w:r>
          </w:p>
        </w:tc>
        <w:tc>
          <w:tcPr>
            <w:tcW w:w="1041"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雷管</w:t>
            </w:r>
          </w:p>
        </w:tc>
        <w:tc>
          <w:tcPr>
            <w:tcW w:w="860"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个</w:t>
            </w:r>
          </w:p>
        </w:tc>
        <w:tc>
          <w:tcPr>
            <w:tcW w:w="1104"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引用主体</w:t>
            </w:r>
          </w:p>
        </w:tc>
        <w:tc>
          <w:tcPr>
            <w:tcW w:w="1303"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4.2</w:t>
            </w:r>
          </w:p>
        </w:tc>
      </w:tr>
      <w:tr w:rsidR="006C378F">
        <w:trPr>
          <w:trHeight w:hRule="exact" w:val="408"/>
        </w:trPr>
        <w:tc>
          <w:tcPr>
            <w:tcW w:w="690"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4</w:t>
            </w:r>
          </w:p>
        </w:tc>
        <w:tc>
          <w:tcPr>
            <w:tcW w:w="1041"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风</w:t>
            </w:r>
          </w:p>
        </w:tc>
        <w:tc>
          <w:tcPr>
            <w:tcW w:w="860" w:type="pct"/>
            <w:tcBorders>
              <w:top w:val="single" w:sz="4" w:space="0" w:color="000000"/>
              <w:left w:val="single" w:sz="4" w:space="0" w:color="000000"/>
              <w:bottom w:val="single" w:sz="4" w:space="0" w:color="000000"/>
              <w:right w:val="single" w:sz="4" w:space="0" w:color="000000"/>
            </w:tcBorders>
          </w:tcPr>
          <w:p w:rsidR="006C378F" w:rsidRDefault="00E12213">
            <w:pPr>
              <w:widowControl/>
              <w:spacing w:line="360" w:lineRule="auto"/>
              <w:jc w:val="center"/>
              <w:textAlignment w:val="center"/>
              <w:rPr>
                <w:kern w:val="0"/>
                <w:sz w:val="21"/>
                <w:szCs w:val="21"/>
                <w:lang w:bidi="ar"/>
              </w:rPr>
            </w:pPr>
            <w:r>
              <w:rPr>
                <w:kern w:val="0"/>
                <w:sz w:val="21"/>
                <w:szCs w:val="21"/>
                <w:lang w:bidi="ar"/>
              </w:rPr>
              <w:t>m</w:t>
            </w:r>
            <w:r>
              <w:rPr>
                <w:kern w:val="0"/>
                <w:sz w:val="21"/>
                <w:szCs w:val="21"/>
                <w:vertAlign w:val="superscript"/>
                <w:lang w:bidi="ar"/>
              </w:rPr>
              <w:t>3</w:t>
            </w:r>
          </w:p>
        </w:tc>
        <w:tc>
          <w:tcPr>
            <w:tcW w:w="1104"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引用主体</w:t>
            </w:r>
          </w:p>
        </w:tc>
        <w:tc>
          <w:tcPr>
            <w:tcW w:w="1303"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0.14</w:t>
            </w:r>
          </w:p>
        </w:tc>
      </w:tr>
      <w:tr w:rsidR="006C378F">
        <w:trPr>
          <w:trHeight w:hRule="exact" w:val="283"/>
        </w:trPr>
        <w:tc>
          <w:tcPr>
            <w:tcW w:w="690"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5</w:t>
            </w:r>
          </w:p>
        </w:tc>
        <w:tc>
          <w:tcPr>
            <w:tcW w:w="1041"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水</w:t>
            </w:r>
          </w:p>
        </w:tc>
        <w:tc>
          <w:tcPr>
            <w:tcW w:w="860" w:type="pct"/>
            <w:tcBorders>
              <w:top w:val="single" w:sz="4" w:space="0" w:color="000000"/>
              <w:left w:val="single" w:sz="4" w:space="0" w:color="000000"/>
              <w:bottom w:val="single" w:sz="4" w:space="0" w:color="000000"/>
              <w:right w:val="single" w:sz="4" w:space="0" w:color="000000"/>
            </w:tcBorders>
          </w:tcPr>
          <w:p w:rsidR="006C378F" w:rsidRDefault="00E12213">
            <w:pPr>
              <w:widowControl/>
              <w:spacing w:line="360" w:lineRule="auto"/>
              <w:jc w:val="center"/>
              <w:textAlignment w:val="center"/>
              <w:rPr>
                <w:kern w:val="0"/>
                <w:sz w:val="21"/>
                <w:szCs w:val="21"/>
                <w:lang w:bidi="ar"/>
              </w:rPr>
            </w:pPr>
            <w:r>
              <w:rPr>
                <w:kern w:val="0"/>
                <w:sz w:val="21"/>
                <w:szCs w:val="21"/>
                <w:lang w:bidi="ar"/>
              </w:rPr>
              <w:t>m</w:t>
            </w:r>
            <w:r>
              <w:rPr>
                <w:kern w:val="0"/>
                <w:sz w:val="21"/>
                <w:szCs w:val="21"/>
                <w:vertAlign w:val="superscript"/>
                <w:lang w:bidi="ar"/>
              </w:rPr>
              <w:t>3</w:t>
            </w:r>
          </w:p>
        </w:tc>
        <w:tc>
          <w:tcPr>
            <w:tcW w:w="1104"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引用主体</w:t>
            </w:r>
          </w:p>
        </w:tc>
        <w:tc>
          <w:tcPr>
            <w:tcW w:w="1303"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2.2</w:t>
            </w:r>
          </w:p>
        </w:tc>
      </w:tr>
      <w:tr w:rsidR="006C378F">
        <w:trPr>
          <w:trHeight w:hRule="exact" w:val="451"/>
        </w:trPr>
        <w:tc>
          <w:tcPr>
            <w:tcW w:w="690"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6</w:t>
            </w:r>
          </w:p>
        </w:tc>
        <w:tc>
          <w:tcPr>
            <w:tcW w:w="1041"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电</w:t>
            </w:r>
          </w:p>
        </w:tc>
        <w:tc>
          <w:tcPr>
            <w:tcW w:w="860"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kw•h</w:t>
            </w:r>
          </w:p>
        </w:tc>
        <w:tc>
          <w:tcPr>
            <w:tcW w:w="1104"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引用主体</w:t>
            </w:r>
          </w:p>
        </w:tc>
        <w:tc>
          <w:tcPr>
            <w:tcW w:w="1303"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0.68</w:t>
            </w:r>
          </w:p>
        </w:tc>
      </w:tr>
      <w:tr w:rsidR="006C378F">
        <w:trPr>
          <w:trHeight w:hRule="exact" w:val="415"/>
        </w:trPr>
        <w:tc>
          <w:tcPr>
            <w:tcW w:w="690"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7</w:t>
            </w:r>
          </w:p>
        </w:tc>
        <w:tc>
          <w:tcPr>
            <w:tcW w:w="1041"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碎石</w:t>
            </w:r>
          </w:p>
        </w:tc>
        <w:tc>
          <w:tcPr>
            <w:tcW w:w="860" w:type="pct"/>
            <w:tcBorders>
              <w:top w:val="single" w:sz="4" w:space="0" w:color="000000"/>
              <w:left w:val="single" w:sz="4" w:space="0" w:color="000000"/>
              <w:bottom w:val="single" w:sz="4" w:space="0" w:color="000000"/>
              <w:right w:val="single" w:sz="4" w:space="0" w:color="000000"/>
            </w:tcBorders>
          </w:tcPr>
          <w:p w:rsidR="006C378F" w:rsidRDefault="00E12213">
            <w:pPr>
              <w:widowControl/>
              <w:spacing w:line="360" w:lineRule="auto"/>
              <w:jc w:val="center"/>
              <w:textAlignment w:val="center"/>
              <w:rPr>
                <w:kern w:val="0"/>
                <w:sz w:val="21"/>
                <w:szCs w:val="21"/>
                <w:lang w:bidi="ar"/>
              </w:rPr>
            </w:pPr>
            <w:r>
              <w:rPr>
                <w:kern w:val="0"/>
                <w:sz w:val="21"/>
                <w:szCs w:val="21"/>
                <w:lang w:bidi="ar"/>
              </w:rPr>
              <w:t>m</w:t>
            </w:r>
            <w:r>
              <w:rPr>
                <w:kern w:val="0"/>
                <w:sz w:val="21"/>
                <w:szCs w:val="21"/>
                <w:vertAlign w:val="superscript"/>
                <w:lang w:bidi="ar"/>
              </w:rPr>
              <w:t>3</w:t>
            </w:r>
          </w:p>
        </w:tc>
        <w:tc>
          <w:tcPr>
            <w:tcW w:w="1104"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引用主体</w:t>
            </w:r>
          </w:p>
        </w:tc>
        <w:tc>
          <w:tcPr>
            <w:tcW w:w="1303" w:type="pct"/>
            <w:tcBorders>
              <w:top w:val="single" w:sz="4" w:space="0" w:color="000000"/>
              <w:left w:val="single" w:sz="4" w:space="0" w:color="000000"/>
              <w:bottom w:val="single" w:sz="4" w:space="0" w:color="000000"/>
              <w:right w:val="single" w:sz="4" w:space="0" w:color="000000"/>
            </w:tcBorders>
            <w:vAlign w:val="center"/>
          </w:tcPr>
          <w:p w:rsidR="006C378F" w:rsidRDefault="00E12213">
            <w:pPr>
              <w:widowControl/>
              <w:spacing w:line="360" w:lineRule="auto"/>
              <w:jc w:val="center"/>
              <w:textAlignment w:val="center"/>
              <w:rPr>
                <w:kern w:val="0"/>
                <w:sz w:val="21"/>
                <w:szCs w:val="21"/>
                <w:lang w:bidi="ar"/>
              </w:rPr>
            </w:pPr>
            <w:r>
              <w:rPr>
                <w:kern w:val="0"/>
                <w:sz w:val="21"/>
                <w:szCs w:val="21"/>
                <w:lang w:bidi="ar"/>
              </w:rPr>
              <w:t>58</w:t>
            </w:r>
          </w:p>
        </w:tc>
      </w:tr>
    </w:tbl>
    <w:p w:rsidR="006C378F" w:rsidRDefault="00E12213">
      <w:pPr>
        <w:spacing w:line="360" w:lineRule="auto"/>
        <w:ind w:firstLineChars="192" w:firstLine="461"/>
      </w:pPr>
      <w:r>
        <w:t>2</w:t>
      </w:r>
      <w:r>
        <w:t>、水土保持措施单价</w:t>
      </w:r>
    </w:p>
    <w:p w:rsidR="006C378F" w:rsidRDefault="00E12213">
      <w:pPr>
        <w:pStyle w:val="ad"/>
        <w:ind w:firstLine="480"/>
      </w:pPr>
      <w:r>
        <w:t>水土保持措施单价引用主体工程相关单价。详见表</w:t>
      </w:r>
      <w:r>
        <w:t>6-2</w:t>
      </w:r>
      <w:r>
        <w:t>。</w:t>
      </w:r>
    </w:p>
    <w:p w:rsidR="006C378F" w:rsidRDefault="00E12213">
      <w:pPr>
        <w:pStyle w:val="af5"/>
        <w:widowControl w:val="0"/>
        <w:adjustRightInd w:val="0"/>
        <w:snapToGrid w:val="0"/>
        <w:jc w:val="center"/>
        <w:rPr>
          <w:sz w:val="22"/>
          <w:szCs w:val="22"/>
        </w:rPr>
      </w:pPr>
      <w:r>
        <w:rPr>
          <w:sz w:val="22"/>
          <w:szCs w:val="22"/>
        </w:rPr>
        <w:t>表</w:t>
      </w:r>
      <w:r>
        <w:rPr>
          <w:sz w:val="22"/>
          <w:szCs w:val="22"/>
        </w:rPr>
        <w:t xml:space="preserve">6-2   </w:t>
      </w:r>
      <w:r>
        <w:rPr>
          <w:sz w:val="22"/>
          <w:szCs w:val="22"/>
        </w:rPr>
        <w:t>水土保持单价汇总表</w:t>
      </w:r>
      <w:r>
        <w:rPr>
          <w:sz w:val="22"/>
          <w:szCs w:val="22"/>
        </w:rPr>
        <w:t xml:space="preserve">   </w:t>
      </w:r>
      <w:r>
        <w:rPr>
          <w:sz w:val="22"/>
          <w:szCs w:val="22"/>
        </w:rPr>
        <w:t>单位：元</w:t>
      </w:r>
    </w:p>
    <w:tbl>
      <w:tblPr>
        <w:tblW w:w="4998" w:type="pct"/>
        <w:jc w:val="center"/>
        <w:tblCellMar>
          <w:left w:w="0" w:type="dxa"/>
          <w:right w:w="0" w:type="dxa"/>
        </w:tblCellMar>
        <w:tblLook w:val="04A0" w:firstRow="1" w:lastRow="0" w:firstColumn="1" w:lastColumn="0" w:noHBand="0" w:noVBand="1"/>
      </w:tblPr>
      <w:tblGrid>
        <w:gridCol w:w="977"/>
        <w:gridCol w:w="3325"/>
        <w:gridCol w:w="1183"/>
        <w:gridCol w:w="2848"/>
      </w:tblGrid>
      <w:tr w:rsidR="006C378F">
        <w:trPr>
          <w:trHeight w:hRule="exact" w:val="485"/>
          <w:jc w:val="center"/>
        </w:trPr>
        <w:tc>
          <w:tcPr>
            <w:tcW w:w="58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C378F" w:rsidRDefault="00E12213">
            <w:pPr>
              <w:widowControl/>
              <w:jc w:val="center"/>
              <w:textAlignment w:val="center"/>
              <w:rPr>
                <w:b/>
                <w:sz w:val="21"/>
                <w:szCs w:val="21"/>
              </w:rPr>
            </w:pPr>
            <w:r>
              <w:rPr>
                <w:b/>
                <w:kern w:val="0"/>
                <w:sz w:val="21"/>
                <w:szCs w:val="21"/>
                <w:lang w:bidi="ar"/>
              </w:rPr>
              <w:t>序号</w:t>
            </w:r>
          </w:p>
        </w:tc>
        <w:tc>
          <w:tcPr>
            <w:tcW w:w="1995"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widowControl/>
              <w:jc w:val="center"/>
              <w:textAlignment w:val="center"/>
              <w:rPr>
                <w:b/>
                <w:sz w:val="21"/>
                <w:szCs w:val="21"/>
              </w:rPr>
            </w:pPr>
            <w:r>
              <w:rPr>
                <w:b/>
                <w:kern w:val="0"/>
                <w:sz w:val="21"/>
                <w:szCs w:val="21"/>
                <w:lang w:bidi="ar"/>
              </w:rPr>
              <w:t>名称</w:t>
            </w:r>
          </w:p>
        </w:tc>
        <w:tc>
          <w:tcPr>
            <w:tcW w:w="71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C378F" w:rsidRDefault="00E12213">
            <w:pPr>
              <w:widowControl/>
              <w:jc w:val="center"/>
              <w:textAlignment w:val="center"/>
              <w:rPr>
                <w:b/>
                <w:sz w:val="21"/>
                <w:szCs w:val="21"/>
              </w:rPr>
            </w:pPr>
            <w:r>
              <w:rPr>
                <w:b/>
                <w:kern w:val="0"/>
                <w:sz w:val="21"/>
                <w:szCs w:val="21"/>
                <w:lang w:bidi="ar"/>
              </w:rPr>
              <w:t>单位</w:t>
            </w:r>
          </w:p>
        </w:tc>
        <w:tc>
          <w:tcPr>
            <w:tcW w:w="17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C378F" w:rsidRDefault="00E12213">
            <w:pPr>
              <w:widowControl/>
              <w:jc w:val="center"/>
              <w:textAlignment w:val="center"/>
              <w:rPr>
                <w:b/>
                <w:sz w:val="21"/>
                <w:szCs w:val="21"/>
              </w:rPr>
            </w:pPr>
            <w:r>
              <w:rPr>
                <w:b/>
                <w:kern w:val="0"/>
                <w:sz w:val="21"/>
                <w:szCs w:val="21"/>
                <w:lang w:bidi="ar"/>
              </w:rPr>
              <w:t>单价（元）</w:t>
            </w:r>
          </w:p>
        </w:tc>
      </w:tr>
      <w:tr w:rsidR="006C378F">
        <w:trPr>
          <w:trHeight w:hRule="exact" w:val="422"/>
          <w:jc w:val="center"/>
        </w:trPr>
        <w:tc>
          <w:tcPr>
            <w:tcW w:w="58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C378F" w:rsidRDefault="00E12213">
            <w:pPr>
              <w:widowControl/>
              <w:jc w:val="center"/>
              <w:textAlignment w:val="center"/>
              <w:rPr>
                <w:kern w:val="0"/>
                <w:sz w:val="21"/>
                <w:szCs w:val="21"/>
                <w:lang w:bidi="ar"/>
              </w:rPr>
            </w:pPr>
            <w:r>
              <w:rPr>
                <w:kern w:val="0"/>
                <w:sz w:val="21"/>
                <w:szCs w:val="21"/>
                <w:lang w:bidi="ar"/>
              </w:rPr>
              <w:t>1</w:t>
            </w:r>
          </w:p>
        </w:tc>
        <w:tc>
          <w:tcPr>
            <w:tcW w:w="1995"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widowControl/>
              <w:jc w:val="center"/>
              <w:textAlignment w:val="center"/>
              <w:rPr>
                <w:kern w:val="0"/>
                <w:sz w:val="21"/>
                <w:szCs w:val="21"/>
                <w:lang w:bidi="ar"/>
              </w:rPr>
            </w:pPr>
            <w:r>
              <w:rPr>
                <w:kern w:val="0"/>
                <w:sz w:val="21"/>
                <w:szCs w:val="21"/>
                <w:lang w:bidi="ar"/>
              </w:rPr>
              <w:t>排水沟</w:t>
            </w:r>
          </w:p>
        </w:tc>
        <w:tc>
          <w:tcPr>
            <w:tcW w:w="71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C378F" w:rsidRDefault="00E12213">
            <w:pPr>
              <w:widowControl/>
              <w:jc w:val="center"/>
              <w:textAlignment w:val="center"/>
              <w:rPr>
                <w:kern w:val="0"/>
                <w:sz w:val="21"/>
                <w:szCs w:val="21"/>
                <w:lang w:bidi="ar"/>
              </w:rPr>
            </w:pPr>
            <w:r>
              <w:rPr>
                <w:kern w:val="0"/>
                <w:sz w:val="21"/>
                <w:szCs w:val="21"/>
                <w:lang w:bidi="ar"/>
              </w:rPr>
              <w:t>m</w:t>
            </w:r>
          </w:p>
        </w:tc>
        <w:tc>
          <w:tcPr>
            <w:tcW w:w="17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C378F" w:rsidRDefault="00E12213">
            <w:pPr>
              <w:widowControl/>
              <w:jc w:val="center"/>
              <w:textAlignment w:val="center"/>
              <w:rPr>
                <w:kern w:val="0"/>
                <w:sz w:val="21"/>
                <w:szCs w:val="21"/>
                <w:lang w:bidi="ar"/>
              </w:rPr>
            </w:pPr>
            <w:r>
              <w:rPr>
                <w:kern w:val="0"/>
                <w:sz w:val="21"/>
                <w:szCs w:val="21"/>
                <w:lang w:bidi="ar"/>
              </w:rPr>
              <w:t>115.5</w:t>
            </w:r>
          </w:p>
        </w:tc>
      </w:tr>
      <w:tr w:rsidR="006C378F">
        <w:trPr>
          <w:trHeight w:hRule="exact" w:val="428"/>
          <w:jc w:val="center"/>
        </w:trPr>
        <w:tc>
          <w:tcPr>
            <w:tcW w:w="58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C378F" w:rsidRDefault="00E12213">
            <w:pPr>
              <w:widowControl/>
              <w:jc w:val="center"/>
              <w:textAlignment w:val="center"/>
              <w:rPr>
                <w:sz w:val="21"/>
                <w:szCs w:val="21"/>
              </w:rPr>
            </w:pPr>
            <w:r>
              <w:rPr>
                <w:kern w:val="0"/>
                <w:sz w:val="21"/>
                <w:szCs w:val="21"/>
                <w:lang w:bidi="ar"/>
              </w:rPr>
              <w:t>2</w:t>
            </w:r>
          </w:p>
        </w:tc>
        <w:tc>
          <w:tcPr>
            <w:tcW w:w="1995"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widowControl/>
              <w:jc w:val="center"/>
              <w:textAlignment w:val="center"/>
              <w:rPr>
                <w:sz w:val="21"/>
                <w:szCs w:val="21"/>
              </w:rPr>
            </w:pPr>
            <w:r>
              <w:rPr>
                <w:kern w:val="0"/>
                <w:sz w:val="21"/>
                <w:szCs w:val="21"/>
                <w:lang w:bidi="ar"/>
              </w:rPr>
              <w:t>表土剥离</w:t>
            </w:r>
          </w:p>
        </w:tc>
        <w:tc>
          <w:tcPr>
            <w:tcW w:w="71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C378F" w:rsidRDefault="00E12213">
            <w:pPr>
              <w:widowControl/>
              <w:jc w:val="center"/>
              <w:textAlignment w:val="center"/>
              <w:rPr>
                <w:sz w:val="21"/>
                <w:szCs w:val="21"/>
              </w:rPr>
            </w:pPr>
            <w:r>
              <w:rPr>
                <w:kern w:val="0"/>
                <w:sz w:val="21"/>
                <w:szCs w:val="21"/>
                <w:lang w:bidi="ar"/>
              </w:rPr>
              <w:t>m</w:t>
            </w:r>
            <w:r>
              <w:rPr>
                <w:kern w:val="0"/>
                <w:sz w:val="21"/>
                <w:szCs w:val="21"/>
                <w:vertAlign w:val="superscript"/>
                <w:lang w:bidi="ar"/>
              </w:rPr>
              <w:t>3</w:t>
            </w:r>
          </w:p>
        </w:tc>
        <w:tc>
          <w:tcPr>
            <w:tcW w:w="17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C378F" w:rsidRDefault="00E12213">
            <w:pPr>
              <w:widowControl/>
              <w:jc w:val="center"/>
              <w:textAlignment w:val="center"/>
              <w:rPr>
                <w:sz w:val="21"/>
                <w:szCs w:val="21"/>
              </w:rPr>
            </w:pPr>
            <w:r>
              <w:rPr>
                <w:kern w:val="0"/>
                <w:sz w:val="21"/>
                <w:szCs w:val="21"/>
                <w:lang w:bidi="ar"/>
              </w:rPr>
              <w:t>19.92</w:t>
            </w:r>
          </w:p>
        </w:tc>
      </w:tr>
      <w:tr w:rsidR="006C378F">
        <w:trPr>
          <w:trHeight w:hRule="exact" w:val="420"/>
          <w:jc w:val="center"/>
        </w:trPr>
        <w:tc>
          <w:tcPr>
            <w:tcW w:w="58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C378F" w:rsidRDefault="00E12213">
            <w:pPr>
              <w:widowControl/>
              <w:jc w:val="center"/>
              <w:textAlignment w:val="center"/>
              <w:rPr>
                <w:sz w:val="21"/>
                <w:szCs w:val="21"/>
              </w:rPr>
            </w:pPr>
            <w:r>
              <w:rPr>
                <w:kern w:val="0"/>
                <w:sz w:val="21"/>
                <w:szCs w:val="21"/>
                <w:lang w:bidi="ar"/>
              </w:rPr>
              <w:t>3</w:t>
            </w:r>
          </w:p>
        </w:tc>
        <w:tc>
          <w:tcPr>
            <w:tcW w:w="1995"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widowControl/>
              <w:jc w:val="center"/>
              <w:textAlignment w:val="center"/>
              <w:rPr>
                <w:sz w:val="21"/>
                <w:szCs w:val="21"/>
              </w:rPr>
            </w:pPr>
            <w:r>
              <w:rPr>
                <w:kern w:val="0"/>
                <w:sz w:val="21"/>
                <w:szCs w:val="21"/>
                <w:lang w:bidi="ar"/>
              </w:rPr>
              <w:t>覆土整治</w:t>
            </w:r>
          </w:p>
        </w:tc>
        <w:tc>
          <w:tcPr>
            <w:tcW w:w="71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C378F" w:rsidRDefault="00E12213">
            <w:pPr>
              <w:widowControl/>
              <w:jc w:val="center"/>
              <w:textAlignment w:val="center"/>
              <w:rPr>
                <w:sz w:val="21"/>
                <w:szCs w:val="21"/>
              </w:rPr>
            </w:pPr>
            <w:r>
              <w:rPr>
                <w:kern w:val="0"/>
                <w:sz w:val="21"/>
                <w:szCs w:val="21"/>
                <w:lang w:bidi="ar"/>
              </w:rPr>
              <w:t>m</w:t>
            </w:r>
            <w:r>
              <w:rPr>
                <w:kern w:val="0"/>
                <w:sz w:val="21"/>
                <w:szCs w:val="21"/>
                <w:vertAlign w:val="superscript"/>
                <w:lang w:bidi="ar"/>
              </w:rPr>
              <w:t>3</w:t>
            </w:r>
          </w:p>
        </w:tc>
        <w:tc>
          <w:tcPr>
            <w:tcW w:w="17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C378F" w:rsidRDefault="00E12213">
            <w:pPr>
              <w:widowControl/>
              <w:jc w:val="center"/>
              <w:textAlignment w:val="center"/>
              <w:rPr>
                <w:sz w:val="21"/>
                <w:szCs w:val="21"/>
              </w:rPr>
            </w:pPr>
            <w:r>
              <w:rPr>
                <w:kern w:val="0"/>
                <w:sz w:val="21"/>
                <w:szCs w:val="21"/>
                <w:lang w:bidi="ar"/>
              </w:rPr>
              <w:t>22.42</w:t>
            </w:r>
          </w:p>
        </w:tc>
      </w:tr>
      <w:tr w:rsidR="006C378F">
        <w:trPr>
          <w:trHeight w:hRule="exact" w:val="426"/>
          <w:jc w:val="center"/>
        </w:trPr>
        <w:tc>
          <w:tcPr>
            <w:tcW w:w="58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C378F" w:rsidRDefault="00E12213">
            <w:pPr>
              <w:widowControl/>
              <w:jc w:val="center"/>
              <w:textAlignment w:val="center"/>
              <w:rPr>
                <w:sz w:val="21"/>
                <w:szCs w:val="21"/>
              </w:rPr>
            </w:pPr>
            <w:r>
              <w:rPr>
                <w:kern w:val="0"/>
                <w:sz w:val="21"/>
                <w:szCs w:val="21"/>
                <w:lang w:bidi="ar"/>
              </w:rPr>
              <w:t>4</w:t>
            </w:r>
          </w:p>
        </w:tc>
        <w:tc>
          <w:tcPr>
            <w:tcW w:w="1995"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widowControl/>
              <w:jc w:val="center"/>
              <w:textAlignment w:val="center"/>
              <w:rPr>
                <w:sz w:val="21"/>
                <w:szCs w:val="21"/>
              </w:rPr>
            </w:pPr>
            <w:r>
              <w:rPr>
                <w:rFonts w:hint="eastAsia"/>
                <w:kern w:val="0"/>
                <w:sz w:val="21"/>
                <w:szCs w:val="21"/>
                <w:lang w:bidi="ar"/>
              </w:rPr>
              <w:t>桂花</w:t>
            </w:r>
          </w:p>
        </w:tc>
        <w:tc>
          <w:tcPr>
            <w:tcW w:w="71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C378F" w:rsidRDefault="00E12213">
            <w:pPr>
              <w:widowControl/>
              <w:jc w:val="center"/>
              <w:textAlignment w:val="center"/>
              <w:rPr>
                <w:sz w:val="21"/>
                <w:szCs w:val="21"/>
              </w:rPr>
            </w:pPr>
            <w:r>
              <w:rPr>
                <w:kern w:val="0"/>
                <w:sz w:val="21"/>
                <w:szCs w:val="21"/>
                <w:lang w:bidi="ar"/>
              </w:rPr>
              <w:t>株</w:t>
            </w:r>
          </w:p>
        </w:tc>
        <w:tc>
          <w:tcPr>
            <w:tcW w:w="17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C378F" w:rsidRDefault="00E12213">
            <w:pPr>
              <w:widowControl/>
              <w:jc w:val="center"/>
              <w:textAlignment w:val="center"/>
              <w:rPr>
                <w:sz w:val="21"/>
                <w:szCs w:val="21"/>
              </w:rPr>
            </w:pPr>
            <w:r>
              <w:rPr>
                <w:kern w:val="0"/>
                <w:sz w:val="21"/>
                <w:szCs w:val="21"/>
                <w:lang w:bidi="ar"/>
              </w:rPr>
              <w:t>363.5</w:t>
            </w:r>
          </w:p>
        </w:tc>
      </w:tr>
      <w:tr w:rsidR="006C378F">
        <w:trPr>
          <w:trHeight w:hRule="exact" w:val="431"/>
          <w:jc w:val="center"/>
        </w:trPr>
        <w:tc>
          <w:tcPr>
            <w:tcW w:w="58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C378F" w:rsidRDefault="00E12213">
            <w:pPr>
              <w:widowControl/>
              <w:jc w:val="center"/>
              <w:textAlignment w:val="center"/>
              <w:rPr>
                <w:kern w:val="0"/>
                <w:sz w:val="21"/>
                <w:szCs w:val="21"/>
                <w:lang w:bidi="ar"/>
              </w:rPr>
            </w:pPr>
            <w:r>
              <w:rPr>
                <w:rFonts w:hint="eastAsia"/>
                <w:kern w:val="0"/>
                <w:sz w:val="21"/>
                <w:szCs w:val="21"/>
                <w:lang w:bidi="ar"/>
              </w:rPr>
              <w:t>5</w:t>
            </w:r>
          </w:p>
        </w:tc>
        <w:tc>
          <w:tcPr>
            <w:tcW w:w="1995"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widowControl/>
              <w:jc w:val="center"/>
              <w:textAlignment w:val="center"/>
              <w:rPr>
                <w:kern w:val="0"/>
                <w:sz w:val="21"/>
                <w:szCs w:val="21"/>
                <w:lang w:bidi="ar"/>
              </w:rPr>
            </w:pPr>
            <w:r>
              <w:rPr>
                <w:rFonts w:hint="eastAsia"/>
                <w:kern w:val="0"/>
                <w:sz w:val="21"/>
                <w:szCs w:val="21"/>
                <w:lang w:bidi="ar"/>
              </w:rPr>
              <w:t>雨水管</w:t>
            </w:r>
          </w:p>
        </w:tc>
        <w:tc>
          <w:tcPr>
            <w:tcW w:w="71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C378F" w:rsidRDefault="00E12213">
            <w:pPr>
              <w:widowControl/>
              <w:jc w:val="center"/>
              <w:textAlignment w:val="center"/>
              <w:rPr>
                <w:kern w:val="0"/>
                <w:sz w:val="21"/>
                <w:szCs w:val="21"/>
                <w:lang w:bidi="ar"/>
              </w:rPr>
            </w:pPr>
            <w:r>
              <w:rPr>
                <w:kern w:val="0"/>
                <w:sz w:val="21"/>
                <w:szCs w:val="21"/>
                <w:lang w:bidi="ar"/>
              </w:rPr>
              <w:t>m</w:t>
            </w:r>
          </w:p>
        </w:tc>
        <w:tc>
          <w:tcPr>
            <w:tcW w:w="17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C378F" w:rsidRDefault="00E12213">
            <w:pPr>
              <w:widowControl/>
              <w:jc w:val="center"/>
              <w:textAlignment w:val="center"/>
              <w:rPr>
                <w:kern w:val="0"/>
                <w:sz w:val="21"/>
                <w:szCs w:val="21"/>
                <w:lang w:bidi="ar"/>
              </w:rPr>
            </w:pPr>
            <w:r>
              <w:rPr>
                <w:kern w:val="0"/>
                <w:sz w:val="21"/>
                <w:szCs w:val="21"/>
                <w:lang w:bidi="ar"/>
              </w:rPr>
              <w:t>288.9</w:t>
            </w:r>
          </w:p>
        </w:tc>
      </w:tr>
      <w:tr w:rsidR="006C378F">
        <w:trPr>
          <w:trHeight w:hRule="exact" w:val="424"/>
          <w:jc w:val="center"/>
        </w:trPr>
        <w:tc>
          <w:tcPr>
            <w:tcW w:w="58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C378F" w:rsidRDefault="00E12213">
            <w:pPr>
              <w:widowControl/>
              <w:jc w:val="center"/>
              <w:textAlignment w:val="center"/>
              <w:rPr>
                <w:kern w:val="0"/>
                <w:sz w:val="21"/>
                <w:szCs w:val="21"/>
                <w:lang w:bidi="ar"/>
              </w:rPr>
            </w:pPr>
            <w:r>
              <w:rPr>
                <w:rFonts w:hint="eastAsia"/>
                <w:kern w:val="0"/>
                <w:sz w:val="21"/>
                <w:szCs w:val="21"/>
                <w:lang w:bidi="ar"/>
              </w:rPr>
              <w:t>6</w:t>
            </w:r>
          </w:p>
        </w:tc>
        <w:tc>
          <w:tcPr>
            <w:tcW w:w="1995"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widowControl/>
              <w:jc w:val="center"/>
              <w:textAlignment w:val="center"/>
              <w:rPr>
                <w:kern w:val="0"/>
                <w:sz w:val="21"/>
                <w:szCs w:val="21"/>
                <w:lang w:bidi="ar"/>
              </w:rPr>
            </w:pPr>
            <w:r>
              <w:rPr>
                <w:rFonts w:hint="eastAsia"/>
                <w:kern w:val="0"/>
                <w:sz w:val="21"/>
                <w:szCs w:val="21"/>
                <w:lang w:bidi="ar"/>
              </w:rPr>
              <w:t>雨水井</w:t>
            </w:r>
          </w:p>
        </w:tc>
        <w:tc>
          <w:tcPr>
            <w:tcW w:w="71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C378F" w:rsidRDefault="00E12213">
            <w:pPr>
              <w:widowControl/>
              <w:jc w:val="center"/>
              <w:textAlignment w:val="center"/>
              <w:rPr>
                <w:kern w:val="0"/>
                <w:sz w:val="21"/>
                <w:szCs w:val="21"/>
                <w:lang w:bidi="ar"/>
              </w:rPr>
            </w:pPr>
            <w:r>
              <w:rPr>
                <w:rFonts w:hint="eastAsia"/>
                <w:kern w:val="0"/>
                <w:sz w:val="21"/>
                <w:szCs w:val="21"/>
                <w:lang w:bidi="ar"/>
              </w:rPr>
              <w:t>座</w:t>
            </w:r>
          </w:p>
        </w:tc>
        <w:tc>
          <w:tcPr>
            <w:tcW w:w="17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C378F" w:rsidRDefault="00E12213">
            <w:pPr>
              <w:widowControl/>
              <w:jc w:val="center"/>
              <w:textAlignment w:val="center"/>
              <w:rPr>
                <w:kern w:val="0"/>
                <w:sz w:val="21"/>
                <w:szCs w:val="21"/>
                <w:lang w:bidi="ar"/>
              </w:rPr>
            </w:pPr>
            <w:r>
              <w:rPr>
                <w:rFonts w:hint="eastAsia"/>
                <w:kern w:val="0"/>
                <w:sz w:val="21"/>
                <w:szCs w:val="21"/>
                <w:lang w:bidi="ar"/>
              </w:rPr>
              <w:t>2500</w:t>
            </w:r>
          </w:p>
        </w:tc>
      </w:tr>
      <w:tr w:rsidR="006C378F">
        <w:trPr>
          <w:trHeight w:hRule="exact" w:val="428"/>
          <w:jc w:val="center"/>
        </w:trPr>
        <w:tc>
          <w:tcPr>
            <w:tcW w:w="58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C378F" w:rsidRDefault="00E12213">
            <w:pPr>
              <w:widowControl/>
              <w:jc w:val="center"/>
              <w:textAlignment w:val="center"/>
              <w:rPr>
                <w:kern w:val="0"/>
                <w:sz w:val="21"/>
                <w:szCs w:val="21"/>
                <w:lang w:bidi="ar"/>
              </w:rPr>
            </w:pPr>
            <w:r>
              <w:rPr>
                <w:rFonts w:hint="eastAsia"/>
                <w:kern w:val="0"/>
                <w:sz w:val="21"/>
                <w:szCs w:val="21"/>
                <w:lang w:bidi="ar"/>
              </w:rPr>
              <w:t>7</w:t>
            </w:r>
          </w:p>
        </w:tc>
        <w:tc>
          <w:tcPr>
            <w:tcW w:w="1995"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C378F" w:rsidRDefault="00E12213">
            <w:pPr>
              <w:widowControl/>
              <w:jc w:val="center"/>
              <w:textAlignment w:val="center"/>
              <w:rPr>
                <w:kern w:val="0"/>
                <w:sz w:val="21"/>
                <w:szCs w:val="21"/>
                <w:lang w:bidi="ar"/>
              </w:rPr>
            </w:pPr>
            <w:r>
              <w:rPr>
                <w:rFonts w:hint="eastAsia"/>
                <w:kern w:val="0"/>
                <w:sz w:val="21"/>
                <w:szCs w:val="21"/>
                <w:lang w:bidi="ar"/>
              </w:rPr>
              <w:t>雨水口</w:t>
            </w:r>
          </w:p>
        </w:tc>
        <w:tc>
          <w:tcPr>
            <w:tcW w:w="71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C378F" w:rsidRDefault="00E12213">
            <w:pPr>
              <w:widowControl/>
              <w:jc w:val="center"/>
              <w:textAlignment w:val="center"/>
              <w:rPr>
                <w:kern w:val="0"/>
                <w:sz w:val="21"/>
                <w:szCs w:val="21"/>
                <w:lang w:bidi="ar"/>
              </w:rPr>
            </w:pPr>
            <w:r>
              <w:rPr>
                <w:rFonts w:hint="eastAsia"/>
                <w:kern w:val="0"/>
                <w:sz w:val="21"/>
                <w:szCs w:val="21"/>
                <w:lang w:bidi="ar"/>
              </w:rPr>
              <w:t>座</w:t>
            </w:r>
          </w:p>
        </w:tc>
        <w:tc>
          <w:tcPr>
            <w:tcW w:w="17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C378F" w:rsidRDefault="00E12213">
            <w:pPr>
              <w:widowControl/>
              <w:jc w:val="center"/>
              <w:textAlignment w:val="center"/>
              <w:rPr>
                <w:kern w:val="0"/>
                <w:sz w:val="21"/>
                <w:szCs w:val="21"/>
                <w:lang w:bidi="ar"/>
              </w:rPr>
            </w:pPr>
            <w:r>
              <w:rPr>
                <w:rFonts w:hint="eastAsia"/>
                <w:kern w:val="0"/>
                <w:sz w:val="21"/>
                <w:szCs w:val="21"/>
                <w:lang w:bidi="ar"/>
              </w:rPr>
              <w:t>153.4</w:t>
            </w:r>
          </w:p>
        </w:tc>
      </w:tr>
    </w:tbl>
    <w:p w:rsidR="006C378F" w:rsidRDefault="00E12213">
      <w:pPr>
        <w:spacing w:beforeLines="50" w:before="156" w:line="360" w:lineRule="auto"/>
        <w:ind w:firstLineChars="192" w:firstLine="461"/>
      </w:pPr>
      <w:r>
        <w:t>3</w:t>
      </w:r>
      <w:r>
        <w:t>、水土保持工程概算编制</w:t>
      </w:r>
    </w:p>
    <w:p w:rsidR="006C378F" w:rsidRDefault="00E12213">
      <w:pPr>
        <w:spacing w:line="360" w:lineRule="auto"/>
        <w:ind w:firstLineChars="192" w:firstLine="461"/>
      </w:pPr>
      <w:r>
        <w:lastRenderedPageBreak/>
        <w:t>（</w:t>
      </w:r>
      <w:r>
        <w:t>1</w:t>
      </w:r>
      <w:r>
        <w:t>）工程措施</w:t>
      </w:r>
    </w:p>
    <w:p w:rsidR="006C378F" w:rsidRDefault="00E12213">
      <w:pPr>
        <w:spacing w:line="360" w:lineRule="auto"/>
        <w:ind w:firstLineChars="192" w:firstLine="461"/>
      </w:pPr>
      <w:r>
        <w:t>引用主体。</w:t>
      </w:r>
    </w:p>
    <w:p w:rsidR="006C378F" w:rsidRDefault="00E12213">
      <w:pPr>
        <w:spacing w:line="360" w:lineRule="auto"/>
        <w:ind w:firstLineChars="192" w:firstLine="461"/>
      </w:pPr>
      <w:r>
        <w:t>（</w:t>
      </w:r>
      <w:r>
        <w:t>2</w:t>
      </w:r>
      <w:r>
        <w:t>）植物措施</w:t>
      </w:r>
    </w:p>
    <w:p w:rsidR="006C378F" w:rsidRDefault="00E12213">
      <w:pPr>
        <w:spacing w:line="360" w:lineRule="auto"/>
        <w:ind w:firstLineChars="192" w:firstLine="461"/>
      </w:pPr>
      <w:r>
        <w:t>引用主体。</w:t>
      </w:r>
    </w:p>
    <w:p w:rsidR="006C378F" w:rsidRDefault="00E12213">
      <w:pPr>
        <w:spacing w:line="360" w:lineRule="auto"/>
        <w:ind w:firstLineChars="192" w:firstLine="461"/>
      </w:pPr>
      <w:r>
        <w:t>（</w:t>
      </w:r>
      <w:r>
        <w:t>3</w:t>
      </w:r>
      <w:r>
        <w:t>）监测措施</w:t>
      </w:r>
    </w:p>
    <w:p w:rsidR="006C378F" w:rsidRDefault="00E12213">
      <w:pPr>
        <w:spacing w:line="360" w:lineRule="auto"/>
        <w:ind w:firstLineChars="192" w:firstLine="461"/>
      </w:pPr>
      <w:r>
        <w:t>本方案为报告表，不进行水土保持监测。</w:t>
      </w:r>
    </w:p>
    <w:p w:rsidR="006C378F" w:rsidRDefault="00E12213">
      <w:pPr>
        <w:spacing w:line="360" w:lineRule="auto"/>
        <w:ind w:firstLineChars="192" w:firstLine="461"/>
      </w:pPr>
      <w:r>
        <w:t>4</w:t>
      </w:r>
      <w:r>
        <w:t>、独立费用组成</w:t>
      </w:r>
    </w:p>
    <w:p w:rsidR="006C378F" w:rsidRDefault="00E12213">
      <w:pPr>
        <w:pStyle w:val="Char11"/>
        <w:spacing w:before="0" w:line="360" w:lineRule="auto"/>
        <w:ind w:firstLineChars="200" w:firstLine="480"/>
        <w:rPr>
          <w:color w:val="auto"/>
          <w:szCs w:val="24"/>
        </w:rPr>
      </w:pPr>
      <w:r>
        <w:rPr>
          <w:color w:val="auto"/>
        </w:rPr>
        <w:t>1</w:t>
      </w:r>
      <w:r>
        <w:rPr>
          <w:color w:val="auto"/>
        </w:rPr>
        <w:t>）建设管理费：</w:t>
      </w:r>
      <w:r>
        <w:rPr>
          <w:color w:val="auto"/>
          <w:szCs w:val="24"/>
        </w:rPr>
        <w:t>按新增工程措施费、植物措施费、监测措施费、施工临时工程费之和的</w:t>
      </w:r>
      <w:r>
        <w:rPr>
          <w:color w:val="auto"/>
          <w:szCs w:val="24"/>
        </w:rPr>
        <w:t>2.0%</w:t>
      </w:r>
      <w:r>
        <w:rPr>
          <w:color w:val="auto"/>
          <w:szCs w:val="24"/>
        </w:rPr>
        <w:t>计列；</w:t>
      </w:r>
    </w:p>
    <w:p w:rsidR="006C378F" w:rsidRDefault="00E12213">
      <w:pPr>
        <w:pStyle w:val="Char11"/>
        <w:spacing w:before="0" w:line="360" w:lineRule="auto"/>
        <w:ind w:firstLineChars="200" w:firstLine="480"/>
        <w:rPr>
          <w:color w:val="auto"/>
          <w:szCs w:val="24"/>
        </w:rPr>
      </w:pPr>
      <w:r>
        <w:rPr>
          <w:color w:val="auto"/>
        </w:rPr>
        <w:t>2</w:t>
      </w:r>
      <w:r>
        <w:rPr>
          <w:color w:val="auto"/>
        </w:rPr>
        <w:t>）水土保持方案编制费：</w:t>
      </w:r>
      <w:r>
        <w:rPr>
          <w:color w:val="auto"/>
          <w:szCs w:val="24"/>
        </w:rPr>
        <w:t>按《水利部关于颁发</w:t>
      </w:r>
      <w:r>
        <w:rPr>
          <w:color w:val="auto"/>
        </w:rPr>
        <w:t>《生产建设项目水土保持工程概（估）算编制规定》（总院内部资料</w:t>
      </w:r>
      <w:r>
        <w:rPr>
          <w:color w:val="auto"/>
        </w:rPr>
        <w:t>2015</w:t>
      </w:r>
      <w:r>
        <w:rPr>
          <w:color w:val="auto"/>
        </w:rPr>
        <w:t>版）</w:t>
      </w:r>
      <w:r>
        <w:rPr>
          <w:color w:val="auto"/>
          <w:szCs w:val="24"/>
        </w:rPr>
        <w:t>表</w:t>
      </w:r>
      <w:r>
        <w:rPr>
          <w:color w:val="auto"/>
          <w:szCs w:val="24"/>
        </w:rPr>
        <w:t>4-7</w:t>
      </w:r>
      <w:r>
        <w:rPr>
          <w:color w:val="auto"/>
          <w:szCs w:val="24"/>
        </w:rPr>
        <w:t>所列标准，并结合实际合同价确定计列；</w:t>
      </w:r>
    </w:p>
    <w:p w:rsidR="006C378F" w:rsidRDefault="00E12213">
      <w:pPr>
        <w:pStyle w:val="Char11"/>
        <w:spacing w:before="0" w:line="360" w:lineRule="auto"/>
        <w:ind w:firstLineChars="200" w:firstLine="480"/>
        <w:rPr>
          <w:color w:val="auto"/>
          <w:szCs w:val="24"/>
        </w:rPr>
      </w:pPr>
      <w:r>
        <w:rPr>
          <w:color w:val="auto"/>
          <w:szCs w:val="24"/>
        </w:rPr>
        <w:t>3</w:t>
      </w:r>
      <w:r>
        <w:rPr>
          <w:color w:val="auto"/>
          <w:szCs w:val="24"/>
        </w:rPr>
        <w:t>）科研勘测设计费</w:t>
      </w:r>
    </w:p>
    <w:p w:rsidR="006C378F" w:rsidRDefault="00E12213">
      <w:pPr>
        <w:pStyle w:val="Char11"/>
        <w:spacing w:before="0" w:line="360" w:lineRule="auto"/>
        <w:ind w:firstLineChars="200" w:firstLine="480"/>
        <w:rPr>
          <w:color w:val="auto"/>
          <w:szCs w:val="24"/>
        </w:rPr>
      </w:pPr>
      <w:r>
        <w:rPr>
          <w:color w:val="auto"/>
          <w:szCs w:val="24"/>
        </w:rPr>
        <w:t>①</w:t>
      </w:r>
      <w:r>
        <w:rPr>
          <w:color w:val="auto"/>
          <w:szCs w:val="24"/>
        </w:rPr>
        <w:t>工程科学研究试验费：遇大型、特殊水土保持工程可列此项费用，按一至四部分投资合计的</w:t>
      </w:r>
      <w:r>
        <w:rPr>
          <w:color w:val="auto"/>
          <w:szCs w:val="24"/>
        </w:rPr>
        <w:t>0.2%</w:t>
      </w:r>
      <w:r>
        <w:rPr>
          <w:color w:val="auto"/>
          <w:szCs w:val="24"/>
        </w:rPr>
        <w:t>～</w:t>
      </w:r>
      <w:r>
        <w:rPr>
          <w:color w:val="auto"/>
          <w:szCs w:val="24"/>
        </w:rPr>
        <w:t>0.5%</w:t>
      </w:r>
      <w:r>
        <w:rPr>
          <w:color w:val="auto"/>
          <w:szCs w:val="24"/>
        </w:rPr>
        <w:t>计列，一般情况下不计列此项费用，根据本项目建设内容，不计列该项费用。</w:t>
      </w:r>
    </w:p>
    <w:p w:rsidR="006C378F" w:rsidRDefault="00E12213">
      <w:pPr>
        <w:pStyle w:val="Char11"/>
        <w:spacing w:before="0" w:line="360" w:lineRule="auto"/>
        <w:ind w:firstLineChars="200" w:firstLine="480"/>
        <w:rPr>
          <w:color w:val="auto"/>
          <w:szCs w:val="24"/>
        </w:rPr>
      </w:pPr>
      <w:r>
        <w:rPr>
          <w:color w:val="auto"/>
          <w:szCs w:val="24"/>
        </w:rPr>
        <w:t>②</w:t>
      </w:r>
      <w:r>
        <w:rPr>
          <w:color w:val="auto"/>
          <w:szCs w:val="24"/>
        </w:rPr>
        <w:t>勘测设计费：按照国家计委、建设部计价格</w:t>
      </w:r>
      <w:r>
        <w:rPr>
          <w:color w:val="auto"/>
          <w:szCs w:val="24"/>
        </w:rPr>
        <w:t>[2002]10</w:t>
      </w:r>
      <w:r>
        <w:rPr>
          <w:color w:val="auto"/>
          <w:szCs w:val="24"/>
        </w:rPr>
        <w:t>号文《工程勘察设计收费管理规定》，根据本项目建设内容，不计列该项费用。</w:t>
      </w:r>
    </w:p>
    <w:p w:rsidR="006C378F" w:rsidRDefault="00E12213">
      <w:pPr>
        <w:pStyle w:val="Char11"/>
        <w:spacing w:before="0" w:line="360" w:lineRule="auto"/>
        <w:ind w:firstLineChars="200" w:firstLine="480"/>
        <w:rPr>
          <w:color w:val="auto"/>
          <w:szCs w:val="24"/>
        </w:rPr>
      </w:pPr>
      <w:r>
        <w:rPr>
          <w:color w:val="auto"/>
        </w:rPr>
        <w:t>4</w:t>
      </w:r>
      <w:r>
        <w:rPr>
          <w:color w:val="auto"/>
        </w:rPr>
        <w:t>）工程建设监理费：</w:t>
      </w:r>
      <w:r>
        <w:rPr>
          <w:color w:val="auto"/>
          <w:szCs w:val="24"/>
        </w:rPr>
        <w:t>本项目不进行工程建设监理，不计列该项费用；</w:t>
      </w:r>
    </w:p>
    <w:p w:rsidR="006C378F" w:rsidRDefault="00E12213">
      <w:pPr>
        <w:pStyle w:val="Char11"/>
        <w:spacing w:before="0" w:line="360" w:lineRule="auto"/>
        <w:ind w:firstLineChars="200" w:firstLine="480"/>
        <w:rPr>
          <w:color w:val="auto"/>
          <w:szCs w:val="24"/>
        </w:rPr>
      </w:pPr>
      <w:r>
        <w:rPr>
          <w:color w:val="auto"/>
        </w:rPr>
        <w:t>5</w:t>
      </w:r>
      <w:r>
        <w:rPr>
          <w:color w:val="auto"/>
        </w:rPr>
        <w:t>）水土保持设施竣工验收费：</w:t>
      </w:r>
      <w:r>
        <w:rPr>
          <w:color w:val="auto"/>
          <w:szCs w:val="24"/>
        </w:rPr>
        <w:t>以主体工程土建投资合计为计算基数，按照</w:t>
      </w:r>
      <w:r>
        <w:rPr>
          <w:color w:val="auto"/>
        </w:rPr>
        <w:t>《生产建设项目水土保持工程概（估）算编制规定》（总院内部资料</w:t>
      </w:r>
      <w:r>
        <w:rPr>
          <w:color w:val="auto"/>
        </w:rPr>
        <w:t>2015</w:t>
      </w:r>
      <w:r>
        <w:rPr>
          <w:color w:val="auto"/>
        </w:rPr>
        <w:t>版）</w:t>
      </w:r>
      <w:r>
        <w:rPr>
          <w:color w:val="auto"/>
          <w:szCs w:val="24"/>
        </w:rPr>
        <w:t>表</w:t>
      </w:r>
      <w:r>
        <w:rPr>
          <w:color w:val="auto"/>
          <w:szCs w:val="24"/>
        </w:rPr>
        <w:t>4-8</w:t>
      </w:r>
      <w:r>
        <w:rPr>
          <w:color w:val="auto"/>
          <w:szCs w:val="24"/>
        </w:rPr>
        <w:t>所列标准，并结合实际合同价确定计列；</w:t>
      </w:r>
    </w:p>
    <w:p w:rsidR="006C378F" w:rsidRDefault="00E12213">
      <w:pPr>
        <w:pStyle w:val="ad"/>
        <w:ind w:firstLine="480"/>
      </w:pPr>
      <w:r>
        <w:t>6</w:t>
      </w:r>
      <w:r>
        <w:t>）招标业务费：本项目水保措施与主体工程同时开展相应工作，本次不记列。</w:t>
      </w:r>
    </w:p>
    <w:p w:rsidR="006C378F" w:rsidRDefault="00E12213">
      <w:pPr>
        <w:pStyle w:val="ad"/>
        <w:ind w:firstLine="480"/>
      </w:pPr>
      <w:r>
        <w:t>7</w:t>
      </w:r>
      <w:r>
        <w:t>）经济技术咨询费：本项费用已包含在方案编制费中，不单独计列。</w:t>
      </w:r>
    </w:p>
    <w:p w:rsidR="006C378F" w:rsidRDefault="00E12213">
      <w:pPr>
        <w:spacing w:line="360" w:lineRule="auto"/>
        <w:ind w:firstLineChars="192" w:firstLine="461"/>
      </w:pPr>
      <w:r>
        <w:t>5</w:t>
      </w:r>
      <w:r>
        <w:t>、预备费</w:t>
      </w:r>
    </w:p>
    <w:p w:rsidR="006C378F" w:rsidRDefault="00E12213">
      <w:pPr>
        <w:spacing w:line="360" w:lineRule="auto"/>
        <w:ind w:firstLineChars="192" w:firstLine="461"/>
      </w:pPr>
      <w:r>
        <w:t>基本预备费按第一至四部分投资</w:t>
      </w:r>
      <w:r>
        <w:rPr>
          <w:szCs w:val="24"/>
        </w:rPr>
        <w:t>（扣除主体投资）</w:t>
      </w:r>
      <w:r>
        <w:t>的</w:t>
      </w:r>
      <w:r>
        <w:t>5%</w:t>
      </w:r>
      <w:r>
        <w:t>计取，不计价差预备费。</w:t>
      </w:r>
    </w:p>
    <w:p w:rsidR="006C378F" w:rsidRDefault="00E12213">
      <w:pPr>
        <w:spacing w:line="360" w:lineRule="auto"/>
        <w:ind w:firstLineChars="192" w:firstLine="461"/>
      </w:pPr>
      <w:r>
        <w:t>6</w:t>
      </w:r>
      <w:r>
        <w:t>、水土保持补偿费</w:t>
      </w:r>
    </w:p>
    <w:p w:rsidR="006C378F" w:rsidRDefault="00E12213">
      <w:pPr>
        <w:pStyle w:val="Char"/>
        <w:ind w:firstLine="480"/>
        <w:rPr>
          <w:color w:val="auto"/>
          <w:szCs w:val="24"/>
        </w:rPr>
      </w:pPr>
      <w:r>
        <w:rPr>
          <w:color w:val="auto"/>
          <w:szCs w:val="24"/>
        </w:rPr>
        <w:lastRenderedPageBreak/>
        <w:t>本项目水土保持补偿费，根据</w:t>
      </w:r>
      <w:r>
        <w:rPr>
          <w:rFonts w:hint="eastAsia"/>
          <w:color w:val="auto"/>
        </w:rPr>
        <w:t>《关于制定水土保持补偿费收费标准的通知》（川发改价格</w:t>
      </w:r>
      <w:r>
        <w:rPr>
          <w:color w:val="auto"/>
        </w:rPr>
        <w:t>[2017]347</w:t>
      </w:r>
      <w:r>
        <w:rPr>
          <w:rFonts w:hint="eastAsia"/>
          <w:color w:val="auto"/>
        </w:rPr>
        <w:t>号）</w:t>
      </w:r>
      <w:r>
        <w:rPr>
          <w:color w:val="auto"/>
          <w:szCs w:val="24"/>
        </w:rPr>
        <w:t>的要求</w:t>
      </w:r>
      <w:r>
        <w:rPr>
          <w:bCs/>
          <w:iCs/>
          <w:color w:val="auto"/>
          <w:spacing w:val="6"/>
          <w:szCs w:val="24"/>
        </w:rPr>
        <w:t>，</w:t>
      </w:r>
      <w:r>
        <w:rPr>
          <w:color w:val="auto"/>
          <w:szCs w:val="24"/>
        </w:rPr>
        <w:t>本项目按</w:t>
      </w:r>
      <w:r>
        <w:rPr>
          <w:color w:val="auto"/>
          <w:szCs w:val="24"/>
        </w:rPr>
        <w:t>1.30</w:t>
      </w:r>
      <w:r>
        <w:rPr>
          <w:color w:val="auto"/>
          <w:szCs w:val="24"/>
        </w:rPr>
        <w:t>元</w:t>
      </w:r>
      <w:r>
        <w:rPr>
          <w:color w:val="auto"/>
          <w:szCs w:val="24"/>
        </w:rPr>
        <w:t>/m</w:t>
      </w:r>
      <w:r>
        <w:rPr>
          <w:color w:val="auto"/>
          <w:szCs w:val="24"/>
          <w:vertAlign w:val="superscript"/>
        </w:rPr>
        <w:t>2</w:t>
      </w:r>
      <w:r>
        <w:rPr>
          <w:color w:val="auto"/>
          <w:szCs w:val="24"/>
        </w:rPr>
        <w:t>征收水土保持补偿费。</w:t>
      </w:r>
    </w:p>
    <w:p w:rsidR="006C378F" w:rsidRDefault="00E12213">
      <w:pPr>
        <w:spacing w:line="360" w:lineRule="auto"/>
        <w:ind w:firstLine="480"/>
      </w:pPr>
      <w:r>
        <w:t>7</w:t>
      </w:r>
      <w:r>
        <w:t>、</w:t>
      </w:r>
      <w:r>
        <w:rPr>
          <w:lang w:val="zh-CN"/>
        </w:rPr>
        <w:t>价格水平年</w:t>
      </w:r>
    </w:p>
    <w:p w:rsidR="006C378F" w:rsidRDefault="00E12213">
      <w:pPr>
        <w:widowControl/>
        <w:spacing w:line="360" w:lineRule="auto"/>
        <w:ind w:firstLine="480"/>
      </w:pPr>
      <w:r>
        <w:t>价格水平年以</w:t>
      </w:r>
      <w:r>
        <w:rPr>
          <w:rFonts w:hint="eastAsia"/>
        </w:rPr>
        <w:t>四川</w:t>
      </w:r>
      <w:r>
        <w:t>省建设工程造价管理总站发布的</w:t>
      </w:r>
      <w:r>
        <w:t>202</w:t>
      </w:r>
      <w:r>
        <w:rPr>
          <w:rFonts w:hint="eastAsia"/>
        </w:rPr>
        <w:t>1</w:t>
      </w:r>
      <w:r>
        <w:t>年第</w:t>
      </w:r>
      <w:r>
        <w:rPr>
          <w:rFonts w:hint="eastAsia"/>
        </w:rPr>
        <w:t>一</w:t>
      </w:r>
      <w:r>
        <w:t>季度《</w:t>
      </w:r>
      <w:r>
        <w:rPr>
          <w:rFonts w:hint="eastAsia"/>
        </w:rPr>
        <w:t>四川</w:t>
      </w:r>
      <w:r>
        <w:t>省建设工程造价信息》的价格为参考依据。</w:t>
      </w:r>
    </w:p>
    <w:p w:rsidR="006C378F" w:rsidRDefault="00E12213">
      <w:pPr>
        <w:pStyle w:val="2"/>
      </w:pPr>
      <w:bookmarkStart w:id="228" w:name="_Toc14908"/>
      <w:r>
        <w:t>7.2</w:t>
      </w:r>
      <w:r>
        <w:t>编制说明与概算成果</w:t>
      </w:r>
      <w:bookmarkEnd w:id="228"/>
    </w:p>
    <w:bookmarkEnd w:id="225"/>
    <w:bookmarkEnd w:id="226"/>
    <w:bookmarkEnd w:id="227"/>
    <w:p w:rsidR="006C378F" w:rsidRDefault="00E12213">
      <w:pPr>
        <w:spacing w:line="360" w:lineRule="auto"/>
        <w:ind w:firstLine="472"/>
        <w:rPr>
          <w:spacing w:val="-2"/>
        </w:rPr>
      </w:pPr>
      <w:r>
        <w:rPr>
          <w:color w:val="0000FF"/>
          <w:spacing w:val="-2"/>
        </w:rPr>
        <w:t>本项目水土保持总投资</w:t>
      </w:r>
      <w:r>
        <w:rPr>
          <w:rFonts w:hint="eastAsia"/>
          <w:color w:val="0000FF"/>
          <w:spacing w:val="-2"/>
        </w:rPr>
        <w:t>17.07</w:t>
      </w:r>
      <w:r>
        <w:rPr>
          <w:color w:val="0000FF"/>
          <w:spacing w:val="-2"/>
        </w:rPr>
        <w:t>万元（其中主体投资</w:t>
      </w:r>
      <w:r>
        <w:rPr>
          <w:rFonts w:hint="eastAsia"/>
          <w:color w:val="0000FF"/>
          <w:spacing w:val="-2"/>
        </w:rPr>
        <w:t>2.84</w:t>
      </w:r>
      <w:r>
        <w:rPr>
          <w:color w:val="0000FF"/>
          <w:spacing w:val="-2"/>
        </w:rPr>
        <w:t>万元</w:t>
      </w:r>
      <w:r>
        <w:rPr>
          <w:bCs/>
          <w:color w:val="0000FF"/>
        </w:rPr>
        <w:t>，本方案新增水土保持投资</w:t>
      </w:r>
      <w:r>
        <w:rPr>
          <w:rFonts w:hint="eastAsia"/>
          <w:bCs/>
          <w:color w:val="0000FF"/>
        </w:rPr>
        <w:t>9.26</w:t>
      </w:r>
      <w:r>
        <w:rPr>
          <w:bCs/>
          <w:color w:val="0000FF"/>
        </w:rPr>
        <w:t>万元</w:t>
      </w:r>
      <w:r>
        <w:rPr>
          <w:color w:val="0000FF"/>
          <w:spacing w:val="-2"/>
        </w:rPr>
        <w:t>）</w:t>
      </w:r>
      <w:r>
        <w:rPr>
          <w:rFonts w:hint="eastAsia"/>
          <w:color w:val="0000FF"/>
          <w:spacing w:val="-2"/>
        </w:rPr>
        <w:t>，</w:t>
      </w:r>
      <w:r>
        <w:rPr>
          <w:color w:val="0000FF"/>
          <w:spacing w:val="-2"/>
        </w:rPr>
        <w:t>水土保持补偿费</w:t>
      </w:r>
      <w:r>
        <w:rPr>
          <w:rFonts w:hint="eastAsia"/>
          <w:color w:val="0000FF"/>
          <w:spacing w:val="-2"/>
        </w:rPr>
        <w:t>1.04</w:t>
      </w:r>
      <w:r>
        <w:rPr>
          <w:color w:val="0000FF"/>
          <w:spacing w:val="-2"/>
        </w:rPr>
        <w:t>万元</w:t>
      </w:r>
      <w:r>
        <w:rPr>
          <w:rFonts w:hint="eastAsia"/>
          <w:color w:val="0000FF"/>
          <w:spacing w:val="-2"/>
        </w:rPr>
        <w:t>。</w:t>
      </w:r>
      <w:r>
        <w:rPr>
          <w:color w:val="0000FF"/>
          <w:spacing w:val="-2"/>
        </w:rPr>
        <w:t>详见表</w:t>
      </w:r>
      <w:r>
        <w:rPr>
          <w:rFonts w:hint="eastAsia"/>
          <w:color w:val="0000FF"/>
          <w:spacing w:val="-2"/>
        </w:rPr>
        <w:t>7</w:t>
      </w:r>
      <w:r>
        <w:rPr>
          <w:color w:val="0000FF"/>
          <w:spacing w:val="-2"/>
        </w:rPr>
        <w:t>-3</w:t>
      </w:r>
      <w:r>
        <w:rPr>
          <w:spacing w:val="-2"/>
        </w:rPr>
        <w:t>。</w:t>
      </w:r>
    </w:p>
    <w:p w:rsidR="006C378F" w:rsidRDefault="00E12213">
      <w:pPr>
        <w:rPr>
          <w:b/>
          <w:spacing w:val="6"/>
          <w:sz w:val="22"/>
          <w:szCs w:val="22"/>
        </w:rPr>
      </w:pPr>
      <w:r>
        <w:rPr>
          <w:b/>
          <w:spacing w:val="6"/>
          <w:sz w:val="22"/>
          <w:szCs w:val="22"/>
        </w:rPr>
        <w:br w:type="page"/>
      </w:r>
    </w:p>
    <w:p w:rsidR="006C378F" w:rsidRDefault="00E12213">
      <w:pPr>
        <w:widowControl/>
        <w:adjustRightInd/>
        <w:snapToGrid/>
        <w:jc w:val="center"/>
        <w:rPr>
          <w:b/>
          <w:spacing w:val="6"/>
          <w:sz w:val="22"/>
          <w:szCs w:val="22"/>
        </w:rPr>
      </w:pPr>
      <w:r>
        <w:rPr>
          <w:b/>
          <w:spacing w:val="6"/>
          <w:sz w:val="22"/>
          <w:szCs w:val="22"/>
        </w:rPr>
        <w:lastRenderedPageBreak/>
        <w:t>表</w:t>
      </w:r>
      <w:r>
        <w:rPr>
          <w:b/>
          <w:spacing w:val="6"/>
          <w:sz w:val="22"/>
          <w:szCs w:val="22"/>
        </w:rPr>
        <w:t xml:space="preserve">7-3      </w:t>
      </w:r>
      <w:r>
        <w:rPr>
          <w:b/>
          <w:spacing w:val="6"/>
          <w:sz w:val="22"/>
          <w:szCs w:val="22"/>
        </w:rPr>
        <w:t>投资概算总表</w:t>
      </w:r>
      <w:r>
        <w:rPr>
          <w:b/>
          <w:spacing w:val="6"/>
          <w:sz w:val="22"/>
          <w:szCs w:val="22"/>
        </w:rPr>
        <w:t xml:space="preserve">         </w:t>
      </w:r>
      <w:r>
        <w:rPr>
          <w:b/>
          <w:spacing w:val="6"/>
          <w:sz w:val="22"/>
          <w:szCs w:val="22"/>
        </w:rPr>
        <w:t>单位：万元</w:t>
      </w:r>
    </w:p>
    <w:tbl>
      <w:tblPr>
        <w:tblW w:w="0" w:type="auto"/>
        <w:tblInd w:w="96" w:type="dxa"/>
        <w:tblLook w:val="04A0" w:firstRow="1" w:lastRow="0" w:firstColumn="1" w:lastColumn="0" w:noHBand="0" w:noVBand="1"/>
      </w:tblPr>
      <w:tblGrid>
        <w:gridCol w:w="658"/>
        <w:gridCol w:w="1709"/>
        <w:gridCol w:w="1192"/>
        <w:gridCol w:w="1192"/>
        <w:gridCol w:w="1003"/>
        <w:gridCol w:w="615"/>
        <w:gridCol w:w="1391"/>
        <w:gridCol w:w="666"/>
      </w:tblGrid>
      <w:tr w:rsidR="006C378F">
        <w:trPr>
          <w:trHeight w:val="291"/>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bookmarkStart w:id="229" w:name="_Toc212885331"/>
            <w:bookmarkStart w:id="230" w:name="_Toc11119"/>
            <w:bookmarkStart w:id="231" w:name="_Toc113674773"/>
            <w:bookmarkStart w:id="232" w:name="_Toc117306601"/>
            <w:bookmarkStart w:id="233" w:name="_Toc205693034"/>
            <w:bookmarkStart w:id="234" w:name="_Toc158454435"/>
            <w:bookmarkStart w:id="235" w:name="_Toc215218075"/>
            <w:bookmarkStart w:id="236" w:name="_Toc4385"/>
            <w:bookmarkStart w:id="237" w:name="_Toc215217917"/>
            <w:bookmarkStart w:id="238" w:name="_Toc215217996"/>
            <w:bookmarkStart w:id="239" w:name="_Toc32064"/>
            <w:r>
              <w:rPr>
                <w:rFonts w:ascii="仿宋_GB2312" w:hAnsi="等线" w:cs="仿宋_GB2312"/>
                <w:color w:val="0000FF"/>
                <w:kern w:val="0"/>
                <w:sz w:val="20"/>
                <w:lang w:bidi="ar"/>
              </w:rPr>
              <w:t>序号</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r>
              <w:rPr>
                <w:rFonts w:ascii="仿宋_GB2312" w:hAnsi="等线" w:cs="仿宋_GB2312"/>
                <w:color w:val="0000FF"/>
                <w:kern w:val="0"/>
                <w:sz w:val="20"/>
                <w:lang w:bidi="ar"/>
              </w:rPr>
              <w:t>工程或费用名称</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r>
              <w:rPr>
                <w:rFonts w:ascii="仿宋_GB2312" w:hAnsi="等线" w:cs="仿宋_GB2312"/>
                <w:color w:val="0000FF"/>
                <w:kern w:val="0"/>
                <w:sz w:val="20"/>
                <w:lang w:bidi="ar"/>
              </w:rPr>
              <w:t>方案新增投资</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r>
              <w:rPr>
                <w:rFonts w:ascii="仿宋_GB2312" w:hAnsi="等线" w:cs="仿宋_GB2312"/>
                <w:color w:val="0000FF"/>
                <w:kern w:val="0"/>
                <w:sz w:val="20"/>
                <w:lang w:bidi="ar"/>
              </w:rPr>
              <w:t>主体已列投资</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r>
              <w:rPr>
                <w:rFonts w:ascii="仿宋_GB2312" w:hAnsi="等线" w:cs="仿宋_GB2312"/>
                <w:color w:val="0000FF"/>
                <w:kern w:val="0"/>
                <w:sz w:val="20"/>
                <w:lang w:bidi="ar"/>
              </w:rPr>
              <w:t>合计</w:t>
            </w:r>
          </w:p>
        </w:tc>
      </w:tr>
      <w:tr w:rsidR="006C378F">
        <w:trPr>
          <w:trHeight w:val="495"/>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tcPr>
          <w:p w:rsidR="006C378F" w:rsidRDefault="006C378F">
            <w:pPr>
              <w:jc w:val="center"/>
              <w:rPr>
                <w:rFonts w:ascii="仿宋_GB2312" w:hAnsi="等线" w:cs="仿宋_GB2312"/>
                <w:color w:val="0000FF"/>
                <w:sz w:val="20"/>
              </w:rPr>
            </w:pPr>
          </w:p>
        </w:tc>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tcPr>
          <w:p w:rsidR="006C378F" w:rsidRDefault="006C378F">
            <w:pPr>
              <w:jc w:val="center"/>
              <w:rPr>
                <w:rFonts w:ascii="仿宋_GB2312" w:hAnsi="等线" w:cs="仿宋_GB2312"/>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r>
              <w:rPr>
                <w:rFonts w:ascii="仿宋_GB2312" w:hAnsi="等线" w:cs="仿宋_GB2312"/>
                <w:color w:val="0000FF"/>
                <w:kern w:val="0"/>
                <w:sz w:val="20"/>
                <w:lang w:bidi="ar"/>
              </w:rPr>
              <w:t>建安工程费</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r>
              <w:rPr>
                <w:rFonts w:ascii="仿宋_GB2312" w:hAnsi="等线" w:cs="仿宋_GB2312"/>
                <w:color w:val="0000FF"/>
                <w:kern w:val="0"/>
                <w:sz w:val="20"/>
                <w:lang w:bidi="ar"/>
              </w:rPr>
              <w:t>植物措施费</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r>
              <w:rPr>
                <w:rFonts w:ascii="仿宋_GB2312" w:hAnsi="等线" w:cs="仿宋_GB2312"/>
                <w:color w:val="0000FF"/>
                <w:kern w:val="0"/>
                <w:sz w:val="20"/>
                <w:lang w:bidi="ar"/>
              </w:rPr>
              <w:t>独立费用</w:t>
            </w:r>
          </w:p>
        </w:tc>
        <w:tc>
          <w:tcPr>
            <w:tcW w:w="0" w:type="auto"/>
            <w:tcBorders>
              <w:top w:val="single" w:sz="8" w:space="0" w:color="000000"/>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r>
              <w:rPr>
                <w:rFonts w:ascii="仿宋_GB2312" w:hAnsi="等线" w:cs="仿宋_GB2312"/>
                <w:color w:val="0000FF"/>
                <w:kern w:val="0"/>
                <w:sz w:val="20"/>
                <w:lang w:bidi="ar"/>
              </w:rPr>
              <w:t>小计</w:t>
            </w:r>
          </w:p>
        </w:tc>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tcPr>
          <w:p w:rsidR="006C378F" w:rsidRDefault="006C378F">
            <w:pPr>
              <w:jc w:val="center"/>
              <w:rPr>
                <w:rFonts w:ascii="仿宋_GB2312" w:hAnsi="等线" w:cs="仿宋_GB2312"/>
                <w:color w:val="0000FF"/>
                <w:sz w:val="20"/>
              </w:rPr>
            </w:pPr>
          </w:p>
        </w:tc>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tcPr>
          <w:p w:rsidR="006C378F" w:rsidRDefault="006C378F">
            <w:pPr>
              <w:jc w:val="center"/>
              <w:rPr>
                <w:rFonts w:ascii="仿宋_GB2312" w:hAnsi="等线" w:cs="仿宋_GB2312"/>
                <w:color w:val="0000FF"/>
                <w:sz w:val="20"/>
              </w:rPr>
            </w:pPr>
          </w:p>
        </w:tc>
      </w:tr>
      <w:tr w:rsidR="006C378F">
        <w:trPr>
          <w:trHeight w:val="291"/>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r>
              <w:rPr>
                <w:rFonts w:ascii="仿宋_GB2312" w:hAnsi="等线" w:cs="仿宋_GB2312"/>
                <w:color w:val="0000FF"/>
                <w:kern w:val="0"/>
                <w:sz w:val="20"/>
                <w:lang w:bidi="ar"/>
              </w:rPr>
              <w:t>第一部分</w:t>
            </w:r>
            <w:r>
              <w:rPr>
                <w:color w:val="0000FF"/>
                <w:kern w:val="0"/>
                <w:sz w:val="20"/>
                <w:lang w:bidi="ar"/>
              </w:rPr>
              <w:t xml:space="preserve"> </w:t>
            </w:r>
            <w:r>
              <w:rPr>
                <w:rFonts w:ascii="仿宋_GB2312" w:hAnsi="等线" w:cs="仿宋_GB2312"/>
                <w:color w:val="0000FF"/>
                <w:kern w:val="0"/>
                <w:sz w:val="20"/>
                <w:lang w:bidi="ar"/>
              </w:rPr>
              <w:t>工程措施</w:t>
            </w: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2.84 </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2.84 </w:t>
            </w:r>
          </w:p>
        </w:tc>
      </w:tr>
      <w:tr w:rsidR="006C378F">
        <w:trPr>
          <w:trHeight w:val="291"/>
        </w:trPr>
        <w:tc>
          <w:tcPr>
            <w:tcW w:w="0" w:type="auto"/>
            <w:tcBorders>
              <w:top w:val="nil"/>
              <w:left w:val="single" w:sz="8" w:space="0" w:color="000000"/>
              <w:bottom w:val="nil"/>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1</w:t>
            </w:r>
          </w:p>
        </w:tc>
        <w:tc>
          <w:tcPr>
            <w:tcW w:w="0" w:type="auto"/>
            <w:tcBorders>
              <w:top w:val="nil"/>
              <w:left w:val="nil"/>
              <w:bottom w:val="nil"/>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r>
              <w:rPr>
                <w:rFonts w:ascii="仿宋_GB2312" w:hAnsi="等线" w:cs="仿宋_GB2312"/>
                <w:color w:val="0000FF"/>
                <w:kern w:val="0"/>
                <w:sz w:val="20"/>
                <w:lang w:bidi="ar"/>
              </w:rPr>
              <w:t>停车场区</w:t>
            </w: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2.84 </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2.84 </w:t>
            </w:r>
          </w:p>
        </w:tc>
      </w:tr>
      <w:tr w:rsidR="006C378F">
        <w:trPr>
          <w:trHeight w:val="276"/>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r>
              <w:rPr>
                <w:rFonts w:ascii="仿宋_GB2312" w:hAnsi="等线" w:cs="仿宋_GB2312"/>
                <w:color w:val="0000FF"/>
                <w:kern w:val="0"/>
                <w:sz w:val="20"/>
                <w:lang w:bidi="ar"/>
              </w:rPr>
              <w:t>第二部分</w:t>
            </w:r>
            <w:r>
              <w:rPr>
                <w:color w:val="0000FF"/>
                <w:kern w:val="0"/>
                <w:sz w:val="20"/>
                <w:lang w:bidi="ar"/>
              </w:rPr>
              <w:t xml:space="preserve"> </w:t>
            </w:r>
            <w:r>
              <w:rPr>
                <w:rFonts w:ascii="仿宋_GB2312" w:hAnsi="等线" w:cs="仿宋_GB2312"/>
                <w:color w:val="0000FF"/>
                <w:kern w:val="0"/>
                <w:sz w:val="20"/>
                <w:lang w:bidi="ar"/>
              </w:rPr>
              <w:t>植物措施</w:t>
            </w: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0.83 </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0.83 </w:t>
            </w:r>
          </w:p>
        </w:tc>
      </w:tr>
      <w:tr w:rsidR="006C378F">
        <w:trPr>
          <w:trHeight w:val="279"/>
        </w:trPr>
        <w:tc>
          <w:tcPr>
            <w:tcW w:w="0" w:type="auto"/>
            <w:tcBorders>
              <w:top w:val="nil"/>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1</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停车场区</w:t>
            </w: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0.83 </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0.83 </w:t>
            </w:r>
          </w:p>
        </w:tc>
      </w:tr>
      <w:tr w:rsidR="006C378F">
        <w:trPr>
          <w:trHeight w:val="291"/>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r>
              <w:rPr>
                <w:rFonts w:ascii="仿宋_GB2312" w:hAnsi="等线" w:cs="仿宋_GB2312"/>
                <w:color w:val="0000FF"/>
                <w:kern w:val="0"/>
                <w:sz w:val="20"/>
                <w:lang w:bidi="ar"/>
              </w:rPr>
              <w:t>第三部分</w:t>
            </w:r>
            <w:r>
              <w:rPr>
                <w:color w:val="0000FF"/>
                <w:kern w:val="0"/>
                <w:sz w:val="20"/>
                <w:lang w:bidi="ar"/>
              </w:rPr>
              <w:t xml:space="preserve"> </w:t>
            </w:r>
            <w:r>
              <w:rPr>
                <w:rFonts w:ascii="仿宋_GB2312" w:hAnsi="等线" w:cs="仿宋_GB2312"/>
                <w:color w:val="0000FF"/>
                <w:kern w:val="0"/>
                <w:sz w:val="20"/>
                <w:lang w:bidi="ar"/>
              </w:rPr>
              <w:t>监测措施</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3</w:t>
            </w: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3</w:t>
            </w: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3</w:t>
            </w:r>
          </w:p>
        </w:tc>
      </w:tr>
      <w:tr w:rsidR="006C378F">
        <w:trPr>
          <w:trHeight w:val="552"/>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r>
              <w:rPr>
                <w:rFonts w:ascii="仿宋_GB2312" w:hAnsi="等线" w:cs="仿宋_GB2312"/>
                <w:color w:val="0000FF"/>
                <w:kern w:val="0"/>
                <w:sz w:val="20"/>
                <w:lang w:bidi="ar"/>
              </w:rPr>
              <w:t>第四部分</w:t>
            </w:r>
            <w:r>
              <w:rPr>
                <w:color w:val="0000FF"/>
                <w:kern w:val="0"/>
                <w:sz w:val="20"/>
                <w:lang w:bidi="ar"/>
              </w:rPr>
              <w:t xml:space="preserve"> </w:t>
            </w:r>
            <w:r>
              <w:rPr>
                <w:rFonts w:ascii="仿宋_GB2312" w:hAnsi="等线" w:cs="仿宋_GB2312"/>
                <w:color w:val="0000FF"/>
                <w:kern w:val="0"/>
                <w:sz w:val="20"/>
                <w:lang w:bidi="ar"/>
              </w:rPr>
              <w:t>施工临时工程</w:t>
            </w: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0.20 </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0.20 </w:t>
            </w:r>
          </w:p>
        </w:tc>
      </w:tr>
      <w:tr w:rsidR="006C378F">
        <w:trPr>
          <w:trHeight w:val="279"/>
        </w:trPr>
        <w:tc>
          <w:tcPr>
            <w:tcW w:w="0" w:type="auto"/>
            <w:tcBorders>
              <w:top w:val="nil"/>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1</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r>
              <w:rPr>
                <w:rFonts w:ascii="仿宋_GB2312" w:hAnsi="等线" w:cs="仿宋_GB2312"/>
                <w:color w:val="0000FF"/>
                <w:kern w:val="0"/>
                <w:sz w:val="20"/>
                <w:lang w:bidi="ar"/>
              </w:rPr>
              <w:t>停车场区</w:t>
            </w: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0.20 </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0.20 </w:t>
            </w:r>
          </w:p>
        </w:tc>
      </w:tr>
      <w:tr w:rsidR="006C378F">
        <w:trPr>
          <w:trHeight w:val="276"/>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r>
              <w:rPr>
                <w:rFonts w:ascii="仿宋_GB2312" w:hAnsi="等线" w:cs="仿宋_GB2312"/>
                <w:color w:val="0000FF"/>
                <w:kern w:val="0"/>
                <w:sz w:val="20"/>
                <w:lang w:bidi="ar"/>
              </w:rPr>
              <w:t>第五部分</w:t>
            </w:r>
            <w:r>
              <w:rPr>
                <w:color w:val="0000FF"/>
                <w:kern w:val="0"/>
                <w:sz w:val="20"/>
                <w:lang w:bidi="ar"/>
              </w:rPr>
              <w:t xml:space="preserve"> </w:t>
            </w:r>
            <w:r>
              <w:rPr>
                <w:rFonts w:ascii="仿宋_GB2312" w:hAnsi="等线" w:cs="仿宋_GB2312"/>
                <w:color w:val="0000FF"/>
                <w:kern w:val="0"/>
                <w:sz w:val="20"/>
                <w:lang w:bidi="ar"/>
              </w:rPr>
              <w:t>独立费用</w:t>
            </w: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6.02 </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6.02 </w:t>
            </w: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6.02 </w:t>
            </w:r>
          </w:p>
        </w:tc>
      </w:tr>
      <w:tr w:rsidR="006C378F">
        <w:trPr>
          <w:trHeight w:val="495"/>
        </w:trPr>
        <w:tc>
          <w:tcPr>
            <w:tcW w:w="0" w:type="auto"/>
            <w:tcBorders>
              <w:top w:val="nil"/>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1</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r>
              <w:rPr>
                <w:rFonts w:ascii="仿宋_GB2312" w:hAnsi="等线" w:cs="仿宋_GB2312"/>
                <w:color w:val="0000FF"/>
                <w:kern w:val="0"/>
                <w:sz w:val="20"/>
                <w:lang w:bidi="ar"/>
              </w:rPr>
              <w:t>建设管理费</w:t>
            </w: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single" w:sz="8" w:space="0" w:color="000000"/>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r>
      <w:tr w:rsidR="006C378F">
        <w:trPr>
          <w:trHeight w:val="495"/>
        </w:trPr>
        <w:tc>
          <w:tcPr>
            <w:tcW w:w="0" w:type="auto"/>
            <w:tcBorders>
              <w:top w:val="nil"/>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2</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r>
              <w:rPr>
                <w:rFonts w:ascii="仿宋_GB2312" w:hAnsi="等线" w:cs="仿宋_GB2312"/>
                <w:color w:val="0000FF"/>
                <w:kern w:val="0"/>
                <w:sz w:val="20"/>
                <w:lang w:bidi="ar"/>
              </w:rPr>
              <w:t>科研勘测设计费</w:t>
            </w: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3.08 </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3.08 </w:t>
            </w: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hint="eastAsia"/>
                <w:color w:val="0000FF"/>
                <w:kern w:val="0"/>
                <w:sz w:val="20"/>
                <w:lang w:bidi="ar"/>
              </w:rPr>
              <w:t>3.08</w:t>
            </w:r>
            <w:r>
              <w:rPr>
                <w:rFonts w:eastAsia="等线"/>
                <w:color w:val="0000FF"/>
                <w:kern w:val="0"/>
                <w:sz w:val="20"/>
                <w:lang w:bidi="ar"/>
              </w:rPr>
              <w:t xml:space="preserve"> </w:t>
            </w:r>
          </w:p>
        </w:tc>
      </w:tr>
      <w:tr w:rsidR="006C378F">
        <w:trPr>
          <w:trHeight w:val="495"/>
        </w:trPr>
        <w:tc>
          <w:tcPr>
            <w:tcW w:w="0" w:type="auto"/>
            <w:tcBorders>
              <w:top w:val="nil"/>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3</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r>
              <w:rPr>
                <w:rFonts w:ascii="仿宋_GB2312" w:hAnsi="等线" w:cs="仿宋_GB2312"/>
                <w:color w:val="0000FF"/>
                <w:kern w:val="0"/>
                <w:sz w:val="20"/>
                <w:lang w:bidi="ar"/>
              </w:rPr>
              <w:t>工程建设监理费</w:t>
            </w: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r>
      <w:tr w:rsidR="006C378F">
        <w:trPr>
          <w:trHeight w:val="495"/>
        </w:trPr>
        <w:tc>
          <w:tcPr>
            <w:tcW w:w="0" w:type="auto"/>
            <w:tcBorders>
              <w:top w:val="nil"/>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4</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r>
              <w:rPr>
                <w:rFonts w:ascii="仿宋_GB2312" w:hAnsi="等线" w:cs="仿宋_GB2312"/>
                <w:color w:val="0000FF"/>
                <w:kern w:val="0"/>
                <w:sz w:val="20"/>
                <w:lang w:bidi="ar"/>
              </w:rPr>
              <w:t>验收报告编制费</w:t>
            </w: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2.94 </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2.94 </w:t>
            </w: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hint="eastAsia"/>
                <w:color w:val="0000FF"/>
                <w:kern w:val="0"/>
                <w:sz w:val="20"/>
                <w:lang w:bidi="ar"/>
              </w:rPr>
              <w:t>2.94</w:t>
            </w:r>
            <w:r>
              <w:rPr>
                <w:rFonts w:eastAsia="等线"/>
                <w:color w:val="0000FF"/>
                <w:kern w:val="0"/>
                <w:sz w:val="20"/>
                <w:lang w:bidi="ar"/>
              </w:rPr>
              <w:t xml:space="preserve"> </w:t>
            </w:r>
          </w:p>
        </w:tc>
      </w:tr>
      <w:tr w:rsidR="006C378F">
        <w:trPr>
          <w:trHeight w:val="495"/>
        </w:trPr>
        <w:tc>
          <w:tcPr>
            <w:tcW w:w="0" w:type="auto"/>
            <w:tcBorders>
              <w:top w:val="nil"/>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5</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r>
              <w:rPr>
                <w:rFonts w:ascii="仿宋_GB2312" w:hAnsi="等线" w:cs="仿宋_GB2312"/>
                <w:color w:val="0000FF"/>
                <w:kern w:val="0"/>
                <w:sz w:val="20"/>
                <w:lang w:bidi="ar"/>
              </w:rPr>
              <w:t>招标代理服务费</w:t>
            </w: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r>
      <w:tr w:rsidR="006C378F">
        <w:trPr>
          <w:trHeight w:val="495"/>
        </w:trPr>
        <w:tc>
          <w:tcPr>
            <w:tcW w:w="0" w:type="auto"/>
            <w:tcBorders>
              <w:top w:val="nil"/>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6</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r>
              <w:rPr>
                <w:rFonts w:ascii="仿宋_GB2312" w:hAnsi="等线" w:cs="仿宋_GB2312"/>
                <w:color w:val="0000FF"/>
                <w:kern w:val="0"/>
                <w:sz w:val="20"/>
                <w:lang w:bidi="ar"/>
              </w:rPr>
              <w:t>经济技术咨询费</w:t>
            </w: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r>
      <w:tr w:rsidR="006C378F">
        <w:trPr>
          <w:trHeight w:val="291"/>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r>
              <w:rPr>
                <w:rFonts w:ascii="仿宋_GB2312" w:hAnsi="等线" w:cs="仿宋_GB2312"/>
                <w:color w:val="0000FF"/>
                <w:kern w:val="0"/>
                <w:sz w:val="20"/>
                <w:lang w:bidi="ar"/>
              </w:rPr>
              <w:t>第一至五部分合计</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3</w:t>
            </w: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6.02 </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9.02 </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3.87 </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12.89 </w:t>
            </w:r>
          </w:p>
        </w:tc>
      </w:tr>
      <w:tr w:rsidR="006C378F">
        <w:trPr>
          <w:trHeight w:val="552"/>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r>
              <w:rPr>
                <w:rFonts w:ascii="仿宋_GB2312" w:hAnsi="等线" w:cs="仿宋_GB2312"/>
                <w:color w:val="0000FF"/>
                <w:kern w:val="0"/>
                <w:sz w:val="20"/>
                <w:lang w:bidi="ar"/>
              </w:rPr>
              <w:t>第六部分</w:t>
            </w:r>
            <w:r>
              <w:rPr>
                <w:color w:val="0000FF"/>
                <w:kern w:val="0"/>
                <w:sz w:val="20"/>
                <w:lang w:bidi="ar"/>
              </w:rPr>
              <w:t xml:space="preserve"> </w:t>
            </w:r>
            <w:r>
              <w:rPr>
                <w:rFonts w:ascii="仿宋_GB2312" w:hAnsi="等线" w:cs="仿宋_GB2312"/>
                <w:color w:val="0000FF"/>
                <w:kern w:val="0"/>
                <w:sz w:val="20"/>
                <w:lang w:bidi="ar"/>
              </w:rPr>
              <w:t>基本预备费</w:t>
            </w: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r>
      <w:tr w:rsidR="006C378F">
        <w:trPr>
          <w:trHeight w:val="552"/>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r>
              <w:rPr>
                <w:rFonts w:ascii="仿宋_GB2312" w:hAnsi="等线" w:cs="仿宋_GB2312"/>
                <w:color w:val="0000FF"/>
                <w:kern w:val="0"/>
                <w:sz w:val="20"/>
                <w:lang w:bidi="ar"/>
              </w:rPr>
              <w:t>第七部分水土保持补偿费</w:t>
            </w:r>
          </w:p>
        </w:tc>
        <w:tc>
          <w:tcPr>
            <w:tcW w:w="0" w:type="auto"/>
            <w:gridSpan w:val="5"/>
            <w:tcBorders>
              <w:top w:val="single" w:sz="8" w:space="0" w:color="000000"/>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1.3</w:t>
            </w:r>
            <w:r>
              <w:rPr>
                <w:rFonts w:ascii="仿宋_GB2312" w:cs="仿宋_GB2312"/>
                <w:color w:val="0000FF"/>
                <w:kern w:val="0"/>
                <w:sz w:val="20"/>
                <w:lang w:bidi="ar"/>
              </w:rPr>
              <w:t>元</w:t>
            </w:r>
            <w:r>
              <w:rPr>
                <w:rFonts w:eastAsia="等线"/>
                <w:color w:val="0000FF"/>
                <w:kern w:val="0"/>
                <w:sz w:val="20"/>
                <w:lang w:bidi="ar"/>
              </w:rPr>
              <w:t>/m2</w:t>
            </w:r>
            <w:r>
              <w:rPr>
                <w:rFonts w:ascii="仿宋_GB2312" w:cs="仿宋_GB2312"/>
                <w:color w:val="0000FF"/>
                <w:kern w:val="0"/>
                <w:sz w:val="20"/>
                <w:lang w:bidi="ar"/>
              </w:rPr>
              <w:t>（征占地）</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1.04</w:t>
            </w:r>
          </w:p>
        </w:tc>
      </w:tr>
      <w:tr w:rsidR="006C378F">
        <w:trPr>
          <w:trHeight w:val="291"/>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r>
              <w:rPr>
                <w:rFonts w:ascii="仿宋_GB2312" w:hAnsi="等线" w:cs="仿宋_GB2312"/>
                <w:color w:val="0000FF"/>
                <w:kern w:val="0"/>
                <w:sz w:val="20"/>
                <w:lang w:bidi="ar"/>
              </w:rPr>
              <w:t>已有水保投资合计</w:t>
            </w:r>
          </w:p>
        </w:tc>
        <w:tc>
          <w:tcPr>
            <w:tcW w:w="0" w:type="auto"/>
            <w:tcBorders>
              <w:top w:val="nil"/>
              <w:left w:val="nil"/>
              <w:bottom w:val="single" w:sz="8" w:space="0" w:color="000000"/>
              <w:right w:val="nil"/>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nil"/>
            </w:tcBorders>
            <w:shd w:val="clear" w:color="auto" w:fill="auto"/>
            <w:vAlign w:val="center"/>
          </w:tcPr>
          <w:p w:rsidR="006C378F" w:rsidRDefault="006C378F">
            <w:pPr>
              <w:jc w:val="center"/>
              <w:rPr>
                <w:rFonts w:eastAsia="等线"/>
                <w:color w:val="0000FF"/>
                <w:sz w:val="20"/>
              </w:rPr>
            </w:pPr>
          </w:p>
        </w:tc>
        <w:tc>
          <w:tcPr>
            <w:tcW w:w="0" w:type="auto"/>
            <w:tcBorders>
              <w:top w:val="single" w:sz="8" w:space="0" w:color="000000"/>
              <w:left w:val="nil"/>
              <w:bottom w:val="single" w:sz="8" w:space="0" w:color="000000"/>
              <w:right w:val="nil"/>
            </w:tcBorders>
            <w:shd w:val="clear" w:color="auto" w:fill="auto"/>
            <w:vAlign w:val="center"/>
          </w:tcPr>
          <w:p w:rsidR="006C378F" w:rsidRDefault="006C378F">
            <w:pPr>
              <w:jc w:val="center"/>
              <w:rPr>
                <w:rFonts w:eastAsia="等线"/>
                <w:color w:val="0000FF"/>
                <w:sz w:val="20"/>
              </w:rPr>
            </w:pPr>
          </w:p>
        </w:tc>
        <w:tc>
          <w:tcPr>
            <w:tcW w:w="0" w:type="auto"/>
            <w:tcBorders>
              <w:top w:val="single" w:sz="8" w:space="0" w:color="000000"/>
              <w:left w:val="nil"/>
              <w:bottom w:val="single" w:sz="8" w:space="0" w:color="000000"/>
              <w:right w:val="nil"/>
            </w:tcBorders>
            <w:shd w:val="clear" w:color="auto" w:fill="auto"/>
            <w:vAlign w:val="center"/>
          </w:tcPr>
          <w:p w:rsidR="006C378F" w:rsidRDefault="006C378F">
            <w:pPr>
              <w:jc w:val="center"/>
              <w:rPr>
                <w:rFonts w:eastAsia="等线"/>
                <w:color w:val="0000FF"/>
                <w:sz w:val="20"/>
              </w:rPr>
            </w:pPr>
          </w:p>
        </w:tc>
        <w:tc>
          <w:tcPr>
            <w:tcW w:w="0" w:type="auto"/>
            <w:tcBorders>
              <w:top w:val="single" w:sz="8" w:space="0" w:color="000000"/>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single" w:sz="8" w:space="0" w:color="000000"/>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7.81 </w:t>
            </w:r>
          </w:p>
        </w:tc>
      </w:tr>
      <w:tr w:rsidR="006C378F">
        <w:trPr>
          <w:trHeight w:val="291"/>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r>
              <w:rPr>
                <w:rFonts w:ascii="仿宋_GB2312" w:hAnsi="等线" w:cs="仿宋_GB2312"/>
                <w:color w:val="0000FF"/>
                <w:kern w:val="0"/>
                <w:sz w:val="20"/>
                <w:lang w:bidi="ar"/>
              </w:rPr>
              <w:t>新增水保投资合计</w:t>
            </w:r>
          </w:p>
        </w:tc>
        <w:tc>
          <w:tcPr>
            <w:tcW w:w="0" w:type="auto"/>
            <w:tcBorders>
              <w:top w:val="nil"/>
              <w:left w:val="nil"/>
              <w:bottom w:val="single" w:sz="8" w:space="0" w:color="000000"/>
              <w:right w:val="nil"/>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nil"/>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nil"/>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nil"/>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9.26 </w:t>
            </w:r>
          </w:p>
        </w:tc>
      </w:tr>
      <w:tr w:rsidR="006C378F">
        <w:trPr>
          <w:trHeight w:val="291"/>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仿宋_GB2312" w:hAnsi="等线" w:cs="仿宋_GB2312"/>
                <w:color w:val="0000FF"/>
                <w:sz w:val="20"/>
              </w:rPr>
            </w:pPr>
            <w:r>
              <w:rPr>
                <w:rFonts w:ascii="仿宋_GB2312" w:hAnsi="等线" w:cs="仿宋_GB2312"/>
                <w:color w:val="0000FF"/>
                <w:kern w:val="0"/>
                <w:sz w:val="20"/>
                <w:lang w:bidi="ar"/>
              </w:rPr>
              <w:t>水保措施总投资</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3</w:t>
            </w:r>
          </w:p>
        </w:tc>
        <w:tc>
          <w:tcPr>
            <w:tcW w:w="0" w:type="auto"/>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FF"/>
                <w:sz w:val="20"/>
              </w:rPr>
            </w:pP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6.02 </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9.02 </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3.87 </w:t>
            </w:r>
          </w:p>
        </w:tc>
        <w:tc>
          <w:tcPr>
            <w:tcW w:w="0" w:type="auto"/>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FF"/>
                <w:sz w:val="20"/>
              </w:rPr>
            </w:pPr>
            <w:r>
              <w:rPr>
                <w:rFonts w:eastAsia="等线"/>
                <w:color w:val="0000FF"/>
                <w:kern w:val="0"/>
                <w:sz w:val="20"/>
                <w:lang w:bidi="ar"/>
              </w:rPr>
              <w:t xml:space="preserve">17.07 </w:t>
            </w:r>
          </w:p>
        </w:tc>
      </w:tr>
    </w:tbl>
    <w:p w:rsidR="006C378F" w:rsidRDefault="00E12213">
      <w:pPr>
        <w:pStyle w:val="ad"/>
        <w:spacing w:beforeLines="50" w:before="156" w:line="240" w:lineRule="auto"/>
        <w:ind w:firstLine="442"/>
        <w:jc w:val="center"/>
        <w:rPr>
          <w:b/>
          <w:bCs/>
          <w:sz w:val="22"/>
          <w:szCs w:val="22"/>
        </w:rPr>
      </w:pPr>
      <w:r>
        <w:rPr>
          <w:b/>
          <w:bCs/>
          <w:sz w:val="22"/>
          <w:szCs w:val="22"/>
        </w:rPr>
        <w:t>表</w:t>
      </w:r>
      <w:r>
        <w:rPr>
          <w:b/>
          <w:bCs/>
          <w:sz w:val="22"/>
          <w:szCs w:val="22"/>
        </w:rPr>
        <w:t>7-</w:t>
      </w:r>
      <w:r>
        <w:rPr>
          <w:rFonts w:hint="eastAsia"/>
          <w:b/>
          <w:bCs/>
          <w:sz w:val="22"/>
          <w:szCs w:val="22"/>
        </w:rPr>
        <w:t>4</w:t>
      </w:r>
      <w:r>
        <w:rPr>
          <w:b/>
          <w:bCs/>
          <w:sz w:val="22"/>
          <w:szCs w:val="22"/>
        </w:rPr>
        <w:t xml:space="preserve">    </w:t>
      </w:r>
      <w:r>
        <w:rPr>
          <w:b/>
          <w:bCs/>
          <w:sz w:val="22"/>
          <w:szCs w:val="22"/>
        </w:rPr>
        <w:t>水土保持补偿费计算表</w:t>
      </w:r>
      <w:r>
        <w:rPr>
          <w:b/>
          <w:bCs/>
          <w:sz w:val="22"/>
          <w:szCs w:val="22"/>
        </w:rPr>
        <w:t xml:space="preserve">     </w:t>
      </w:r>
      <w:r>
        <w:rPr>
          <w:b/>
          <w:bCs/>
          <w:sz w:val="22"/>
          <w:szCs w:val="22"/>
        </w:rPr>
        <w:t>单位：元</w:t>
      </w:r>
    </w:p>
    <w:tbl>
      <w:tblPr>
        <w:tblW w:w="4998" w:type="pct"/>
        <w:tblLook w:val="04A0" w:firstRow="1" w:lastRow="0" w:firstColumn="1" w:lastColumn="0" w:noHBand="0" w:noVBand="1"/>
      </w:tblPr>
      <w:tblGrid>
        <w:gridCol w:w="854"/>
        <w:gridCol w:w="2268"/>
        <w:gridCol w:w="854"/>
        <w:gridCol w:w="854"/>
        <w:gridCol w:w="1702"/>
        <w:gridCol w:w="1987"/>
      </w:tblGrid>
      <w:tr w:rsidR="006C378F">
        <w:trPr>
          <w:trHeight w:val="591"/>
        </w:trPr>
        <w:tc>
          <w:tcPr>
            <w:tcW w:w="501" w:type="pct"/>
            <w:tcBorders>
              <w:top w:val="single" w:sz="8" w:space="0" w:color="000000"/>
              <w:left w:val="single" w:sz="8" w:space="0" w:color="000000"/>
              <w:bottom w:val="single" w:sz="8" w:space="0" w:color="000000"/>
              <w:right w:val="single" w:sz="8" w:space="0" w:color="000000"/>
            </w:tcBorders>
            <w:shd w:val="clear" w:color="auto" w:fill="auto"/>
            <w:vAlign w:val="center"/>
          </w:tcPr>
          <w:bookmarkEnd w:id="83"/>
          <w:bookmarkEnd w:id="84"/>
          <w:bookmarkEnd w:id="85"/>
          <w:bookmarkEnd w:id="86"/>
          <w:bookmarkEnd w:id="87"/>
          <w:bookmarkEnd w:id="88"/>
          <w:bookmarkEnd w:id="229"/>
          <w:bookmarkEnd w:id="230"/>
          <w:bookmarkEnd w:id="231"/>
          <w:bookmarkEnd w:id="232"/>
          <w:bookmarkEnd w:id="233"/>
          <w:bookmarkEnd w:id="234"/>
          <w:bookmarkEnd w:id="235"/>
          <w:bookmarkEnd w:id="236"/>
          <w:bookmarkEnd w:id="237"/>
          <w:bookmarkEnd w:id="238"/>
          <w:bookmarkEnd w:id="239"/>
          <w:p w:rsidR="006C378F" w:rsidRDefault="00E12213">
            <w:pPr>
              <w:widowControl/>
              <w:jc w:val="center"/>
              <w:textAlignment w:val="center"/>
              <w:rPr>
                <w:rFonts w:eastAsia="等线"/>
                <w:color w:val="000000"/>
                <w:sz w:val="21"/>
                <w:szCs w:val="21"/>
              </w:rPr>
            </w:pPr>
            <w:r>
              <w:rPr>
                <w:rFonts w:eastAsia="等线"/>
                <w:color w:val="000000"/>
                <w:kern w:val="0"/>
                <w:sz w:val="21"/>
                <w:szCs w:val="21"/>
                <w:lang w:bidi="ar"/>
              </w:rPr>
              <w:t>序号</w:t>
            </w:r>
          </w:p>
        </w:tc>
        <w:tc>
          <w:tcPr>
            <w:tcW w:w="1330" w:type="pct"/>
            <w:tcBorders>
              <w:top w:val="single" w:sz="8" w:space="0" w:color="000000"/>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00"/>
                <w:sz w:val="21"/>
                <w:szCs w:val="21"/>
              </w:rPr>
            </w:pPr>
            <w:r>
              <w:rPr>
                <w:rFonts w:eastAsia="等线"/>
                <w:color w:val="000000"/>
                <w:kern w:val="0"/>
                <w:sz w:val="21"/>
                <w:szCs w:val="21"/>
                <w:lang w:bidi="ar"/>
              </w:rPr>
              <w:t>工程或费用名称</w:t>
            </w:r>
          </w:p>
        </w:tc>
        <w:tc>
          <w:tcPr>
            <w:tcW w:w="501" w:type="pct"/>
            <w:tcBorders>
              <w:top w:val="single" w:sz="8" w:space="0" w:color="000000"/>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00"/>
                <w:sz w:val="21"/>
                <w:szCs w:val="21"/>
              </w:rPr>
            </w:pPr>
            <w:r>
              <w:rPr>
                <w:rFonts w:eastAsia="等线"/>
                <w:color w:val="000000"/>
                <w:kern w:val="0"/>
                <w:sz w:val="21"/>
                <w:szCs w:val="21"/>
                <w:lang w:bidi="ar"/>
              </w:rPr>
              <w:t>单位</w:t>
            </w:r>
          </w:p>
        </w:tc>
        <w:tc>
          <w:tcPr>
            <w:tcW w:w="501" w:type="pct"/>
            <w:tcBorders>
              <w:top w:val="single" w:sz="8" w:space="0" w:color="000000"/>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00"/>
                <w:sz w:val="21"/>
                <w:szCs w:val="21"/>
              </w:rPr>
            </w:pPr>
            <w:r>
              <w:rPr>
                <w:rFonts w:eastAsia="等线"/>
                <w:color w:val="000000"/>
                <w:kern w:val="0"/>
                <w:sz w:val="21"/>
                <w:szCs w:val="21"/>
                <w:lang w:bidi="ar"/>
              </w:rPr>
              <w:t>数量</w:t>
            </w:r>
          </w:p>
        </w:tc>
        <w:tc>
          <w:tcPr>
            <w:tcW w:w="998" w:type="pct"/>
            <w:tcBorders>
              <w:top w:val="single" w:sz="8" w:space="0" w:color="000000"/>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00"/>
                <w:sz w:val="21"/>
                <w:szCs w:val="21"/>
              </w:rPr>
            </w:pPr>
            <w:r>
              <w:rPr>
                <w:rFonts w:eastAsia="等线"/>
                <w:color w:val="000000"/>
                <w:kern w:val="0"/>
                <w:sz w:val="21"/>
                <w:szCs w:val="21"/>
                <w:lang w:bidi="ar"/>
              </w:rPr>
              <w:t>单价（元）</w:t>
            </w:r>
          </w:p>
        </w:tc>
        <w:tc>
          <w:tcPr>
            <w:tcW w:w="1165" w:type="pct"/>
            <w:tcBorders>
              <w:top w:val="single" w:sz="8" w:space="0" w:color="000000"/>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ascii="宋体" w:eastAsia="宋体" w:hAnsi="宋体" w:cs="宋体"/>
                <w:color w:val="000000"/>
                <w:sz w:val="21"/>
                <w:szCs w:val="21"/>
              </w:rPr>
            </w:pPr>
            <w:r>
              <w:rPr>
                <w:rFonts w:ascii="宋体" w:eastAsia="宋体" w:hAnsi="宋体" w:cs="宋体" w:hint="eastAsia"/>
                <w:color w:val="000000"/>
                <w:kern w:val="0"/>
                <w:sz w:val="21"/>
                <w:szCs w:val="21"/>
                <w:lang w:bidi="ar"/>
              </w:rPr>
              <w:t>合计（万元）</w:t>
            </w:r>
          </w:p>
        </w:tc>
      </w:tr>
      <w:tr w:rsidR="006C378F">
        <w:trPr>
          <w:trHeight w:val="591"/>
        </w:trPr>
        <w:tc>
          <w:tcPr>
            <w:tcW w:w="501" w:type="pct"/>
            <w:tcBorders>
              <w:top w:val="nil"/>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00"/>
                <w:sz w:val="21"/>
                <w:szCs w:val="21"/>
              </w:rPr>
            </w:pPr>
            <w:r>
              <w:rPr>
                <w:rFonts w:eastAsia="等线"/>
                <w:color w:val="000000"/>
                <w:kern w:val="0"/>
                <w:sz w:val="21"/>
                <w:szCs w:val="21"/>
                <w:lang w:bidi="ar"/>
              </w:rPr>
              <w:t>一</w:t>
            </w:r>
          </w:p>
        </w:tc>
        <w:tc>
          <w:tcPr>
            <w:tcW w:w="1330"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00"/>
                <w:sz w:val="21"/>
                <w:szCs w:val="21"/>
              </w:rPr>
            </w:pPr>
            <w:r>
              <w:rPr>
                <w:rFonts w:eastAsia="等线"/>
                <w:color w:val="000000"/>
                <w:kern w:val="0"/>
                <w:sz w:val="21"/>
                <w:szCs w:val="21"/>
                <w:lang w:bidi="ar"/>
              </w:rPr>
              <w:t>水土保持补偿费</w:t>
            </w:r>
          </w:p>
        </w:tc>
        <w:tc>
          <w:tcPr>
            <w:tcW w:w="501" w:type="pct"/>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00"/>
                <w:sz w:val="21"/>
                <w:szCs w:val="21"/>
              </w:rPr>
            </w:pPr>
          </w:p>
        </w:tc>
        <w:tc>
          <w:tcPr>
            <w:tcW w:w="501" w:type="pct"/>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00"/>
                <w:sz w:val="21"/>
                <w:szCs w:val="21"/>
              </w:rPr>
            </w:pPr>
          </w:p>
        </w:tc>
        <w:tc>
          <w:tcPr>
            <w:tcW w:w="998" w:type="pct"/>
            <w:tcBorders>
              <w:top w:val="nil"/>
              <w:left w:val="nil"/>
              <w:bottom w:val="single" w:sz="8" w:space="0" w:color="000000"/>
              <w:right w:val="single" w:sz="8" w:space="0" w:color="000000"/>
            </w:tcBorders>
            <w:shd w:val="clear" w:color="auto" w:fill="auto"/>
            <w:vAlign w:val="center"/>
          </w:tcPr>
          <w:p w:rsidR="006C378F" w:rsidRDefault="006C378F">
            <w:pPr>
              <w:jc w:val="center"/>
              <w:rPr>
                <w:rFonts w:eastAsia="等线"/>
                <w:color w:val="000000"/>
                <w:sz w:val="21"/>
                <w:szCs w:val="21"/>
              </w:rPr>
            </w:pPr>
          </w:p>
        </w:tc>
        <w:tc>
          <w:tcPr>
            <w:tcW w:w="1165"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00"/>
                <w:sz w:val="21"/>
                <w:szCs w:val="21"/>
              </w:rPr>
            </w:pPr>
            <w:r>
              <w:rPr>
                <w:rFonts w:eastAsia="等线"/>
                <w:color w:val="000000"/>
                <w:kern w:val="0"/>
                <w:sz w:val="21"/>
                <w:szCs w:val="21"/>
                <w:lang w:bidi="ar"/>
              </w:rPr>
              <w:t>1.04</w:t>
            </w:r>
          </w:p>
        </w:tc>
      </w:tr>
      <w:tr w:rsidR="006C378F">
        <w:trPr>
          <w:trHeight w:val="591"/>
        </w:trPr>
        <w:tc>
          <w:tcPr>
            <w:tcW w:w="501" w:type="pct"/>
            <w:tcBorders>
              <w:top w:val="nil"/>
              <w:left w:val="single" w:sz="8" w:space="0" w:color="000000"/>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00"/>
                <w:sz w:val="21"/>
                <w:szCs w:val="21"/>
              </w:rPr>
            </w:pPr>
            <w:r>
              <w:rPr>
                <w:rFonts w:eastAsia="等线"/>
                <w:color w:val="000000"/>
                <w:kern w:val="0"/>
                <w:sz w:val="21"/>
                <w:szCs w:val="21"/>
                <w:lang w:bidi="ar"/>
              </w:rPr>
              <w:t>1</w:t>
            </w:r>
          </w:p>
        </w:tc>
        <w:tc>
          <w:tcPr>
            <w:tcW w:w="1330"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00"/>
                <w:sz w:val="21"/>
                <w:szCs w:val="21"/>
              </w:rPr>
            </w:pPr>
            <w:r>
              <w:rPr>
                <w:rFonts w:eastAsia="等线"/>
                <w:color w:val="000000"/>
                <w:kern w:val="0"/>
                <w:sz w:val="21"/>
                <w:szCs w:val="21"/>
                <w:lang w:bidi="ar"/>
              </w:rPr>
              <w:t>扰动地表面积</w:t>
            </w:r>
          </w:p>
        </w:tc>
        <w:tc>
          <w:tcPr>
            <w:tcW w:w="501"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00"/>
                <w:sz w:val="21"/>
                <w:szCs w:val="21"/>
              </w:rPr>
            </w:pPr>
            <w:r>
              <w:rPr>
                <w:rFonts w:eastAsia="等线"/>
                <w:color w:val="000000"/>
                <w:kern w:val="0"/>
                <w:sz w:val="21"/>
                <w:szCs w:val="21"/>
                <w:lang w:bidi="ar"/>
              </w:rPr>
              <w:t>m</w:t>
            </w:r>
            <w:r>
              <w:rPr>
                <w:rFonts w:eastAsia="等线"/>
                <w:color w:val="000000"/>
                <w:kern w:val="0"/>
                <w:sz w:val="21"/>
                <w:szCs w:val="21"/>
                <w:vertAlign w:val="superscript"/>
                <w:lang w:bidi="ar"/>
              </w:rPr>
              <w:t>2</w:t>
            </w:r>
          </w:p>
        </w:tc>
        <w:tc>
          <w:tcPr>
            <w:tcW w:w="501"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00"/>
                <w:sz w:val="21"/>
                <w:szCs w:val="21"/>
              </w:rPr>
            </w:pPr>
            <w:r>
              <w:rPr>
                <w:rFonts w:eastAsia="等线"/>
                <w:color w:val="000000"/>
                <w:kern w:val="0"/>
                <w:sz w:val="21"/>
                <w:szCs w:val="21"/>
                <w:lang w:bidi="ar"/>
              </w:rPr>
              <w:t>8000</w:t>
            </w:r>
          </w:p>
        </w:tc>
        <w:tc>
          <w:tcPr>
            <w:tcW w:w="998"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00"/>
                <w:sz w:val="21"/>
                <w:szCs w:val="21"/>
              </w:rPr>
            </w:pPr>
            <w:r>
              <w:rPr>
                <w:rFonts w:eastAsia="等线"/>
                <w:color w:val="000000"/>
                <w:kern w:val="0"/>
                <w:sz w:val="21"/>
                <w:szCs w:val="21"/>
                <w:lang w:bidi="ar"/>
              </w:rPr>
              <w:t>1.3</w:t>
            </w:r>
          </w:p>
        </w:tc>
        <w:tc>
          <w:tcPr>
            <w:tcW w:w="1165" w:type="pct"/>
            <w:tcBorders>
              <w:top w:val="nil"/>
              <w:left w:val="nil"/>
              <w:bottom w:val="single" w:sz="8" w:space="0" w:color="000000"/>
              <w:right w:val="single" w:sz="8" w:space="0" w:color="000000"/>
            </w:tcBorders>
            <w:shd w:val="clear" w:color="auto" w:fill="auto"/>
            <w:vAlign w:val="center"/>
          </w:tcPr>
          <w:p w:rsidR="006C378F" w:rsidRDefault="00E12213">
            <w:pPr>
              <w:widowControl/>
              <w:jc w:val="center"/>
              <w:textAlignment w:val="center"/>
              <w:rPr>
                <w:rFonts w:eastAsia="等线"/>
                <w:color w:val="000000"/>
                <w:sz w:val="21"/>
                <w:szCs w:val="21"/>
              </w:rPr>
            </w:pPr>
            <w:r>
              <w:rPr>
                <w:rFonts w:eastAsia="等线"/>
                <w:color w:val="000000"/>
                <w:kern w:val="0"/>
                <w:sz w:val="21"/>
                <w:szCs w:val="21"/>
                <w:lang w:bidi="ar"/>
              </w:rPr>
              <w:t>1.04</w:t>
            </w:r>
          </w:p>
        </w:tc>
      </w:tr>
    </w:tbl>
    <w:p w:rsidR="006C378F" w:rsidRDefault="00E12213">
      <w:pPr>
        <w:pStyle w:val="2"/>
      </w:pPr>
      <w:bookmarkStart w:id="240" w:name="_Toc20006"/>
      <w:r>
        <w:t>7.3</w:t>
      </w:r>
      <w:r>
        <w:rPr>
          <w:rFonts w:hint="eastAsia"/>
        </w:rPr>
        <w:t>效益分析</w:t>
      </w:r>
      <w:bookmarkEnd w:id="240"/>
    </w:p>
    <w:p w:rsidR="006C378F" w:rsidRDefault="00E12213">
      <w:pPr>
        <w:spacing w:line="360" w:lineRule="auto"/>
        <w:ind w:firstLine="472"/>
      </w:pPr>
      <w:r>
        <w:rPr>
          <w:spacing w:val="-2"/>
        </w:rPr>
        <w:t>按照本方案水土保持措施实施进度要求及时采取工程措施、植物措施和临时措施后，各项指标均能实现工程建设期水土流失防治目标。至设计水平年，整个工程涉及区域</w:t>
      </w:r>
      <w:r>
        <w:rPr>
          <w:spacing w:val="-2"/>
          <w:lang w:val="zh-CN"/>
        </w:rPr>
        <w:t>水土流失治理度可达到</w:t>
      </w:r>
      <w:r>
        <w:rPr>
          <w:rFonts w:hint="eastAsia"/>
          <w:spacing w:val="-2"/>
        </w:rPr>
        <w:t>98</w:t>
      </w:r>
      <w:r>
        <w:rPr>
          <w:spacing w:val="-2"/>
          <w:lang w:val="zh-CN"/>
        </w:rPr>
        <w:t>%</w:t>
      </w:r>
      <w:r>
        <w:rPr>
          <w:spacing w:val="-2"/>
          <w:lang w:val="zh-CN"/>
        </w:rPr>
        <w:t>；土壤流失控制比可达到</w:t>
      </w:r>
      <w:r>
        <w:rPr>
          <w:spacing w:val="-2"/>
          <w:lang w:val="zh-CN"/>
        </w:rPr>
        <w:t>1.</w:t>
      </w:r>
      <w:r>
        <w:rPr>
          <w:rFonts w:hint="eastAsia"/>
          <w:spacing w:val="-2"/>
        </w:rPr>
        <w:t>11</w:t>
      </w:r>
      <w:r>
        <w:rPr>
          <w:spacing w:val="-2"/>
          <w:lang w:val="zh-CN"/>
        </w:rPr>
        <w:t>；</w:t>
      </w:r>
      <w:r>
        <w:rPr>
          <w:rFonts w:hint="eastAsia"/>
          <w:spacing w:val="-2"/>
        </w:rPr>
        <w:t>渣土防护</w:t>
      </w:r>
      <w:r>
        <w:rPr>
          <w:spacing w:val="-2"/>
          <w:lang w:val="zh-CN"/>
        </w:rPr>
        <w:t>率</w:t>
      </w:r>
      <w:r>
        <w:rPr>
          <w:rFonts w:hint="eastAsia"/>
          <w:spacing w:val="-2"/>
        </w:rPr>
        <w:t>95</w:t>
      </w:r>
      <w:r>
        <w:rPr>
          <w:spacing w:val="-2"/>
          <w:lang w:val="zh-CN"/>
        </w:rPr>
        <w:t>%</w:t>
      </w:r>
      <w:r>
        <w:rPr>
          <w:spacing w:val="-2"/>
          <w:lang w:val="zh-CN"/>
        </w:rPr>
        <w:t>；</w:t>
      </w:r>
      <w:r>
        <w:rPr>
          <w:rFonts w:hint="eastAsia"/>
          <w:spacing w:val="-2"/>
        </w:rPr>
        <w:t>表土保护</w:t>
      </w:r>
      <w:r>
        <w:rPr>
          <w:spacing w:val="-2"/>
          <w:lang w:val="zh-CN"/>
        </w:rPr>
        <w:t>率</w:t>
      </w:r>
      <w:r>
        <w:rPr>
          <w:rFonts w:hint="eastAsia"/>
          <w:spacing w:val="-2"/>
        </w:rPr>
        <w:t>96</w:t>
      </w:r>
      <w:r>
        <w:rPr>
          <w:spacing w:val="-2"/>
          <w:lang w:val="zh-CN"/>
        </w:rPr>
        <w:t>%</w:t>
      </w:r>
      <w:r>
        <w:rPr>
          <w:spacing w:val="-2"/>
          <w:lang w:val="zh-CN"/>
        </w:rPr>
        <w:t>；林草植被恢复率</w:t>
      </w:r>
      <w:r>
        <w:rPr>
          <w:rFonts w:hint="eastAsia"/>
          <w:spacing w:val="-2"/>
        </w:rPr>
        <w:t>99</w:t>
      </w:r>
      <w:r>
        <w:rPr>
          <w:spacing w:val="-2"/>
          <w:lang w:val="zh-CN"/>
        </w:rPr>
        <w:t>%</w:t>
      </w:r>
      <w:r>
        <w:rPr>
          <w:spacing w:val="-2"/>
          <w:lang w:val="zh-CN"/>
        </w:rPr>
        <w:t>；林草覆盖率</w:t>
      </w:r>
      <w:r>
        <w:rPr>
          <w:rFonts w:hint="eastAsia"/>
          <w:spacing w:val="-2"/>
        </w:rPr>
        <w:t>6</w:t>
      </w:r>
      <w:r>
        <w:rPr>
          <w:spacing w:val="-2"/>
          <w:lang w:val="zh-CN"/>
        </w:rPr>
        <w:t>%</w:t>
      </w:r>
      <w:r>
        <w:rPr>
          <w:rFonts w:hint="eastAsia"/>
          <w:spacing w:val="-2"/>
          <w:lang w:val="zh-CN"/>
        </w:rPr>
        <w:t>；</w:t>
      </w:r>
      <w:r>
        <w:rPr>
          <w:rFonts w:hint="eastAsia"/>
          <w:spacing w:val="-2"/>
        </w:rPr>
        <w:t>可治理水</w:t>
      </w:r>
      <w:r>
        <w:rPr>
          <w:rFonts w:hint="eastAsia"/>
          <w:spacing w:val="-2"/>
        </w:rPr>
        <w:lastRenderedPageBreak/>
        <w:t>土流失面积</w:t>
      </w:r>
      <w:r>
        <w:rPr>
          <w:rFonts w:hint="eastAsia"/>
          <w:spacing w:val="-2"/>
        </w:rPr>
        <w:t>0.80hm2</w:t>
      </w:r>
      <w:r>
        <w:rPr>
          <w:rFonts w:hint="eastAsia"/>
          <w:spacing w:val="-2"/>
        </w:rPr>
        <w:t>；林草植被建设面积</w:t>
      </w:r>
      <w:r>
        <w:rPr>
          <w:rFonts w:hint="eastAsia"/>
          <w:spacing w:val="-2"/>
        </w:rPr>
        <w:t>0.05hm2</w:t>
      </w:r>
      <w:r>
        <w:rPr>
          <w:rFonts w:hint="eastAsia"/>
          <w:spacing w:val="-2"/>
        </w:rPr>
        <w:t>；减少水土流失量</w:t>
      </w:r>
      <w:r>
        <w:rPr>
          <w:rFonts w:hint="eastAsia"/>
          <w:spacing w:val="-2"/>
        </w:rPr>
        <w:t>1.12t</w:t>
      </w:r>
      <w:r>
        <w:rPr>
          <w:spacing w:val="-2"/>
          <w:lang w:val="zh-CN"/>
        </w:rPr>
        <w:t>。各</w:t>
      </w:r>
      <w:r>
        <w:rPr>
          <w:rFonts w:hint="eastAsia"/>
          <w:spacing w:val="-2"/>
        </w:rPr>
        <w:t>水土保持方案实施后，</w:t>
      </w:r>
      <w:r>
        <w:rPr>
          <w:rFonts w:hint="eastAsia"/>
          <w:spacing w:val="-2"/>
          <w:lang w:val="zh-CN"/>
        </w:rPr>
        <w:t>项</w:t>
      </w:r>
      <w:r>
        <w:rPr>
          <w:rFonts w:hint="eastAsia"/>
          <w:spacing w:val="-2"/>
        </w:rPr>
        <w:t>目</w:t>
      </w:r>
      <w:r>
        <w:rPr>
          <w:rFonts w:hint="eastAsia"/>
          <w:spacing w:val="-2"/>
          <w:lang w:val="zh-CN"/>
        </w:rPr>
        <w:t>水土保持治理指标均达到防治目标要求，</w:t>
      </w:r>
      <w:r>
        <w:rPr>
          <w:rFonts w:hint="eastAsia"/>
          <w:spacing w:val="-2"/>
        </w:rPr>
        <w:t>水土流失影响能控制在较低水平，水土资源能得到很好的保护、恢复和合理利用，生态环境也能得到很好的保护、恢复和一定的改善。</w:t>
      </w:r>
      <w:r>
        <w:rPr>
          <w:rFonts w:hint="eastAsia"/>
          <w:spacing w:val="-2"/>
          <w:lang w:val="zh-CN"/>
        </w:rPr>
        <w:t>工程结束后，项</w:t>
      </w:r>
      <w:r>
        <w:rPr>
          <w:rFonts w:hint="eastAsia"/>
          <w:spacing w:val="-2"/>
        </w:rPr>
        <w:t>目</w:t>
      </w:r>
      <w:r>
        <w:rPr>
          <w:rFonts w:hint="eastAsia"/>
          <w:spacing w:val="-2"/>
          <w:lang w:val="zh-CN"/>
        </w:rPr>
        <w:t>水土保持治理指标均达到防治目标要求，水土保持基础效益良好</w:t>
      </w:r>
      <w:r>
        <w:rPr>
          <w:rFonts w:hint="eastAsia"/>
        </w:rPr>
        <w:t>。</w:t>
      </w:r>
    </w:p>
    <w:p w:rsidR="006C378F" w:rsidRDefault="006C378F">
      <w:pPr>
        <w:pStyle w:val="a0"/>
      </w:pPr>
    </w:p>
    <w:p w:rsidR="006C378F" w:rsidRDefault="006C378F">
      <w:pPr>
        <w:pStyle w:val="08522"/>
      </w:pPr>
    </w:p>
    <w:p w:rsidR="006C378F" w:rsidRDefault="00E12213">
      <w:pPr>
        <w:widowControl/>
        <w:adjustRightInd/>
        <w:snapToGrid/>
        <w:jc w:val="left"/>
        <w:rPr>
          <w:b/>
          <w:sz w:val="32"/>
        </w:rPr>
      </w:pPr>
      <w:r>
        <w:br w:type="page"/>
      </w:r>
    </w:p>
    <w:p w:rsidR="006C378F" w:rsidRDefault="00E12213">
      <w:pPr>
        <w:pStyle w:val="1"/>
        <w:jc w:val="center"/>
      </w:pPr>
      <w:bookmarkStart w:id="241" w:name="_Toc949"/>
      <w:r>
        <w:lastRenderedPageBreak/>
        <w:t>9</w:t>
      </w:r>
      <w:r>
        <w:t>结论及建议</w:t>
      </w:r>
      <w:bookmarkEnd w:id="241"/>
    </w:p>
    <w:p w:rsidR="006C378F" w:rsidRDefault="00E12213">
      <w:pPr>
        <w:pStyle w:val="2"/>
      </w:pPr>
      <w:bookmarkStart w:id="242" w:name="_Toc17855"/>
      <w:bookmarkStart w:id="243" w:name="_Toc8846"/>
      <w:r>
        <w:t>9.1</w:t>
      </w:r>
      <w:r>
        <w:t>结论</w:t>
      </w:r>
      <w:bookmarkEnd w:id="242"/>
      <w:bookmarkEnd w:id="243"/>
    </w:p>
    <w:p w:rsidR="006C378F" w:rsidRDefault="00E12213">
      <w:pPr>
        <w:pStyle w:val="13"/>
        <w:ind w:firstLine="480"/>
        <w:rPr>
          <w:color w:val="0000FF"/>
        </w:rPr>
      </w:pPr>
      <w:r>
        <w:rPr>
          <w:rFonts w:hint="eastAsia"/>
          <w:color w:val="0000FF"/>
        </w:rPr>
        <w:t>（</w:t>
      </w:r>
      <w:r>
        <w:rPr>
          <w:rFonts w:hint="eastAsia"/>
          <w:color w:val="0000FF"/>
        </w:rPr>
        <w:t>1</w:t>
      </w:r>
      <w:r>
        <w:rPr>
          <w:rFonts w:hint="eastAsia"/>
          <w:color w:val="0000FF"/>
        </w:rPr>
        <w:t>）</w:t>
      </w:r>
      <w:r>
        <w:rPr>
          <w:color w:val="0000FF"/>
        </w:rPr>
        <w:t>根据</w:t>
      </w:r>
      <w:r>
        <w:rPr>
          <w:rFonts w:hint="eastAsia"/>
          <w:color w:val="0000FF"/>
          <w:u w:color="000000"/>
        </w:rPr>
        <w:t>《产业结构调整指导目录</w:t>
      </w:r>
      <w:r>
        <w:rPr>
          <w:rFonts w:hint="eastAsia"/>
          <w:color w:val="0000FF"/>
          <w:u w:color="000000"/>
        </w:rPr>
        <w:t>(2019</w:t>
      </w:r>
      <w:r>
        <w:rPr>
          <w:rFonts w:hint="eastAsia"/>
          <w:color w:val="0000FF"/>
          <w:u w:color="000000"/>
        </w:rPr>
        <w:t>年本</w:t>
      </w:r>
      <w:r>
        <w:rPr>
          <w:rFonts w:hint="eastAsia"/>
          <w:color w:val="0000FF"/>
          <w:u w:color="000000"/>
        </w:rPr>
        <w:t>)</w:t>
      </w:r>
      <w:r>
        <w:rPr>
          <w:rFonts w:hint="eastAsia"/>
          <w:color w:val="0000FF"/>
          <w:u w:color="000000"/>
        </w:rPr>
        <w:t>》</w:t>
      </w:r>
      <w:r>
        <w:rPr>
          <w:rFonts w:hint="eastAsia"/>
          <w:color w:val="0000FF"/>
          <w:u w:color="000000"/>
        </w:rPr>
        <w:t>(</w:t>
      </w:r>
      <w:r>
        <w:rPr>
          <w:rFonts w:hint="eastAsia"/>
          <w:color w:val="0000FF"/>
          <w:u w:color="000000"/>
        </w:rPr>
        <w:t>中华人民共和国国家发展和改革委员会令</w:t>
      </w:r>
      <w:r>
        <w:rPr>
          <w:rFonts w:hint="eastAsia"/>
          <w:color w:val="0000FF"/>
          <w:u w:color="000000"/>
        </w:rPr>
        <w:t>2019</w:t>
      </w:r>
      <w:r>
        <w:rPr>
          <w:rFonts w:hint="eastAsia"/>
          <w:color w:val="0000FF"/>
          <w:u w:color="000000"/>
        </w:rPr>
        <w:t>年第</w:t>
      </w:r>
      <w:r>
        <w:rPr>
          <w:rFonts w:hint="eastAsia"/>
          <w:color w:val="0000FF"/>
          <w:u w:color="000000"/>
        </w:rPr>
        <w:t>29</w:t>
      </w:r>
      <w:r>
        <w:rPr>
          <w:rFonts w:hint="eastAsia"/>
          <w:color w:val="0000FF"/>
          <w:u w:color="000000"/>
        </w:rPr>
        <w:t>号令</w:t>
      </w:r>
      <w:r>
        <w:rPr>
          <w:rFonts w:hint="eastAsia"/>
          <w:color w:val="0000FF"/>
          <w:u w:color="000000"/>
        </w:rPr>
        <w:t>) </w:t>
      </w:r>
      <w:r>
        <w:rPr>
          <w:color w:val="0000FF"/>
        </w:rPr>
        <w:t>，本项目不属于产业结构调整指导目录中鼓励类、限制类和淘汰类，为允许类项目，符合国家产业政策。</w:t>
      </w:r>
    </w:p>
    <w:p w:rsidR="006C378F" w:rsidRDefault="00E12213">
      <w:pPr>
        <w:pStyle w:val="13"/>
        <w:ind w:firstLine="480"/>
        <w:rPr>
          <w:color w:val="0000FF"/>
        </w:rPr>
      </w:pPr>
      <w:r>
        <w:rPr>
          <w:color w:val="0000FF"/>
        </w:rPr>
        <w:t>（</w:t>
      </w:r>
      <w:r>
        <w:rPr>
          <w:rFonts w:hint="eastAsia"/>
          <w:color w:val="0000FF"/>
        </w:rPr>
        <w:t>2</w:t>
      </w:r>
      <w:r>
        <w:rPr>
          <w:color w:val="0000FF"/>
        </w:rPr>
        <w:t>）本项目选址不属于全国水土保持监测网络中的水土保持监测站点、重点试验区，不在国家划定的水土流失重点治理成果区内，也不属于地质灾害易发区，工程选址和布局无水土保持的限制性因素。</w:t>
      </w:r>
    </w:p>
    <w:p w:rsidR="006C378F" w:rsidRDefault="00E12213">
      <w:pPr>
        <w:pStyle w:val="13"/>
        <w:ind w:firstLine="480"/>
        <w:rPr>
          <w:color w:val="0000FF"/>
        </w:rPr>
      </w:pPr>
      <w:r>
        <w:rPr>
          <w:color w:val="0000FF"/>
          <w:kern w:val="0"/>
        </w:rPr>
        <w:t>（</w:t>
      </w:r>
      <w:r>
        <w:rPr>
          <w:rFonts w:hint="eastAsia"/>
          <w:color w:val="0000FF"/>
          <w:kern w:val="0"/>
        </w:rPr>
        <w:t>3</w:t>
      </w:r>
      <w:r>
        <w:rPr>
          <w:color w:val="0000FF"/>
          <w:kern w:val="0"/>
        </w:rPr>
        <w:t>）</w:t>
      </w:r>
      <w:r>
        <w:rPr>
          <w:color w:val="0000FF"/>
        </w:rPr>
        <w:t>项目占地总面积为</w:t>
      </w:r>
      <w:r>
        <w:rPr>
          <w:rFonts w:hint="eastAsia"/>
          <w:color w:val="0000FF"/>
        </w:rPr>
        <w:t>0.80</w:t>
      </w:r>
      <w:r>
        <w:rPr>
          <w:color w:val="0000FF"/>
        </w:rPr>
        <w:t>hm</w:t>
      </w:r>
      <w:r>
        <w:rPr>
          <w:color w:val="0000FF"/>
          <w:vertAlign w:val="superscript"/>
        </w:rPr>
        <w:t>2</w:t>
      </w:r>
      <w:r>
        <w:rPr>
          <w:color w:val="0000FF"/>
        </w:rPr>
        <w:t>，均为永久占地。</w:t>
      </w:r>
    </w:p>
    <w:p w:rsidR="006C378F" w:rsidRDefault="00E12213">
      <w:pPr>
        <w:pStyle w:val="13"/>
        <w:ind w:firstLine="480"/>
        <w:rPr>
          <w:color w:val="0000FF"/>
          <w:szCs w:val="22"/>
        </w:rPr>
      </w:pPr>
      <w:r>
        <w:rPr>
          <w:color w:val="0000FF"/>
          <w:szCs w:val="22"/>
        </w:rPr>
        <w:t>（</w:t>
      </w:r>
      <w:r>
        <w:rPr>
          <w:rFonts w:hint="eastAsia"/>
          <w:color w:val="0000FF"/>
          <w:szCs w:val="22"/>
        </w:rPr>
        <w:t>4</w:t>
      </w:r>
      <w:r>
        <w:rPr>
          <w:color w:val="0000FF"/>
          <w:szCs w:val="22"/>
        </w:rPr>
        <w:t>）项目水土流失防治责任范围面积</w:t>
      </w:r>
      <w:r>
        <w:rPr>
          <w:rFonts w:hint="eastAsia"/>
          <w:color w:val="0000FF"/>
          <w:szCs w:val="22"/>
        </w:rPr>
        <w:t>0.80</w:t>
      </w:r>
      <w:r>
        <w:rPr>
          <w:color w:val="0000FF"/>
          <w:szCs w:val="22"/>
        </w:rPr>
        <w:t>hm2</w:t>
      </w:r>
      <w:r>
        <w:rPr>
          <w:color w:val="0000FF"/>
          <w:szCs w:val="22"/>
        </w:rPr>
        <w:t>，全部为项目建设区。</w:t>
      </w:r>
    </w:p>
    <w:p w:rsidR="006C378F" w:rsidRDefault="00E12213">
      <w:pPr>
        <w:spacing w:line="360" w:lineRule="auto"/>
        <w:ind w:firstLineChars="200" w:firstLine="480"/>
        <w:rPr>
          <w:szCs w:val="22"/>
        </w:rPr>
      </w:pPr>
      <w:r>
        <w:rPr>
          <w:color w:val="0000FF"/>
          <w:szCs w:val="22"/>
        </w:rPr>
        <w:t>（</w:t>
      </w:r>
      <w:r>
        <w:rPr>
          <w:rFonts w:hint="eastAsia"/>
          <w:color w:val="0000FF"/>
          <w:szCs w:val="22"/>
        </w:rPr>
        <w:t>5</w:t>
      </w:r>
      <w:r>
        <w:rPr>
          <w:color w:val="0000FF"/>
          <w:szCs w:val="22"/>
        </w:rPr>
        <w:t>）本项目为已完工项目，项目施工过程中重视水土保持要求，考虑</w:t>
      </w:r>
      <w:r>
        <w:rPr>
          <w:rFonts w:hint="eastAsia"/>
          <w:color w:val="0000FF"/>
          <w:szCs w:val="22"/>
        </w:rPr>
        <w:t>并布设了</w:t>
      </w:r>
      <w:r>
        <w:rPr>
          <w:color w:val="0000FF"/>
          <w:szCs w:val="22"/>
        </w:rPr>
        <w:t>具有水土保持功能的</w:t>
      </w:r>
      <w:r>
        <w:rPr>
          <w:rFonts w:hint="eastAsia"/>
          <w:color w:val="0000FF"/>
          <w:szCs w:val="22"/>
        </w:rPr>
        <w:t>措施</w:t>
      </w:r>
      <w:r>
        <w:rPr>
          <w:color w:val="0000FF"/>
          <w:szCs w:val="22"/>
        </w:rPr>
        <w:t>，主要包括布设雨水管、景观绿化、临时拦挡、遮盖和其它临时排水工程，经现场踏勘，现场排水</w:t>
      </w:r>
      <w:r>
        <w:rPr>
          <w:rFonts w:hint="eastAsia"/>
          <w:color w:val="0000FF"/>
          <w:szCs w:val="22"/>
        </w:rPr>
        <w:t>、景观绿化</w:t>
      </w:r>
      <w:r>
        <w:rPr>
          <w:color w:val="0000FF"/>
          <w:szCs w:val="22"/>
        </w:rPr>
        <w:t>等水保设施完善，不存在水土流失遗留问题，水土保持措施已经具有较高的水土保持功能，符合水土保持要求，因此本方案不再补充水土保持措施</w:t>
      </w:r>
      <w:r>
        <w:rPr>
          <w:szCs w:val="22"/>
        </w:rPr>
        <w:t>。</w:t>
      </w:r>
    </w:p>
    <w:p w:rsidR="006C378F" w:rsidRDefault="00E12213">
      <w:pPr>
        <w:pStyle w:val="2"/>
      </w:pPr>
      <w:bookmarkStart w:id="244" w:name="_Toc2216"/>
      <w:bookmarkStart w:id="245" w:name="_Toc3363"/>
      <w:r>
        <w:t>9.2</w:t>
      </w:r>
      <w:bookmarkEnd w:id="244"/>
      <w:r>
        <w:rPr>
          <w:rFonts w:hint="eastAsia"/>
        </w:rPr>
        <w:t>建议</w:t>
      </w:r>
      <w:bookmarkEnd w:id="245"/>
    </w:p>
    <w:p w:rsidR="006C378F" w:rsidRDefault="00E12213">
      <w:pPr>
        <w:spacing w:line="360" w:lineRule="auto"/>
        <w:ind w:firstLineChars="200" w:firstLine="480"/>
      </w:pPr>
      <w:r>
        <w:rPr>
          <w:rFonts w:hint="eastAsia"/>
        </w:rPr>
        <w:t>在项目建设过程中，建立水土保持方面的规章制度，加强对施工单位的监督管理，严格按照批复的水土保持方案要求开展工作，将工程建设造成的水土流失降到最低限度。</w:t>
      </w:r>
    </w:p>
    <w:p w:rsidR="006C378F" w:rsidRDefault="00E12213">
      <w:pPr>
        <w:spacing w:line="360" w:lineRule="auto"/>
        <w:ind w:firstLineChars="200" w:firstLine="480"/>
      </w:pPr>
      <w:r>
        <w:rPr>
          <w:rFonts w:hint="eastAsia"/>
        </w:rPr>
        <w:t>项目负责单位应自觉接受当地水土保持监督部门的监督检查。方案设计改变时，应报原批准机关批准，并及时通知当地水土保持部门。</w:t>
      </w:r>
    </w:p>
    <w:p w:rsidR="006C378F" w:rsidRDefault="00E12213">
      <w:pPr>
        <w:spacing w:line="360" w:lineRule="auto"/>
        <w:ind w:firstLineChars="200" w:firstLine="480"/>
      </w:pPr>
      <w:r>
        <w:rPr>
          <w:rFonts w:hint="eastAsia"/>
        </w:rPr>
        <w:t>根据《国务院关于取消一批行政许可事项的决定》（国发</w:t>
      </w:r>
      <w:r>
        <w:t>[2017]46</w:t>
      </w:r>
      <w:r>
        <w:rPr>
          <w:rFonts w:hint="eastAsia"/>
        </w:rPr>
        <w:t>号），项目投产使用前，业主应依据经批复的水土保持方案及批复意见，组织第三方机构编制水土保持设施验收报告，向社会公开并向水土保持方案审批机关报备。</w:t>
      </w:r>
    </w:p>
    <w:p w:rsidR="006C378F" w:rsidRDefault="00E12213">
      <w:pPr>
        <w:pStyle w:val="af1"/>
        <w:ind w:firstLine="480"/>
      </w:pPr>
      <w:r>
        <w:t>1</w:t>
      </w:r>
      <w:r>
        <w:t>）业主要与项目所在地水行政主管部门及其上级部门密切配合，认真听取他们对项目水土保持工作的建议，加强管理，在今后的开发建设项目上严格按照水土保持法要求开展工作，落实好水土保持措施。</w:t>
      </w:r>
      <w:r>
        <w:t xml:space="preserve"> </w:t>
      </w:r>
    </w:p>
    <w:p w:rsidR="006C378F" w:rsidRDefault="00E12213">
      <w:pPr>
        <w:pStyle w:val="af1"/>
        <w:ind w:firstLine="480"/>
      </w:pPr>
      <w:bookmarkStart w:id="246" w:name="OLE_LINK19"/>
      <w:r>
        <w:t>2</w:t>
      </w:r>
      <w:r>
        <w:t>）业主应进一步强化水土保持生态环境保护意识，切实按照有关法律法规的要求，规范行为，完善程序，建设单位后续建设中必须确保三同时后续的环节</w:t>
      </w:r>
      <w:r>
        <w:lastRenderedPageBreak/>
        <w:t>能得到落实。</w:t>
      </w:r>
    </w:p>
    <w:p w:rsidR="006C378F" w:rsidRDefault="00E12213">
      <w:pPr>
        <w:pStyle w:val="af1"/>
        <w:ind w:firstLine="480"/>
      </w:pPr>
      <w:r>
        <w:t>3</w:t>
      </w:r>
      <w:r>
        <w:t>）方案批复后，业主单位必须及时缴纳项目水土保持补偿费。</w:t>
      </w:r>
    </w:p>
    <w:bookmarkEnd w:id="246"/>
    <w:p w:rsidR="006C378F" w:rsidRDefault="00E12213">
      <w:pPr>
        <w:pStyle w:val="af1"/>
        <w:ind w:firstLine="480"/>
      </w:pPr>
      <w:r>
        <w:rPr>
          <w:rFonts w:hint="eastAsia"/>
          <w:color w:val="0000FF"/>
        </w:rPr>
        <w:t>4</w:t>
      </w:r>
      <w:r>
        <w:rPr>
          <w:rFonts w:hint="eastAsia"/>
          <w:color w:val="0000FF"/>
        </w:rPr>
        <w:t>）</w:t>
      </w:r>
      <w:r>
        <w:rPr>
          <w:color w:val="0000FF"/>
        </w:rPr>
        <w:t>按照《四川省水利厅转发水利部关于加强事中事后监管规范生产建设项目水土保持设施自主验收的通知》（川水函</w:t>
      </w:r>
      <w:r>
        <w:rPr>
          <w:color w:val="0000FF"/>
        </w:rPr>
        <w:t>[2018]887</w:t>
      </w:r>
      <w:r>
        <w:rPr>
          <w:color w:val="0000FF"/>
        </w:rPr>
        <w:t>号）</w:t>
      </w:r>
      <w:r>
        <w:rPr>
          <w:rFonts w:hint="eastAsia"/>
          <w:color w:val="0000FF"/>
        </w:rPr>
        <w:t>和《水利部办公厅关于印发生产建设项目水土保持监督管理办法的通知》（办水保</w:t>
      </w:r>
      <w:r>
        <w:rPr>
          <w:rFonts w:hint="eastAsia"/>
          <w:color w:val="0000FF"/>
        </w:rPr>
        <w:t>[2019]172</w:t>
      </w:r>
      <w:r>
        <w:rPr>
          <w:rFonts w:hint="eastAsia"/>
          <w:color w:val="0000FF"/>
        </w:rPr>
        <w:t>号文）的</w:t>
      </w:r>
      <w:r>
        <w:rPr>
          <w:color w:val="0000FF"/>
        </w:rPr>
        <w:t>要求</w:t>
      </w:r>
      <w:r>
        <w:rPr>
          <w:rFonts w:hint="eastAsia"/>
          <w:color w:val="0000FF"/>
        </w:rPr>
        <w:t>做好</w:t>
      </w:r>
      <w:r>
        <w:rPr>
          <w:color w:val="0000FF"/>
        </w:rPr>
        <w:t>水土保持设施的专项验收</w:t>
      </w:r>
      <w:r>
        <w:t>。</w:t>
      </w:r>
    </w:p>
    <w:sectPr w:rsidR="006C378F">
      <w:footerReference w:type="default" r:id="rId2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65CF8" w:rsidRDefault="00365CF8">
      <w:r>
        <w:separator/>
      </w:r>
    </w:p>
  </w:endnote>
  <w:endnote w:type="continuationSeparator" w:id="0">
    <w:p w:rsidR="00365CF8" w:rsidRDefault="00365C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altName w:val="仿宋"/>
    <w:charset w:val="86"/>
    <w:family w:val="modern"/>
    <w:pitch w:val="default"/>
    <w:sig w:usb0="00000001" w:usb1="080E0000" w:usb2="00000000" w:usb3="00000000" w:csb0="00040000" w:csb1="00000000"/>
  </w:font>
  <w:font w:name="Courier New">
    <w:panose1 w:val="02070309020205020404"/>
    <w:charset w:val="00"/>
    <w:family w:val="modern"/>
    <w:pitch w:val="fixed"/>
    <w:sig w:usb0="E0002AFF" w:usb1="C0007843" w:usb2="00000009" w:usb3="00000000" w:csb0="000001FF" w:csb1="00000000"/>
  </w:font>
  <w:font w:name="等线">
    <w:altName w:val="Arial Unicode MS"/>
    <w:charset w:val="86"/>
    <w:family w:val="auto"/>
    <w:pitch w:val="default"/>
    <w:sig w:usb0="00000000" w:usb1="38CF7CFA" w:usb2="00000016" w:usb3="00000000" w:csb0="0004000F" w:csb1="00000000"/>
  </w:font>
  <w:font w:name="Calibri">
    <w:panose1 w:val="020F0502020204030204"/>
    <w:charset w:val="00"/>
    <w:family w:val="swiss"/>
    <w:pitch w:val="variable"/>
    <w:sig w:usb0="E10002FF" w:usb1="4000ACFF" w:usb2="00000009" w:usb3="00000000" w:csb0="0000019F"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378F" w:rsidRDefault="00E12213">
    <w:pPr>
      <w:pStyle w:val="a8"/>
      <w:ind w:firstLine="360"/>
      <w:jc w:val="right"/>
      <w:rPr>
        <w:rFonts w:ascii="仿宋_GB2312" w:hAnsi="仿宋_GB2312" w:cs="仿宋_GB2312"/>
        <w:sz w:val="21"/>
        <w:szCs w:val="21"/>
      </w:rPr>
    </w:pPr>
    <w:r>
      <w:rPr>
        <w:noProof/>
        <w:sz w:val="21"/>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6C378F" w:rsidRDefault="00E12213">
                          <w:pPr>
                            <w:pStyle w:val="a8"/>
                            <w:rPr>
                              <w:rFonts w:eastAsia="宋体"/>
                            </w:rPr>
                          </w:pPr>
                          <w:r>
                            <w:rPr>
                              <w:rFonts w:hint="eastAsia"/>
                            </w:rPr>
                            <w:fldChar w:fldCharType="begin"/>
                          </w:r>
                          <w:r>
                            <w:rPr>
                              <w:rFonts w:hint="eastAsia"/>
                            </w:rPr>
                            <w:instrText xml:space="preserve"> PAGE  \* MERGEFORMAT </w:instrText>
                          </w:r>
                          <w:r>
                            <w:rPr>
                              <w:rFonts w:hint="eastAsia"/>
                            </w:rPr>
                            <w:fldChar w:fldCharType="separate"/>
                          </w:r>
                          <w:r w:rsidR="003870A8">
                            <w:rPr>
                              <w:noProof/>
                            </w:rPr>
                            <w:t>37</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7" o:spid="_x0000_s1026"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" filled="f" stroked="f" strokeweight=".5pt">
              <v:textbox style="mso-fit-shape-to-text:t" inset="0,0,0,0">
                <w:txbxContent>
                  <w:p w:rsidR="006C378F" w:rsidRDefault="00E12213">
                    <w:pPr>
                      <w:pStyle w:val="a8"/>
                      <w:rPr>
                        <w:rFonts w:eastAsia="宋体"/>
                      </w:rPr>
                    </w:pPr>
                    <w:r>
                      <w:rPr>
                        <w:rFonts w:hint="eastAsia"/>
                      </w:rPr>
                      <w:fldChar w:fldCharType="begin"/>
                    </w:r>
                    <w:r>
                      <w:rPr>
                        <w:rFonts w:hint="eastAsia"/>
                      </w:rPr>
                      <w:instrText xml:space="preserve"> PAGE  \* MERGEFORMAT </w:instrText>
                    </w:r>
                    <w:r>
                      <w:rPr>
                        <w:rFonts w:hint="eastAsia"/>
                      </w:rPr>
                      <w:fldChar w:fldCharType="separate"/>
                    </w:r>
                    <w:r w:rsidR="003870A8">
                      <w:rPr>
                        <w:noProof/>
                      </w:rPr>
                      <w:t>37</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65CF8" w:rsidRDefault="00365CF8">
      <w:r>
        <w:separator/>
      </w:r>
    </w:p>
  </w:footnote>
  <w:footnote w:type="continuationSeparator" w:id="0">
    <w:p w:rsidR="00365CF8" w:rsidRDefault="00365CF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378F" w:rsidRDefault="00E12213">
    <w:pPr>
      <w:pStyle w:val="a9"/>
      <w:jc w:val="left"/>
      <w:rPr>
        <w:sz w:val="21"/>
        <w:szCs w:val="22"/>
      </w:rPr>
    </w:pPr>
    <w:r>
      <w:rPr>
        <w:rFonts w:hint="eastAsia"/>
        <w:sz w:val="21"/>
        <w:szCs w:val="22"/>
      </w:rPr>
      <w:t>仪陇县马鞍镇（朝堂路）停车场工程</w:t>
    </w:r>
    <w:r>
      <w:rPr>
        <w:rFonts w:hint="eastAsia"/>
        <w:sz w:val="21"/>
        <w:szCs w:val="22"/>
      </w:rPr>
      <w:t xml:space="preserve">                              </w:t>
    </w:r>
    <w:r>
      <w:rPr>
        <w:rFonts w:hint="eastAsia"/>
        <w:sz w:val="21"/>
        <w:szCs w:val="22"/>
      </w:rPr>
      <w:t>水土保持方案报告表</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378F" w:rsidRDefault="00E12213">
    <w:pPr>
      <w:pStyle w:val="a9"/>
      <w:jc w:val="left"/>
      <w:rPr>
        <w:sz w:val="21"/>
        <w:szCs w:val="22"/>
      </w:rPr>
    </w:pPr>
    <w:r>
      <w:rPr>
        <w:rFonts w:hint="eastAsia"/>
        <w:sz w:val="21"/>
        <w:szCs w:val="22"/>
      </w:rPr>
      <w:t>仪陇县马鞍镇许家湾棚户区改造项目</w:t>
    </w:r>
    <w:r>
      <w:rPr>
        <w:rFonts w:hint="eastAsia"/>
        <w:sz w:val="21"/>
        <w:szCs w:val="22"/>
      </w:rPr>
      <w:t xml:space="preserve">                          </w:t>
    </w:r>
    <w:r>
      <w:rPr>
        <w:sz w:val="24"/>
        <w:szCs w:val="16"/>
      </w:rPr>
      <w:t>水土保持方案报告表</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5807594"/>
    <w:multiLevelType w:val="singleLevel"/>
    <w:tmpl w:val="F5807594"/>
    <w:lvl w:ilvl="0">
      <w:start w:val="1"/>
      <w:numFmt w:val="decimal"/>
      <w:pStyle w:val="5"/>
      <w:lvlText w:val="%1."/>
      <w:lvlJc w:val="left"/>
      <w:pPr>
        <w:tabs>
          <w:tab w:val="left" w:pos="2040"/>
        </w:tabs>
        <w:ind w:left="2040" w:hanging="360"/>
      </w:pPr>
    </w:lvl>
  </w:abstractNum>
  <w:abstractNum w:abstractNumId="1">
    <w:nsid w:val="0000000D"/>
    <w:multiLevelType w:val="multilevel"/>
    <w:tmpl w:val="0000000D"/>
    <w:lvl w:ilvl="0">
      <w:start w:val="1"/>
      <w:numFmt w:val="decimal"/>
      <w:isLgl/>
      <w:lvlText w:val="%1"/>
      <w:lvlJc w:val="left"/>
      <w:pPr>
        <w:tabs>
          <w:tab w:val="left" w:pos="454"/>
        </w:tabs>
        <w:ind w:left="432" w:hanging="432"/>
      </w:pPr>
      <w:rPr>
        <w:rFonts w:ascii="黑体" w:eastAsia="黑体" w:hint="eastAsia"/>
        <w:b w:val="0"/>
        <w:i w:val="0"/>
        <w:sz w:val="28"/>
        <w:szCs w:val="28"/>
      </w:rPr>
    </w:lvl>
    <w:lvl w:ilvl="1">
      <w:start w:val="1"/>
      <w:numFmt w:val="decimal"/>
      <w:isLgl/>
      <w:lvlText w:val="%1.%2"/>
      <w:lvlJc w:val="left"/>
      <w:pPr>
        <w:tabs>
          <w:tab w:val="left" w:pos="794"/>
        </w:tabs>
        <w:ind w:left="0" w:firstLine="0"/>
      </w:pPr>
      <w:rPr>
        <w:rFonts w:ascii="黑体" w:eastAsia="黑体" w:hint="eastAsia"/>
        <w:b w:val="0"/>
        <w:i w:val="0"/>
        <w:sz w:val="28"/>
        <w:szCs w:val="28"/>
      </w:rPr>
    </w:lvl>
    <w:lvl w:ilvl="2">
      <w:start w:val="1"/>
      <w:numFmt w:val="decimal"/>
      <w:isLgl/>
      <w:lvlText w:val="%1.%2.%3"/>
      <w:lvlJc w:val="left"/>
      <w:pPr>
        <w:tabs>
          <w:tab w:val="left" w:pos="964"/>
        </w:tabs>
        <w:ind w:left="720" w:hanging="720"/>
      </w:pPr>
    </w:lvl>
    <w:lvl w:ilvl="3">
      <w:start w:val="1"/>
      <w:numFmt w:val="decimal"/>
      <w:pStyle w:val="4"/>
      <w:isLgl/>
      <w:lvlText w:val="%1.%2.%3.%4"/>
      <w:lvlJc w:val="left"/>
      <w:pPr>
        <w:tabs>
          <w:tab w:val="left" w:pos="1224"/>
        </w:tabs>
        <w:ind w:left="1224" w:hanging="864"/>
      </w:pPr>
    </w:lvl>
    <w:lvl w:ilvl="4">
      <w:start w:val="1"/>
      <w:numFmt w:val="decimal"/>
      <w:lvlRestart w:val="2"/>
      <w:isLgl/>
      <w:lvlText w:val="表%1.%2-%5"/>
      <w:lvlJc w:val="left"/>
      <w:pPr>
        <w:tabs>
          <w:tab w:val="left" w:pos="1008"/>
        </w:tabs>
        <w:ind w:left="1008" w:hanging="1008"/>
      </w:pPr>
      <w:rPr>
        <w:color w:val="auto"/>
      </w:rPr>
    </w:lvl>
    <w:lvl w:ilvl="5">
      <w:start w:val="1"/>
      <w:numFmt w:val="decimal"/>
      <w:lvlRestart w:val="2"/>
      <w:isLgl/>
      <w:lvlText w:val="图%1.%2-%6"/>
      <w:lvlJc w:val="left"/>
      <w:pPr>
        <w:tabs>
          <w:tab w:val="left" w:pos="1077"/>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HorizontalSpacing w:val="120"/>
  <w:drawingGridVerticalSpacing w:val="163"/>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B150471"/>
    <w:rsid w:val="0000365A"/>
    <w:rsid w:val="00024DA7"/>
    <w:rsid w:val="0004729F"/>
    <w:rsid w:val="0005027D"/>
    <w:rsid w:val="00056465"/>
    <w:rsid w:val="00084474"/>
    <w:rsid w:val="000A4CAD"/>
    <w:rsid w:val="000A71BB"/>
    <w:rsid w:val="000C6D41"/>
    <w:rsid w:val="000D4278"/>
    <w:rsid w:val="000D5D15"/>
    <w:rsid w:val="00106E5E"/>
    <w:rsid w:val="001273B1"/>
    <w:rsid w:val="0013606D"/>
    <w:rsid w:val="00146EED"/>
    <w:rsid w:val="0015022B"/>
    <w:rsid w:val="001534FB"/>
    <w:rsid w:val="00171C9F"/>
    <w:rsid w:val="001A0D08"/>
    <w:rsid w:val="001B178C"/>
    <w:rsid w:val="001B27C8"/>
    <w:rsid w:val="001C4FC8"/>
    <w:rsid w:val="001D1B07"/>
    <w:rsid w:val="001F2783"/>
    <w:rsid w:val="001F5084"/>
    <w:rsid w:val="002159CA"/>
    <w:rsid w:val="00236558"/>
    <w:rsid w:val="002501C5"/>
    <w:rsid w:val="002518B9"/>
    <w:rsid w:val="002537C8"/>
    <w:rsid w:val="00262375"/>
    <w:rsid w:val="00264B6E"/>
    <w:rsid w:val="00273462"/>
    <w:rsid w:val="002771BD"/>
    <w:rsid w:val="00280136"/>
    <w:rsid w:val="00281941"/>
    <w:rsid w:val="002913D1"/>
    <w:rsid w:val="002926CD"/>
    <w:rsid w:val="002C11AC"/>
    <w:rsid w:val="002F2538"/>
    <w:rsid w:val="002F41A2"/>
    <w:rsid w:val="002F7A11"/>
    <w:rsid w:val="0031676F"/>
    <w:rsid w:val="00317AF2"/>
    <w:rsid w:val="00333515"/>
    <w:rsid w:val="00336BFA"/>
    <w:rsid w:val="00337960"/>
    <w:rsid w:val="00347547"/>
    <w:rsid w:val="00365CF8"/>
    <w:rsid w:val="003870A8"/>
    <w:rsid w:val="00392FBF"/>
    <w:rsid w:val="003A022A"/>
    <w:rsid w:val="003A6299"/>
    <w:rsid w:val="003C184D"/>
    <w:rsid w:val="003D262F"/>
    <w:rsid w:val="003E4EB9"/>
    <w:rsid w:val="003F12DD"/>
    <w:rsid w:val="003F2872"/>
    <w:rsid w:val="003F429A"/>
    <w:rsid w:val="003F5D46"/>
    <w:rsid w:val="004125B7"/>
    <w:rsid w:val="004304A8"/>
    <w:rsid w:val="0044262E"/>
    <w:rsid w:val="00447429"/>
    <w:rsid w:val="00452610"/>
    <w:rsid w:val="00452DE3"/>
    <w:rsid w:val="004804CE"/>
    <w:rsid w:val="00494B1F"/>
    <w:rsid w:val="00495916"/>
    <w:rsid w:val="004A27A1"/>
    <w:rsid w:val="004B5EBB"/>
    <w:rsid w:val="004B64C4"/>
    <w:rsid w:val="004D21AE"/>
    <w:rsid w:val="004E773B"/>
    <w:rsid w:val="004F1428"/>
    <w:rsid w:val="00505A25"/>
    <w:rsid w:val="00514F75"/>
    <w:rsid w:val="0054167C"/>
    <w:rsid w:val="005476DC"/>
    <w:rsid w:val="005609D9"/>
    <w:rsid w:val="00580FA8"/>
    <w:rsid w:val="005849DA"/>
    <w:rsid w:val="00586EAD"/>
    <w:rsid w:val="005C5505"/>
    <w:rsid w:val="005C6E1E"/>
    <w:rsid w:val="005C6F8A"/>
    <w:rsid w:val="005D539C"/>
    <w:rsid w:val="005D6675"/>
    <w:rsid w:val="00640E3D"/>
    <w:rsid w:val="006446C4"/>
    <w:rsid w:val="006459AD"/>
    <w:rsid w:val="00646269"/>
    <w:rsid w:val="006A681D"/>
    <w:rsid w:val="006B1DFB"/>
    <w:rsid w:val="006C378F"/>
    <w:rsid w:val="006D34C0"/>
    <w:rsid w:val="00705AB3"/>
    <w:rsid w:val="007148FE"/>
    <w:rsid w:val="00714E5C"/>
    <w:rsid w:val="00723D8D"/>
    <w:rsid w:val="007339EA"/>
    <w:rsid w:val="00736588"/>
    <w:rsid w:val="0073674D"/>
    <w:rsid w:val="00797E96"/>
    <w:rsid w:val="007A5B30"/>
    <w:rsid w:val="007C6A34"/>
    <w:rsid w:val="007D636A"/>
    <w:rsid w:val="007D709C"/>
    <w:rsid w:val="007F1101"/>
    <w:rsid w:val="008043B3"/>
    <w:rsid w:val="00846B62"/>
    <w:rsid w:val="008535B8"/>
    <w:rsid w:val="008734B7"/>
    <w:rsid w:val="00880F04"/>
    <w:rsid w:val="00885D5F"/>
    <w:rsid w:val="008867E2"/>
    <w:rsid w:val="00897A38"/>
    <w:rsid w:val="008F2C20"/>
    <w:rsid w:val="00916F94"/>
    <w:rsid w:val="00927A23"/>
    <w:rsid w:val="009615B6"/>
    <w:rsid w:val="00964939"/>
    <w:rsid w:val="00991FA8"/>
    <w:rsid w:val="009A327D"/>
    <w:rsid w:val="009A32B2"/>
    <w:rsid w:val="009A40FA"/>
    <w:rsid w:val="009B30CD"/>
    <w:rsid w:val="009C4EE6"/>
    <w:rsid w:val="009C61BA"/>
    <w:rsid w:val="009C634E"/>
    <w:rsid w:val="009D3450"/>
    <w:rsid w:val="009F0724"/>
    <w:rsid w:val="00A06285"/>
    <w:rsid w:val="00A10056"/>
    <w:rsid w:val="00A1163D"/>
    <w:rsid w:val="00A16BD1"/>
    <w:rsid w:val="00A22457"/>
    <w:rsid w:val="00A23742"/>
    <w:rsid w:val="00A35C72"/>
    <w:rsid w:val="00A87055"/>
    <w:rsid w:val="00A92411"/>
    <w:rsid w:val="00A93625"/>
    <w:rsid w:val="00AA47A7"/>
    <w:rsid w:val="00AB6877"/>
    <w:rsid w:val="00AD5E1F"/>
    <w:rsid w:val="00AD75B1"/>
    <w:rsid w:val="00AE4FAA"/>
    <w:rsid w:val="00B16964"/>
    <w:rsid w:val="00B24A0A"/>
    <w:rsid w:val="00B62B9D"/>
    <w:rsid w:val="00B7413F"/>
    <w:rsid w:val="00BA77D6"/>
    <w:rsid w:val="00BB7DD6"/>
    <w:rsid w:val="00BC11BE"/>
    <w:rsid w:val="00BC6F90"/>
    <w:rsid w:val="00BE5644"/>
    <w:rsid w:val="00BF4802"/>
    <w:rsid w:val="00C341F2"/>
    <w:rsid w:val="00C51CD9"/>
    <w:rsid w:val="00C52E1A"/>
    <w:rsid w:val="00C5442B"/>
    <w:rsid w:val="00C6332B"/>
    <w:rsid w:val="00C6430D"/>
    <w:rsid w:val="00C9236E"/>
    <w:rsid w:val="00CA34E9"/>
    <w:rsid w:val="00CB75FA"/>
    <w:rsid w:val="00CC7524"/>
    <w:rsid w:val="00CE6805"/>
    <w:rsid w:val="00D076D5"/>
    <w:rsid w:val="00D34CE2"/>
    <w:rsid w:val="00D378CB"/>
    <w:rsid w:val="00D46F9D"/>
    <w:rsid w:val="00D50C8A"/>
    <w:rsid w:val="00D80EFC"/>
    <w:rsid w:val="00D833B8"/>
    <w:rsid w:val="00DA6357"/>
    <w:rsid w:val="00DB24B2"/>
    <w:rsid w:val="00DD2288"/>
    <w:rsid w:val="00E10E63"/>
    <w:rsid w:val="00E12213"/>
    <w:rsid w:val="00E33266"/>
    <w:rsid w:val="00E33E4C"/>
    <w:rsid w:val="00E362C8"/>
    <w:rsid w:val="00E41682"/>
    <w:rsid w:val="00E57B18"/>
    <w:rsid w:val="00E611BC"/>
    <w:rsid w:val="00EB3826"/>
    <w:rsid w:val="00EB7B85"/>
    <w:rsid w:val="00EC367D"/>
    <w:rsid w:val="00EC4AD8"/>
    <w:rsid w:val="00ED4803"/>
    <w:rsid w:val="00EF74FD"/>
    <w:rsid w:val="00F12DC7"/>
    <w:rsid w:val="00F144E9"/>
    <w:rsid w:val="00F33791"/>
    <w:rsid w:val="00F35D09"/>
    <w:rsid w:val="00F51F33"/>
    <w:rsid w:val="00F7553F"/>
    <w:rsid w:val="00F80C75"/>
    <w:rsid w:val="00F84A32"/>
    <w:rsid w:val="00FA69B7"/>
    <w:rsid w:val="00FC27E1"/>
    <w:rsid w:val="00FD31B3"/>
    <w:rsid w:val="00FE237D"/>
    <w:rsid w:val="00FE598F"/>
    <w:rsid w:val="00FF6217"/>
    <w:rsid w:val="01384A1D"/>
    <w:rsid w:val="02217791"/>
    <w:rsid w:val="030D5CD8"/>
    <w:rsid w:val="031975FC"/>
    <w:rsid w:val="04102AC1"/>
    <w:rsid w:val="04441F35"/>
    <w:rsid w:val="04714F92"/>
    <w:rsid w:val="04A06E8F"/>
    <w:rsid w:val="05247458"/>
    <w:rsid w:val="05554CC3"/>
    <w:rsid w:val="057B31F1"/>
    <w:rsid w:val="05B67E1C"/>
    <w:rsid w:val="06503782"/>
    <w:rsid w:val="06B50E15"/>
    <w:rsid w:val="06C73F10"/>
    <w:rsid w:val="0707027B"/>
    <w:rsid w:val="0756493E"/>
    <w:rsid w:val="07E25605"/>
    <w:rsid w:val="07F05746"/>
    <w:rsid w:val="081C0F7E"/>
    <w:rsid w:val="083B4CF6"/>
    <w:rsid w:val="086B0758"/>
    <w:rsid w:val="086F65A5"/>
    <w:rsid w:val="09450156"/>
    <w:rsid w:val="09DF1708"/>
    <w:rsid w:val="0A6F047A"/>
    <w:rsid w:val="0ADD085C"/>
    <w:rsid w:val="0BAA589E"/>
    <w:rsid w:val="0BC830D3"/>
    <w:rsid w:val="0CD60D8E"/>
    <w:rsid w:val="0CE86FE6"/>
    <w:rsid w:val="0DFF7AB0"/>
    <w:rsid w:val="0E346A75"/>
    <w:rsid w:val="0E6940D9"/>
    <w:rsid w:val="0EBB29D2"/>
    <w:rsid w:val="0EF31B44"/>
    <w:rsid w:val="0F281687"/>
    <w:rsid w:val="0F30790E"/>
    <w:rsid w:val="0F375874"/>
    <w:rsid w:val="0F4A3D9B"/>
    <w:rsid w:val="0F7C6301"/>
    <w:rsid w:val="0FA92FCD"/>
    <w:rsid w:val="0FBE1D4C"/>
    <w:rsid w:val="102677F2"/>
    <w:rsid w:val="10760831"/>
    <w:rsid w:val="10B54463"/>
    <w:rsid w:val="10C02DF2"/>
    <w:rsid w:val="10ED7D07"/>
    <w:rsid w:val="11176C7B"/>
    <w:rsid w:val="11DE043A"/>
    <w:rsid w:val="11E91977"/>
    <w:rsid w:val="13713F32"/>
    <w:rsid w:val="137C4A78"/>
    <w:rsid w:val="13B73D35"/>
    <w:rsid w:val="13FC3D9B"/>
    <w:rsid w:val="14652843"/>
    <w:rsid w:val="1477779D"/>
    <w:rsid w:val="1529017A"/>
    <w:rsid w:val="152A6597"/>
    <w:rsid w:val="165C0EEA"/>
    <w:rsid w:val="168057AC"/>
    <w:rsid w:val="16C51EF9"/>
    <w:rsid w:val="16C83B1A"/>
    <w:rsid w:val="16E523B4"/>
    <w:rsid w:val="170B724A"/>
    <w:rsid w:val="171362B5"/>
    <w:rsid w:val="173C2830"/>
    <w:rsid w:val="1838519E"/>
    <w:rsid w:val="186969F7"/>
    <w:rsid w:val="1899167A"/>
    <w:rsid w:val="189E7323"/>
    <w:rsid w:val="18A62EB7"/>
    <w:rsid w:val="192E13E5"/>
    <w:rsid w:val="19406053"/>
    <w:rsid w:val="194824BB"/>
    <w:rsid w:val="19A347B2"/>
    <w:rsid w:val="1A5907D0"/>
    <w:rsid w:val="1AB83143"/>
    <w:rsid w:val="1B4B711B"/>
    <w:rsid w:val="1B623A73"/>
    <w:rsid w:val="1B7A416E"/>
    <w:rsid w:val="1BBE181B"/>
    <w:rsid w:val="1C09103E"/>
    <w:rsid w:val="1C3815D4"/>
    <w:rsid w:val="1C724F57"/>
    <w:rsid w:val="1D6A0962"/>
    <w:rsid w:val="1D726A71"/>
    <w:rsid w:val="1D9779A5"/>
    <w:rsid w:val="1E605BD5"/>
    <w:rsid w:val="1F563321"/>
    <w:rsid w:val="1FA42F99"/>
    <w:rsid w:val="20B8162E"/>
    <w:rsid w:val="231A4201"/>
    <w:rsid w:val="23561FB1"/>
    <w:rsid w:val="239D57D0"/>
    <w:rsid w:val="23B40FB4"/>
    <w:rsid w:val="23D64596"/>
    <w:rsid w:val="240654F8"/>
    <w:rsid w:val="243E52CD"/>
    <w:rsid w:val="24580705"/>
    <w:rsid w:val="24A347B8"/>
    <w:rsid w:val="24BF7BE7"/>
    <w:rsid w:val="24E12761"/>
    <w:rsid w:val="24EC7758"/>
    <w:rsid w:val="25E55123"/>
    <w:rsid w:val="260345A2"/>
    <w:rsid w:val="26484232"/>
    <w:rsid w:val="27B33FE4"/>
    <w:rsid w:val="281E7463"/>
    <w:rsid w:val="285824CE"/>
    <w:rsid w:val="28C77D47"/>
    <w:rsid w:val="292574ED"/>
    <w:rsid w:val="29731C68"/>
    <w:rsid w:val="298B1110"/>
    <w:rsid w:val="29D8470F"/>
    <w:rsid w:val="29D93B6C"/>
    <w:rsid w:val="29EB3D84"/>
    <w:rsid w:val="2A35648E"/>
    <w:rsid w:val="2A5F4808"/>
    <w:rsid w:val="2A6B2CCD"/>
    <w:rsid w:val="2AA70D57"/>
    <w:rsid w:val="2ACC5B38"/>
    <w:rsid w:val="2AED2771"/>
    <w:rsid w:val="2B096EFF"/>
    <w:rsid w:val="2B563FCB"/>
    <w:rsid w:val="2B6A2D92"/>
    <w:rsid w:val="2C605CB7"/>
    <w:rsid w:val="2CD24BBA"/>
    <w:rsid w:val="2D2C187F"/>
    <w:rsid w:val="2D7E3749"/>
    <w:rsid w:val="2E050E60"/>
    <w:rsid w:val="2EEC4EAC"/>
    <w:rsid w:val="2F5E6B71"/>
    <w:rsid w:val="2F6F2331"/>
    <w:rsid w:val="2FB46119"/>
    <w:rsid w:val="300261E3"/>
    <w:rsid w:val="30F11892"/>
    <w:rsid w:val="30FA37A7"/>
    <w:rsid w:val="31435EF9"/>
    <w:rsid w:val="31CD691C"/>
    <w:rsid w:val="32624EBF"/>
    <w:rsid w:val="33462E2F"/>
    <w:rsid w:val="344E53B3"/>
    <w:rsid w:val="34A40CAA"/>
    <w:rsid w:val="34ED31FD"/>
    <w:rsid w:val="35025433"/>
    <w:rsid w:val="35AC10E5"/>
    <w:rsid w:val="35F95D43"/>
    <w:rsid w:val="361C7A5A"/>
    <w:rsid w:val="3639195A"/>
    <w:rsid w:val="367351AF"/>
    <w:rsid w:val="36E06ACF"/>
    <w:rsid w:val="370E7962"/>
    <w:rsid w:val="374A21FF"/>
    <w:rsid w:val="3759403F"/>
    <w:rsid w:val="37815A20"/>
    <w:rsid w:val="37A1384F"/>
    <w:rsid w:val="385000D2"/>
    <w:rsid w:val="38632962"/>
    <w:rsid w:val="38635402"/>
    <w:rsid w:val="38807E19"/>
    <w:rsid w:val="38C61286"/>
    <w:rsid w:val="39173392"/>
    <w:rsid w:val="39285FB8"/>
    <w:rsid w:val="394D7448"/>
    <w:rsid w:val="3A7D0F97"/>
    <w:rsid w:val="3B6E3033"/>
    <w:rsid w:val="3B831D46"/>
    <w:rsid w:val="3B8A493E"/>
    <w:rsid w:val="3BE74548"/>
    <w:rsid w:val="3BFB75CF"/>
    <w:rsid w:val="3C747608"/>
    <w:rsid w:val="3C885FEA"/>
    <w:rsid w:val="3CAD0390"/>
    <w:rsid w:val="3D0A7D6D"/>
    <w:rsid w:val="3D745EB9"/>
    <w:rsid w:val="3D792857"/>
    <w:rsid w:val="3D8A6F3E"/>
    <w:rsid w:val="3DAA1B1F"/>
    <w:rsid w:val="3E220070"/>
    <w:rsid w:val="3EC908A3"/>
    <w:rsid w:val="3ECB6A21"/>
    <w:rsid w:val="3EDE5286"/>
    <w:rsid w:val="3EFD4119"/>
    <w:rsid w:val="3F137891"/>
    <w:rsid w:val="4079723A"/>
    <w:rsid w:val="41C33AAB"/>
    <w:rsid w:val="41D76CD1"/>
    <w:rsid w:val="41E1405C"/>
    <w:rsid w:val="41E86B30"/>
    <w:rsid w:val="41F229E8"/>
    <w:rsid w:val="41FB585E"/>
    <w:rsid w:val="4203284D"/>
    <w:rsid w:val="42042C05"/>
    <w:rsid w:val="4215733B"/>
    <w:rsid w:val="42200B3B"/>
    <w:rsid w:val="428A009B"/>
    <w:rsid w:val="428D4F27"/>
    <w:rsid w:val="42DB280A"/>
    <w:rsid w:val="43204403"/>
    <w:rsid w:val="4323183B"/>
    <w:rsid w:val="43A67B79"/>
    <w:rsid w:val="43C41767"/>
    <w:rsid w:val="443D760D"/>
    <w:rsid w:val="444F60D8"/>
    <w:rsid w:val="453D3EA7"/>
    <w:rsid w:val="45691774"/>
    <w:rsid w:val="45B32889"/>
    <w:rsid w:val="45CC2D35"/>
    <w:rsid w:val="46414540"/>
    <w:rsid w:val="474318E1"/>
    <w:rsid w:val="476526F9"/>
    <w:rsid w:val="47AB3A52"/>
    <w:rsid w:val="47B24202"/>
    <w:rsid w:val="483F3715"/>
    <w:rsid w:val="4883051D"/>
    <w:rsid w:val="48854572"/>
    <w:rsid w:val="48900411"/>
    <w:rsid w:val="48B9127F"/>
    <w:rsid w:val="496E4055"/>
    <w:rsid w:val="49993904"/>
    <w:rsid w:val="49C0310D"/>
    <w:rsid w:val="4A1A17C6"/>
    <w:rsid w:val="4AEC1F95"/>
    <w:rsid w:val="4C5B0523"/>
    <w:rsid w:val="4C607AFD"/>
    <w:rsid w:val="4CAB667D"/>
    <w:rsid w:val="4CD557C1"/>
    <w:rsid w:val="4CF25C99"/>
    <w:rsid w:val="4D9E0485"/>
    <w:rsid w:val="4DD62609"/>
    <w:rsid w:val="4E2B0DF4"/>
    <w:rsid w:val="4EAC1061"/>
    <w:rsid w:val="4EE87F2F"/>
    <w:rsid w:val="4F147ECD"/>
    <w:rsid w:val="4F471793"/>
    <w:rsid w:val="4FC72935"/>
    <w:rsid w:val="4FC763E9"/>
    <w:rsid w:val="50275685"/>
    <w:rsid w:val="50617B3D"/>
    <w:rsid w:val="50A6690A"/>
    <w:rsid w:val="50D50F1E"/>
    <w:rsid w:val="510E39E5"/>
    <w:rsid w:val="51B34C5D"/>
    <w:rsid w:val="522D61B1"/>
    <w:rsid w:val="52385CA9"/>
    <w:rsid w:val="525317B3"/>
    <w:rsid w:val="52776B91"/>
    <w:rsid w:val="53AF7C8A"/>
    <w:rsid w:val="53F41BD8"/>
    <w:rsid w:val="54335C6A"/>
    <w:rsid w:val="5496016B"/>
    <w:rsid w:val="54BA6846"/>
    <w:rsid w:val="54EC7BA5"/>
    <w:rsid w:val="55A55501"/>
    <w:rsid w:val="55B41CC8"/>
    <w:rsid w:val="55B954E9"/>
    <w:rsid w:val="56A44830"/>
    <w:rsid w:val="56A92F20"/>
    <w:rsid w:val="573569C7"/>
    <w:rsid w:val="575F5A59"/>
    <w:rsid w:val="579234A8"/>
    <w:rsid w:val="57A44268"/>
    <w:rsid w:val="58E958D7"/>
    <w:rsid w:val="59385550"/>
    <w:rsid w:val="596E6DB8"/>
    <w:rsid w:val="5A216575"/>
    <w:rsid w:val="5AD962A4"/>
    <w:rsid w:val="5B292F37"/>
    <w:rsid w:val="5B377BB0"/>
    <w:rsid w:val="5B62530A"/>
    <w:rsid w:val="5C353B21"/>
    <w:rsid w:val="5C51134B"/>
    <w:rsid w:val="5C833CCD"/>
    <w:rsid w:val="5CC873BA"/>
    <w:rsid w:val="5D6A2070"/>
    <w:rsid w:val="5DD807CF"/>
    <w:rsid w:val="5E093DC1"/>
    <w:rsid w:val="5E8A6D72"/>
    <w:rsid w:val="5F110945"/>
    <w:rsid w:val="5F27593E"/>
    <w:rsid w:val="5F404CD8"/>
    <w:rsid w:val="5F6A7FE9"/>
    <w:rsid w:val="61432179"/>
    <w:rsid w:val="619E0C93"/>
    <w:rsid w:val="61AE12F2"/>
    <w:rsid w:val="624034C6"/>
    <w:rsid w:val="6245659C"/>
    <w:rsid w:val="62A840B5"/>
    <w:rsid w:val="62D347C6"/>
    <w:rsid w:val="63055F06"/>
    <w:rsid w:val="632E5258"/>
    <w:rsid w:val="633A2648"/>
    <w:rsid w:val="635A42A7"/>
    <w:rsid w:val="64A26432"/>
    <w:rsid w:val="64AF0585"/>
    <w:rsid w:val="64B15A6B"/>
    <w:rsid w:val="653965BF"/>
    <w:rsid w:val="6578669C"/>
    <w:rsid w:val="66206EDB"/>
    <w:rsid w:val="665D46F4"/>
    <w:rsid w:val="668C4C54"/>
    <w:rsid w:val="67B142B1"/>
    <w:rsid w:val="67DB656E"/>
    <w:rsid w:val="68A701EB"/>
    <w:rsid w:val="68D6739D"/>
    <w:rsid w:val="69101727"/>
    <w:rsid w:val="69184E7F"/>
    <w:rsid w:val="697353E7"/>
    <w:rsid w:val="699053E3"/>
    <w:rsid w:val="69C956EA"/>
    <w:rsid w:val="6A1C2BEF"/>
    <w:rsid w:val="6A424BBC"/>
    <w:rsid w:val="6A7625E4"/>
    <w:rsid w:val="6AAA7A92"/>
    <w:rsid w:val="6B1049BC"/>
    <w:rsid w:val="6B304C79"/>
    <w:rsid w:val="6B374F9E"/>
    <w:rsid w:val="6B585419"/>
    <w:rsid w:val="6B6B6DB2"/>
    <w:rsid w:val="6C896D4C"/>
    <w:rsid w:val="6CA44173"/>
    <w:rsid w:val="6CF7655F"/>
    <w:rsid w:val="6D274CBD"/>
    <w:rsid w:val="6D9A7E21"/>
    <w:rsid w:val="6E1F0C07"/>
    <w:rsid w:val="6E9558E1"/>
    <w:rsid w:val="6FE85C0D"/>
    <w:rsid w:val="6FED55A5"/>
    <w:rsid w:val="700852F2"/>
    <w:rsid w:val="70502A44"/>
    <w:rsid w:val="70994CD6"/>
    <w:rsid w:val="70BF6F8B"/>
    <w:rsid w:val="717500D1"/>
    <w:rsid w:val="718656FD"/>
    <w:rsid w:val="71C97B42"/>
    <w:rsid w:val="72BD7A14"/>
    <w:rsid w:val="72E60096"/>
    <w:rsid w:val="730E2EAF"/>
    <w:rsid w:val="73CA4BC2"/>
    <w:rsid w:val="73D44DBD"/>
    <w:rsid w:val="73DE4496"/>
    <w:rsid w:val="73E1099C"/>
    <w:rsid w:val="749A7E56"/>
    <w:rsid w:val="75051E60"/>
    <w:rsid w:val="75B84E2C"/>
    <w:rsid w:val="75E048D4"/>
    <w:rsid w:val="76111F0C"/>
    <w:rsid w:val="7694079C"/>
    <w:rsid w:val="76AB6427"/>
    <w:rsid w:val="775768AD"/>
    <w:rsid w:val="77CE7CAC"/>
    <w:rsid w:val="77DD72E3"/>
    <w:rsid w:val="780005E3"/>
    <w:rsid w:val="78910368"/>
    <w:rsid w:val="78EA2DC5"/>
    <w:rsid w:val="79147D34"/>
    <w:rsid w:val="79622E2C"/>
    <w:rsid w:val="79661C2E"/>
    <w:rsid w:val="79B27E52"/>
    <w:rsid w:val="7A116803"/>
    <w:rsid w:val="7A885935"/>
    <w:rsid w:val="7A9E24BE"/>
    <w:rsid w:val="7AFB65DA"/>
    <w:rsid w:val="7B150471"/>
    <w:rsid w:val="7B4064FF"/>
    <w:rsid w:val="7C6C284E"/>
    <w:rsid w:val="7C813A8D"/>
    <w:rsid w:val="7D1F2C4C"/>
    <w:rsid w:val="7D2271BA"/>
    <w:rsid w:val="7D5837AB"/>
    <w:rsid w:val="7E176584"/>
    <w:rsid w:val="7E520997"/>
    <w:rsid w:val="7EDB2C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21A1C8F6-BB7F-4CB9-93DB-D95EE7DA08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Normal Indent" w:uiPriority="99" w:qFormat="1"/>
    <w:lsdException w:name="annotation text" w:uiPriority="99" w:unhideWhenUsed="1" w:qFormat="1"/>
    <w:lsdException w:name="header" w:qFormat="1"/>
    <w:lsdException w:name="footer" w:uiPriority="99" w:qFormat="1"/>
    <w:lsdException w:name="caption" w:semiHidden="1" w:unhideWhenUsed="1" w:qFormat="1"/>
    <w:lsdException w:name="List" w:qFormat="1"/>
    <w:lsdException w:name="List Number 5" w:qFormat="1"/>
    <w:lsdException w:name="Title" w:qFormat="1"/>
    <w:lsdException w:name="Default Paragraph Font" w:semiHidden="1" w:uiPriority="1" w:unhideWhenUsed="1" w:qFormat="1"/>
    <w:lsdException w:name="Body Text" w:qFormat="1"/>
    <w:lsdException w:name="Body Text Indent" w:uiPriority="99" w:qFormat="1"/>
    <w:lsdException w:name="Subtitle" w:qFormat="1"/>
    <w:lsdException w:name="Body Text Indent 3" w:qFormat="1"/>
    <w:lsdException w:name="Hyperlink" w:uiPriority="99" w:unhideWhenUsed="1"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qFormat/>
    <w:pPr>
      <w:widowControl w:val="0"/>
      <w:adjustRightInd w:val="0"/>
      <w:snapToGrid w:val="0"/>
      <w:jc w:val="both"/>
    </w:pPr>
    <w:rPr>
      <w:rFonts w:eastAsia="仿宋_GB2312"/>
      <w:kern w:val="2"/>
      <w:sz w:val="24"/>
    </w:rPr>
  </w:style>
  <w:style w:type="paragraph" w:styleId="1">
    <w:name w:val="heading 1"/>
    <w:basedOn w:val="a"/>
    <w:next w:val="a"/>
    <w:link w:val="1Char"/>
    <w:qFormat/>
    <w:pPr>
      <w:keepNext/>
      <w:keepLines/>
      <w:spacing w:line="360" w:lineRule="auto"/>
      <w:outlineLvl w:val="0"/>
    </w:pPr>
    <w:rPr>
      <w:b/>
      <w:sz w:val="32"/>
    </w:rPr>
  </w:style>
  <w:style w:type="paragraph" w:styleId="2">
    <w:name w:val="heading 2"/>
    <w:basedOn w:val="a"/>
    <w:next w:val="a"/>
    <w:link w:val="2Char"/>
    <w:unhideWhenUsed/>
    <w:qFormat/>
    <w:pPr>
      <w:outlineLvl w:val="1"/>
    </w:pPr>
    <w:rPr>
      <w:spacing w:val="6"/>
      <w:sz w:val="30"/>
    </w:rPr>
  </w:style>
  <w:style w:type="paragraph" w:styleId="3">
    <w:name w:val="heading 3"/>
    <w:basedOn w:val="a"/>
    <w:next w:val="a"/>
    <w:link w:val="3Char"/>
    <w:unhideWhenUsed/>
    <w:qFormat/>
    <w:pPr>
      <w:keepNext/>
      <w:keepLines/>
      <w:spacing w:line="360" w:lineRule="auto"/>
      <w:outlineLvl w:val="2"/>
    </w:pPr>
    <w:rPr>
      <w:b/>
      <w:spacing w:val="6"/>
      <w:sz w:val="28"/>
    </w:rPr>
  </w:style>
  <w:style w:type="paragraph" w:styleId="4">
    <w:name w:val="heading 4"/>
    <w:basedOn w:val="a"/>
    <w:next w:val="a"/>
    <w:qFormat/>
    <w:pPr>
      <w:keepNext/>
      <w:keepLines/>
      <w:numPr>
        <w:ilvl w:val="3"/>
        <w:numId w:val="1"/>
      </w:numPr>
      <w:spacing w:line="360" w:lineRule="auto"/>
      <w:ind w:left="0" w:firstLineChars="200" w:firstLine="482"/>
      <w:outlineLvl w:val="3"/>
    </w:pPr>
    <w:rPr>
      <w:b/>
      <w:color w:val="000000"/>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next w:val="a4"/>
    <w:qFormat/>
    <w:pPr>
      <w:spacing w:after="120"/>
    </w:pPr>
    <w:rPr>
      <w:sz w:val="21"/>
    </w:rPr>
  </w:style>
  <w:style w:type="paragraph" w:styleId="a4">
    <w:name w:val="Body Text Indent"/>
    <w:basedOn w:val="a"/>
    <w:next w:val="a"/>
    <w:uiPriority w:val="99"/>
    <w:qFormat/>
    <w:pPr>
      <w:spacing w:after="120"/>
      <w:ind w:leftChars="200" w:left="420"/>
    </w:pPr>
    <w:rPr>
      <w:rFonts w:eastAsia="宋体"/>
    </w:rPr>
  </w:style>
  <w:style w:type="paragraph" w:styleId="a5">
    <w:name w:val="Normal Indent"/>
    <w:basedOn w:val="a"/>
    <w:uiPriority w:val="99"/>
    <w:qFormat/>
    <w:pPr>
      <w:ind w:firstLineChars="200" w:firstLine="664"/>
    </w:pPr>
  </w:style>
  <w:style w:type="paragraph" w:styleId="a6">
    <w:name w:val="annotation text"/>
    <w:basedOn w:val="a"/>
    <w:uiPriority w:val="99"/>
    <w:unhideWhenUsed/>
    <w:qFormat/>
  </w:style>
  <w:style w:type="paragraph" w:styleId="a7">
    <w:name w:val="Plain Text"/>
    <w:basedOn w:val="a"/>
    <w:qFormat/>
    <w:rPr>
      <w:rFonts w:hAnsi="Courier New"/>
      <w:sz w:val="21"/>
    </w:rPr>
  </w:style>
  <w:style w:type="paragraph" w:styleId="a8">
    <w:name w:val="footer"/>
    <w:basedOn w:val="a"/>
    <w:uiPriority w:val="99"/>
    <w:qFormat/>
    <w:pPr>
      <w:tabs>
        <w:tab w:val="center" w:pos="4153"/>
        <w:tab w:val="right" w:pos="8306"/>
      </w:tabs>
      <w:jc w:val="left"/>
    </w:pPr>
    <w:rPr>
      <w:sz w:val="18"/>
      <w:szCs w:val="18"/>
    </w:rPr>
  </w:style>
  <w:style w:type="paragraph" w:styleId="a9">
    <w:name w:val="header"/>
    <w:basedOn w:val="a"/>
    <w:next w:val="a"/>
    <w:qFormat/>
    <w:pPr>
      <w:pBdr>
        <w:bottom w:val="single" w:sz="6" w:space="1" w:color="auto"/>
      </w:pBdr>
      <w:tabs>
        <w:tab w:val="center" w:pos="4153"/>
        <w:tab w:val="right" w:pos="8306"/>
      </w:tabs>
      <w:jc w:val="center"/>
    </w:pPr>
    <w:rPr>
      <w:sz w:val="18"/>
    </w:rPr>
  </w:style>
  <w:style w:type="paragraph" w:styleId="10">
    <w:name w:val="toc 1"/>
    <w:basedOn w:val="a"/>
    <w:next w:val="a"/>
    <w:uiPriority w:val="39"/>
    <w:qFormat/>
  </w:style>
  <w:style w:type="paragraph" w:styleId="5">
    <w:name w:val="List Number 5"/>
    <w:basedOn w:val="a"/>
    <w:qFormat/>
    <w:pPr>
      <w:numPr>
        <w:numId w:val="2"/>
      </w:numPr>
    </w:pPr>
  </w:style>
  <w:style w:type="paragraph" w:styleId="aa">
    <w:name w:val="List"/>
    <w:basedOn w:val="a"/>
    <w:qFormat/>
    <w:pPr>
      <w:jc w:val="center"/>
    </w:pPr>
  </w:style>
  <w:style w:type="paragraph" w:styleId="30">
    <w:name w:val="Body Text Indent 3"/>
    <w:basedOn w:val="a"/>
    <w:qFormat/>
    <w:pPr>
      <w:ind w:firstLineChars="200" w:firstLine="560"/>
    </w:pPr>
    <w:rPr>
      <w:sz w:val="28"/>
    </w:rPr>
  </w:style>
  <w:style w:type="paragraph" w:styleId="20">
    <w:name w:val="toc 2"/>
    <w:basedOn w:val="a"/>
    <w:next w:val="a"/>
    <w:uiPriority w:val="39"/>
    <w:qFormat/>
    <w:pPr>
      <w:ind w:leftChars="200" w:left="420"/>
    </w:pPr>
  </w:style>
  <w:style w:type="table" w:styleId="ab">
    <w:name w:val="Table Grid"/>
    <w:basedOn w:val="a2"/>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Hyperlink"/>
    <w:basedOn w:val="a1"/>
    <w:uiPriority w:val="99"/>
    <w:unhideWhenUsed/>
    <w:qFormat/>
    <w:rPr>
      <w:color w:val="0563C1" w:themeColor="hyperlink"/>
      <w:u w:val="single"/>
    </w:rPr>
  </w:style>
  <w:style w:type="paragraph" w:customStyle="1" w:styleId="08522">
    <w:name w:val="样式 小四 首行缩进:  0.85 厘米 行距: 固定值 22 磅"/>
    <w:basedOn w:val="a"/>
    <w:next w:val="a"/>
    <w:qFormat/>
    <w:pPr>
      <w:spacing w:line="440" w:lineRule="exact"/>
      <w:ind w:firstLine="480"/>
    </w:pPr>
  </w:style>
  <w:style w:type="character" w:customStyle="1" w:styleId="2Char">
    <w:name w:val="标题 2 Char"/>
    <w:basedOn w:val="a1"/>
    <w:link w:val="2"/>
    <w:uiPriority w:val="99"/>
    <w:qFormat/>
    <w:locked/>
    <w:rPr>
      <w:rFonts w:ascii="Times New Roman" w:eastAsia="仿宋_GB2312" w:hAnsi="Times New Roman"/>
      <w:b/>
      <w:spacing w:val="6"/>
      <w:kern w:val="2"/>
      <w:sz w:val="30"/>
      <w:lang w:val="en-US" w:eastAsia="zh-CN" w:bidi="ar-SA"/>
    </w:rPr>
  </w:style>
  <w:style w:type="paragraph" w:customStyle="1" w:styleId="ad">
    <w:name w:val="仿宋"/>
    <w:basedOn w:val="a"/>
    <w:qFormat/>
    <w:pPr>
      <w:spacing w:line="360" w:lineRule="auto"/>
      <w:ind w:firstLineChars="200" w:firstLine="643"/>
    </w:pPr>
  </w:style>
  <w:style w:type="paragraph" w:customStyle="1" w:styleId="11">
    <w:name w:val="正文1"/>
    <w:next w:val="a"/>
    <w:qFormat/>
    <w:pPr>
      <w:spacing w:line="480" w:lineRule="exact"/>
      <w:ind w:firstLineChars="200" w:firstLine="496"/>
    </w:pPr>
    <w:rPr>
      <w:rFonts w:cs="宋体"/>
      <w:color w:val="000000"/>
      <w:spacing w:val="4"/>
      <w:kern w:val="2"/>
      <w:sz w:val="24"/>
      <w:szCs w:val="22"/>
    </w:rPr>
  </w:style>
  <w:style w:type="paragraph" w:customStyle="1" w:styleId="ae">
    <w:name w:val="水保表头"/>
    <w:basedOn w:val="af"/>
    <w:qFormat/>
    <w:pPr>
      <w:spacing w:line="240" w:lineRule="auto"/>
      <w:ind w:firstLineChars="0" w:firstLine="0"/>
      <w:jc w:val="center"/>
    </w:pPr>
    <w:rPr>
      <w:b/>
      <w:sz w:val="21"/>
    </w:rPr>
  </w:style>
  <w:style w:type="paragraph" w:customStyle="1" w:styleId="af">
    <w:name w:val="水保"/>
    <w:qFormat/>
    <w:pPr>
      <w:spacing w:line="360" w:lineRule="auto"/>
      <w:ind w:firstLineChars="200" w:firstLine="723"/>
      <w:jc w:val="both"/>
    </w:pPr>
    <w:rPr>
      <w:rFonts w:eastAsia="仿宋_GB2312"/>
      <w:color w:val="000000"/>
      <w:sz w:val="24"/>
      <w:szCs w:val="28"/>
    </w:rPr>
  </w:style>
  <w:style w:type="character" w:customStyle="1" w:styleId="3Char">
    <w:name w:val="标题 3 Char"/>
    <w:link w:val="3"/>
    <w:qFormat/>
    <w:rPr>
      <w:rFonts w:ascii="Times New Roman" w:eastAsia="仿宋_GB2312" w:hAnsi="Times New Roman"/>
      <w:b/>
      <w:spacing w:val="6"/>
      <w:sz w:val="28"/>
    </w:rPr>
  </w:style>
  <w:style w:type="character" w:customStyle="1" w:styleId="1Char">
    <w:name w:val="标题 1 Char"/>
    <w:basedOn w:val="a1"/>
    <w:link w:val="1"/>
    <w:uiPriority w:val="9"/>
    <w:qFormat/>
    <w:locked/>
    <w:rPr>
      <w:rFonts w:ascii="Times New Roman" w:eastAsia="仿宋_GB2312" w:hAnsi="Times New Roman"/>
      <w:b/>
      <w:kern w:val="2"/>
      <w:sz w:val="32"/>
      <w:lang w:val="en-US" w:eastAsia="zh-CN" w:bidi="ar-SA"/>
    </w:rPr>
  </w:style>
  <w:style w:type="paragraph" w:customStyle="1" w:styleId="af0">
    <w:name w:val="表格内容"/>
    <w:basedOn w:val="a"/>
    <w:qFormat/>
    <w:pPr>
      <w:jc w:val="center"/>
    </w:pPr>
    <w:rPr>
      <w:sz w:val="21"/>
    </w:rPr>
  </w:style>
  <w:style w:type="paragraph" w:customStyle="1" w:styleId="31">
    <w:name w:val="3级标题"/>
    <w:basedOn w:val="3"/>
    <w:qFormat/>
    <w:rPr>
      <w:color w:val="000000"/>
      <w:kern w:val="0"/>
      <w:szCs w:val="28"/>
    </w:rPr>
  </w:style>
  <w:style w:type="paragraph" w:customStyle="1" w:styleId="af1">
    <w:name w:val="慧慧水保"/>
    <w:basedOn w:val="a"/>
    <w:qFormat/>
    <w:pPr>
      <w:spacing w:line="360" w:lineRule="auto"/>
      <w:ind w:firstLineChars="200" w:firstLine="664"/>
    </w:pPr>
  </w:style>
  <w:style w:type="paragraph" w:customStyle="1" w:styleId="af2">
    <w:name w:val="慧慧表格"/>
    <w:basedOn w:val="aa"/>
    <w:qFormat/>
    <w:rPr>
      <w:sz w:val="21"/>
      <w:szCs w:val="21"/>
    </w:rPr>
  </w:style>
  <w:style w:type="character" w:customStyle="1" w:styleId="font41">
    <w:name w:val="font41"/>
    <w:basedOn w:val="a1"/>
    <w:qFormat/>
    <w:rPr>
      <w:rFonts w:ascii="仿宋_GB2312" w:eastAsia="仿宋_GB2312" w:cs="仿宋_GB2312"/>
      <w:color w:val="339966"/>
      <w:sz w:val="18"/>
      <w:szCs w:val="18"/>
      <w:u w:val="none"/>
    </w:rPr>
  </w:style>
  <w:style w:type="paragraph" w:customStyle="1" w:styleId="af3">
    <w:name w:val="慧慧样式"/>
    <w:qFormat/>
    <w:pPr>
      <w:spacing w:line="360" w:lineRule="auto"/>
      <w:ind w:firstLineChars="200" w:firstLine="723"/>
      <w:jc w:val="both"/>
    </w:pPr>
    <w:rPr>
      <w:rFonts w:eastAsia="仿宋_GB2312"/>
      <w:color w:val="000000"/>
      <w:sz w:val="24"/>
      <w:szCs w:val="28"/>
    </w:rPr>
  </w:style>
  <w:style w:type="paragraph" w:customStyle="1" w:styleId="Char">
    <w:name w:val="Char"/>
    <w:basedOn w:val="a"/>
    <w:next w:val="a"/>
    <w:qFormat/>
    <w:pPr>
      <w:autoSpaceDE w:val="0"/>
      <w:autoSpaceDN w:val="0"/>
      <w:spacing w:before="50" w:after="50" w:line="360" w:lineRule="auto"/>
      <w:ind w:firstLineChars="200" w:firstLine="560"/>
    </w:pPr>
    <w:rPr>
      <w:color w:val="000000"/>
    </w:rPr>
  </w:style>
  <w:style w:type="character" w:customStyle="1" w:styleId="font51">
    <w:name w:val="font51"/>
    <w:basedOn w:val="a1"/>
    <w:qFormat/>
    <w:rPr>
      <w:rFonts w:ascii="宋体" w:eastAsia="宋体" w:hAnsi="宋体" w:cs="宋体" w:hint="eastAsia"/>
      <w:color w:val="000000"/>
      <w:sz w:val="20"/>
      <w:szCs w:val="20"/>
      <w:u w:val="none"/>
    </w:rPr>
  </w:style>
  <w:style w:type="character" w:customStyle="1" w:styleId="font11">
    <w:name w:val="font11"/>
    <w:basedOn w:val="a1"/>
    <w:qFormat/>
    <w:rPr>
      <w:rFonts w:ascii="Times New Roman" w:hAnsi="Times New Roman" w:cs="Times New Roman" w:hint="default"/>
      <w:color w:val="000000"/>
      <w:sz w:val="20"/>
      <w:szCs w:val="20"/>
      <w:u w:val="none"/>
      <w:vertAlign w:val="superscript"/>
    </w:rPr>
  </w:style>
  <w:style w:type="character" w:customStyle="1" w:styleId="font01">
    <w:name w:val="font01"/>
    <w:basedOn w:val="a1"/>
    <w:qFormat/>
    <w:rPr>
      <w:rFonts w:ascii="宋体" w:eastAsia="宋体" w:hAnsi="宋体" w:cs="宋体" w:hint="eastAsia"/>
      <w:color w:val="000000"/>
      <w:sz w:val="20"/>
      <w:szCs w:val="20"/>
      <w:u w:val="none"/>
    </w:rPr>
  </w:style>
  <w:style w:type="character" w:customStyle="1" w:styleId="font21">
    <w:name w:val="font21"/>
    <w:basedOn w:val="a1"/>
    <w:qFormat/>
    <w:rPr>
      <w:rFonts w:ascii="Times New Roman" w:hAnsi="Times New Roman" w:cs="Times New Roman" w:hint="default"/>
      <w:color w:val="000000"/>
      <w:sz w:val="20"/>
      <w:szCs w:val="20"/>
      <w:u w:val="none"/>
    </w:rPr>
  </w:style>
  <w:style w:type="character" w:customStyle="1" w:styleId="font31">
    <w:name w:val="font31"/>
    <w:basedOn w:val="a1"/>
    <w:qFormat/>
    <w:rPr>
      <w:rFonts w:ascii="Times New Roman" w:hAnsi="Times New Roman" w:cs="Times New Roman" w:hint="default"/>
      <w:color w:val="000000"/>
      <w:sz w:val="20"/>
      <w:szCs w:val="20"/>
      <w:u w:val="none"/>
    </w:rPr>
  </w:style>
  <w:style w:type="paragraph" w:customStyle="1" w:styleId="0">
    <w:name w:val="0水保正文"/>
    <w:basedOn w:val="a"/>
    <w:qFormat/>
    <w:pPr>
      <w:ind w:firstLineChars="200" w:firstLine="480"/>
    </w:pPr>
    <w:rPr>
      <w:rFonts w:ascii="宋体" w:hAnsi="宋体"/>
      <w:color w:val="000000"/>
      <w:kern w:val="0"/>
    </w:rPr>
  </w:style>
  <w:style w:type="character" w:customStyle="1" w:styleId="font71">
    <w:name w:val="font71"/>
    <w:basedOn w:val="a1"/>
    <w:qFormat/>
    <w:rPr>
      <w:rFonts w:ascii="宋体" w:eastAsia="宋体" w:hAnsi="宋体" w:cs="宋体" w:hint="eastAsia"/>
      <w:b/>
      <w:color w:val="000000"/>
      <w:sz w:val="20"/>
      <w:szCs w:val="20"/>
      <w:u w:val="none"/>
    </w:rPr>
  </w:style>
  <w:style w:type="character" w:customStyle="1" w:styleId="font61">
    <w:name w:val="font61"/>
    <w:basedOn w:val="a1"/>
    <w:qFormat/>
    <w:rPr>
      <w:rFonts w:ascii="Times New Roman" w:hAnsi="Times New Roman" w:cs="Times New Roman" w:hint="default"/>
      <w:b/>
      <w:color w:val="000000"/>
      <w:sz w:val="20"/>
      <w:szCs w:val="20"/>
      <w:u w:val="none"/>
    </w:rPr>
  </w:style>
  <w:style w:type="character" w:customStyle="1" w:styleId="font81">
    <w:name w:val="font81"/>
    <w:basedOn w:val="a1"/>
    <w:qFormat/>
    <w:rPr>
      <w:rFonts w:ascii="宋体" w:eastAsia="宋体" w:hAnsi="宋体" w:cs="宋体" w:hint="eastAsia"/>
      <w:b/>
      <w:color w:val="000000"/>
      <w:sz w:val="20"/>
      <w:szCs w:val="20"/>
      <w:u w:val="none"/>
    </w:rPr>
  </w:style>
  <w:style w:type="paragraph" w:customStyle="1" w:styleId="af4">
    <w:name w:val="表标题"/>
    <w:basedOn w:val="a"/>
    <w:qFormat/>
    <w:pPr>
      <w:jc w:val="center"/>
    </w:pPr>
    <w:rPr>
      <w:rFonts w:ascii="黑体" w:eastAsia="黑体"/>
      <w:b/>
    </w:rPr>
  </w:style>
  <w:style w:type="paragraph" w:customStyle="1" w:styleId="WPSOffice1">
    <w:name w:val="WPSOffice手动目录 1"/>
    <w:qFormat/>
  </w:style>
  <w:style w:type="paragraph" w:customStyle="1" w:styleId="WPSOffice2">
    <w:name w:val="WPSOffice手动目录 2"/>
    <w:qFormat/>
    <w:pPr>
      <w:ind w:leftChars="200" w:left="200"/>
    </w:pPr>
  </w:style>
  <w:style w:type="paragraph" w:customStyle="1" w:styleId="BZDL1">
    <w:name w:val="BZDL1"/>
    <w:basedOn w:val="a"/>
    <w:qFormat/>
    <w:pPr>
      <w:spacing w:beforeLines="50" w:before="156" w:afterLines="50" w:after="156" w:line="480" w:lineRule="exact"/>
      <w:ind w:firstLineChars="200" w:firstLine="200"/>
    </w:pPr>
    <w:rPr>
      <w:rFonts w:ascii="仿宋_GB2312"/>
      <w:sz w:val="28"/>
      <w:szCs w:val="28"/>
    </w:rPr>
  </w:style>
  <w:style w:type="paragraph" w:customStyle="1" w:styleId="15">
    <w:name w:val="样式15"/>
    <w:basedOn w:val="a9"/>
    <w:qFormat/>
    <w:pPr>
      <w:pBdr>
        <w:bottom w:val="none" w:sz="0" w:space="0" w:color="auto"/>
      </w:pBdr>
    </w:pPr>
  </w:style>
  <w:style w:type="paragraph" w:customStyle="1" w:styleId="00">
    <w:name w:val="0表标题居中"/>
    <w:basedOn w:val="a"/>
    <w:qFormat/>
    <w:pPr>
      <w:adjustRightInd/>
      <w:snapToGrid/>
      <w:jc w:val="center"/>
    </w:pPr>
    <w:rPr>
      <w:rFonts w:ascii="宋体" w:hAnsi="宋体"/>
      <w:b/>
    </w:rPr>
  </w:style>
  <w:style w:type="paragraph" w:customStyle="1" w:styleId="099">
    <w:name w:val="样式 左侧:  0.99 厘米"/>
    <w:basedOn w:val="a"/>
    <w:qFormat/>
    <w:rPr>
      <w:rFonts w:eastAsia="宋体" w:cs="宋体"/>
      <w:sz w:val="21"/>
    </w:rPr>
  </w:style>
  <w:style w:type="paragraph" w:customStyle="1" w:styleId="16">
    <w:name w:val="样式16"/>
    <w:basedOn w:val="a"/>
    <w:qFormat/>
    <w:pPr>
      <w:jc w:val="right"/>
    </w:pPr>
  </w:style>
  <w:style w:type="paragraph" w:customStyle="1" w:styleId="af5">
    <w:name w:val="表格表头"/>
    <w:basedOn w:val="a"/>
    <w:qFormat/>
    <w:pPr>
      <w:widowControl/>
      <w:adjustRightInd/>
      <w:snapToGrid/>
      <w:jc w:val="left"/>
    </w:pPr>
    <w:rPr>
      <w:b/>
      <w:bCs/>
      <w:kern w:val="0"/>
    </w:rPr>
  </w:style>
  <w:style w:type="paragraph" w:customStyle="1" w:styleId="Char11">
    <w:name w:val="Char11"/>
    <w:basedOn w:val="a"/>
    <w:qFormat/>
    <w:pPr>
      <w:autoSpaceDE w:val="0"/>
      <w:autoSpaceDN w:val="0"/>
      <w:spacing w:before="50" w:after="50"/>
    </w:pPr>
    <w:rPr>
      <w:color w:val="000000"/>
    </w:rPr>
  </w:style>
  <w:style w:type="paragraph" w:customStyle="1" w:styleId="af6">
    <w:name w:val="表头"/>
    <w:basedOn w:val="5"/>
    <w:qFormat/>
    <w:pPr>
      <w:widowControl/>
      <w:jc w:val="center"/>
    </w:pPr>
    <w:rPr>
      <w:rFonts w:ascii="黑体" w:eastAsia="黑体" w:hAnsi="黑体"/>
    </w:rPr>
  </w:style>
  <w:style w:type="paragraph" w:customStyle="1" w:styleId="nice">
    <w:name w:val="nice"/>
    <w:basedOn w:val="a"/>
    <w:qFormat/>
    <w:pPr>
      <w:topLinePunct/>
      <w:spacing w:line="360" w:lineRule="auto"/>
    </w:pPr>
    <w:rPr>
      <w:bCs/>
    </w:rPr>
  </w:style>
  <w:style w:type="character" w:customStyle="1" w:styleId="1Char0">
    <w:name w:val="1正文版式 Char"/>
    <w:link w:val="12"/>
    <w:qFormat/>
    <w:rPr>
      <w:kern w:val="2"/>
      <w:sz w:val="24"/>
      <w:szCs w:val="24"/>
    </w:rPr>
  </w:style>
  <w:style w:type="paragraph" w:customStyle="1" w:styleId="12">
    <w:name w:val="1正文版式"/>
    <w:basedOn w:val="a"/>
    <w:link w:val="1Char0"/>
    <w:qFormat/>
    <w:pPr>
      <w:tabs>
        <w:tab w:val="left" w:pos="3514"/>
      </w:tabs>
      <w:spacing w:line="360" w:lineRule="auto"/>
      <w:ind w:firstLineChars="200" w:firstLine="200"/>
    </w:pPr>
    <w:rPr>
      <w:rFonts w:eastAsia="宋体"/>
      <w:szCs w:val="24"/>
    </w:rPr>
  </w:style>
  <w:style w:type="paragraph" w:customStyle="1" w:styleId="Default">
    <w:name w:val="Default"/>
    <w:qFormat/>
    <w:pPr>
      <w:widowControl w:val="0"/>
      <w:autoSpaceDE w:val="0"/>
      <w:autoSpaceDN w:val="0"/>
      <w:adjustRightInd w:val="0"/>
    </w:pPr>
    <w:rPr>
      <w:rFonts w:ascii="仿宋_GB2312" w:eastAsia="仿宋_GB2312" w:cs="仿宋_GB2312"/>
      <w:color w:val="000000"/>
      <w:sz w:val="24"/>
      <w:szCs w:val="24"/>
    </w:rPr>
  </w:style>
  <w:style w:type="character" w:customStyle="1" w:styleId="Char0">
    <w:name w:val="表格标题 Char"/>
    <w:link w:val="af7"/>
    <w:qFormat/>
    <w:rPr>
      <w:rFonts w:eastAsia="仿宋_GB2312"/>
      <w:b/>
      <w:kern w:val="2"/>
      <w:sz w:val="21"/>
      <w:szCs w:val="21"/>
    </w:rPr>
  </w:style>
  <w:style w:type="paragraph" w:customStyle="1" w:styleId="af7">
    <w:name w:val="表格标题"/>
    <w:next w:val="a"/>
    <w:link w:val="Char0"/>
    <w:qFormat/>
    <w:pPr>
      <w:adjustRightInd w:val="0"/>
      <w:snapToGrid w:val="0"/>
      <w:jc w:val="center"/>
    </w:pPr>
    <w:rPr>
      <w:rFonts w:eastAsia="仿宋_GB2312"/>
      <w:b/>
      <w:kern w:val="2"/>
      <w:sz w:val="21"/>
      <w:szCs w:val="21"/>
    </w:rPr>
  </w:style>
  <w:style w:type="character" w:customStyle="1" w:styleId="Char1">
    <w:name w:val="表格文字 Char"/>
    <w:link w:val="af8"/>
    <w:uiPriority w:val="99"/>
    <w:qFormat/>
    <w:rPr>
      <w:sz w:val="21"/>
      <w:szCs w:val="21"/>
    </w:rPr>
  </w:style>
  <w:style w:type="paragraph" w:customStyle="1" w:styleId="af8">
    <w:name w:val="表格文字"/>
    <w:basedOn w:val="a"/>
    <w:next w:val="a"/>
    <w:link w:val="Char1"/>
    <w:uiPriority w:val="99"/>
    <w:qFormat/>
    <w:pPr>
      <w:widowControl/>
      <w:jc w:val="center"/>
    </w:pPr>
    <w:rPr>
      <w:rFonts w:eastAsia="宋体"/>
      <w:kern w:val="0"/>
      <w:sz w:val="21"/>
      <w:szCs w:val="21"/>
    </w:rPr>
  </w:style>
  <w:style w:type="paragraph" w:customStyle="1" w:styleId="13">
    <w:name w:val="1 正文"/>
    <w:basedOn w:val="a"/>
    <w:uiPriority w:val="99"/>
    <w:qFormat/>
    <w:pPr>
      <w:tabs>
        <w:tab w:val="left" w:pos="3514"/>
      </w:tabs>
      <w:spacing w:line="500" w:lineRule="exact"/>
      <w:ind w:firstLineChars="200" w:firstLine="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baike.baidu.com/item/%E6%88%90%E5%B7%B4%E9%AB%98%E9%80%9F%E5%85%AC%E8%B7%AF" TargetMode="External"/><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9.wmf"/><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header" Target="header2.xml"/><Relationship Id="rId10" Type="http://schemas.openxmlformats.org/officeDocument/2006/relationships/image" Target="media/image1.jpeg"/><Relationship Id="rId19" Type="http://schemas.openxmlformats.org/officeDocument/2006/relationships/image" Target="media/image8.wmf"/><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yperlink" Target="https://baike.baidu.com/item/%E5%B7%B4%E5%B9%BF%E6%B8%9D%E9%AB%98%E9%80%9F%E5%85%AC%E8%B7%AF" TargetMode="External"/><Relationship Id="rId22" Type="http://schemas.openxmlformats.org/officeDocument/2006/relationships/oleObject" Target="embeddings/oleObject2.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40D0F47-93BC-4650-BFDF-887F18BB7F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4275</Words>
  <Characters>24374</Characters>
  <Application>Microsoft Office Word</Application>
  <DocSecurity>0</DocSecurity>
  <Lines>203</Lines>
  <Paragraphs>57</Paragraphs>
  <ScaleCrop>false</ScaleCrop>
  <Company>微软中国</Company>
  <LinksUpToDate>false</LinksUpToDate>
  <CharactersWithSpaces>28592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 Grew</dc:creator>
  <cp:lastModifiedBy>Administrator</cp:lastModifiedBy>
  <cp:revision>186</cp:revision>
  <dcterms:created xsi:type="dcterms:W3CDTF">2019-11-18T06:31:00Z</dcterms:created>
  <dcterms:modified xsi:type="dcterms:W3CDTF">2021-04-20T07:48:00Z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2052-11.1.0.10463</vt:lpwstr>
  </property>
  <property fmtid="{D5CDD505-2E9C-101B-9397-08002B2CF9AE}" pid="3" name="ICV">
    <vt:lpwstr>4FCB263B2CC44D77930805D34BDA6573</vt:lpwstr>
  </property>
</Properties>
</file>