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4D92" w:rsidRPr="00D66FD8" w:rsidRDefault="008B068A" w:rsidP="00D66FD8">
      <w:pPr>
        <w:spacing w:line="360" w:lineRule="auto"/>
        <w:jc w:val="center"/>
        <w:rPr>
          <w:b/>
          <w:bCs/>
          <w:spacing w:val="-17"/>
          <w:szCs w:val="24"/>
        </w:rPr>
      </w:pPr>
      <w:bookmarkStart w:id="0" w:name="_Hlk61604844"/>
      <w:r w:rsidRPr="00D66FD8">
        <w:rPr>
          <w:rFonts w:hint="eastAsia"/>
          <w:b/>
          <w:szCs w:val="24"/>
        </w:rPr>
        <w:t>仪陇县老年服务中心老年养护楼建设项目</w:t>
      </w:r>
      <w:r w:rsidR="005450A3" w:rsidRPr="005450A3">
        <w:rPr>
          <w:rFonts w:hint="eastAsia"/>
          <w:b/>
          <w:szCs w:val="24"/>
        </w:rPr>
        <w:t>水土保持方案报告表</w:t>
      </w:r>
      <w:bookmarkStart w:id="1" w:name="_GoBack"/>
      <w:bookmarkEnd w:id="1"/>
    </w:p>
    <w:tbl>
      <w:tblPr>
        <w:tblW w:w="8336" w:type="dxa"/>
        <w:tblLayout w:type="fixed"/>
        <w:tblCellMar>
          <w:left w:w="0" w:type="dxa"/>
          <w:right w:w="0" w:type="dxa"/>
        </w:tblCellMar>
        <w:tblLook w:val="04A0" w:firstRow="1" w:lastRow="0" w:firstColumn="1" w:lastColumn="0" w:noHBand="0" w:noVBand="1"/>
      </w:tblPr>
      <w:tblGrid>
        <w:gridCol w:w="1147"/>
        <w:gridCol w:w="361"/>
        <w:gridCol w:w="1513"/>
        <w:gridCol w:w="86"/>
        <w:gridCol w:w="1009"/>
        <w:gridCol w:w="281"/>
        <w:gridCol w:w="634"/>
        <w:gridCol w:w="241"/>
        <w:gridCol w:w="21"/>
        <w:gridCol w:w="89"/>
        <w:gridCol w:w="305"/>
        <w:gridCol w:w="529"/>
        <w:gridCol w:w="900"/>
        <w:gridCol w:w="95"/>
        <w:gridCol w:w="11"/>
        <w:gridCol w:w="1114"/>
      </w:tblGrid>
      <w:tr w:rsidR="008E4D92">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项目概况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位置</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新政镇河西村</w:t>
            </w:r>
          </w:p>
        </w:tc>
      </w:tr>
      <w:tr w:rsidR="008E4D92">
        <w:trPr>
          <w:trHeight w:val="234"/>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建设内容</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jc w:val="left"/>
              <w:rPr>
                <w:sz w:val="20"/>
              </w:rPr>
            </w:pPr>
            <w:r>
              <w:rPr>
                <w:rFonts w:hint="eastAsia"/>
                <w:sz w:val="20"/>
              </w:rPr>
              <w:t>新建老年公寓、文体健身、疗养康复等老年服务用房</w:t>
            </w:r>
            <w:r>
              <w:rPr>
                <w:rFonts w:hint="eastAsia"/>
                <w:sz w:val="20"/>
              </w:rPr>
              <w:t>1</w:t>
            </w:r>
            <w:r>
              <w:rPr>
                <w:sz w:val="20"/>
              </w:rPr>
              <w:t>3050</w:t>
            </w:r>
            <w:r>
              <w:rPr>
                <w:rFonts w:hint="eastAsia"/>
                <w:sz w:val="20"/>
              </w:rPr>
              <w:t>平方米，及相应购置设备和电、气、给排水等附属设施建设。</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建设性质</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新建</w:t>
            </w:r>
          </w:p>
        </w:tc>
        <w:tc>
          <w:tcPr>
            <w:tcW w:w="208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总投资（万元）</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3150</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土建投资（万元）</w:t>
            </w:r>
          </w:p>
        </w:tc>
        <w:tc>
          <w:tcPr>
            <w:tcW w:w="2010" w:type="dxa"/>
            <w:gridSpan w:val="4"/>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1436</w:t>
            </w:r>
          </w:p>
        </w:tc>
        <w:tc>
          <w:tcPr>
            <w:tcW w:w="1185" w:type="dxa"/>
            <w:gridSpan w:val="5"/>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占地面积（</w:t>
            </w:r>
            <w:r>
              <w:rPr>
                <w:sz w:val="20"/>
              </w:rPr>
              <w:t>hm</w:t>
            </w:r>
            <w:r>
              <w:rPr>
                <w:sz w:val="20"/>
                <w:vertAlign w:val="superscript"/>
              </w:rPr>
              <w:t>2</w:t>
            </w:r>
            <w:r>
              <w:rPr>
                <w:sz w:val="20"/>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永久</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1.31</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2010" w:type="dxa"/>
            <w:gridSpan w:val="4"/>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185" w:type="dxa"/>
            <w:gridSpan w:val="5"/>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临时</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0</w:t>
            </w:r>
          </w:p>
        </w:tc>
      </w:tr>
      <w:tr w:rsidR="008E4D92">
        <w:trPr>
          <w:trHeight w:val="236"/>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动工时间</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2014</w:t>
            </w:r>
            <w:r>
              <w:rPr>
                <w:sz w:val="20"/>
              </w:rPr>
              <w:t>年</w:t>
            </w:r>
            <w:r>
              <w:rPr>
                <w:sz w:val="20"/>
              </w:rPr>
              <w:t>4</w:t>
            </w:r>
            <w:r>
              <w:rPr>
                <w:sz w:val="20"/>
              </w:rPr>
              <w:t>月</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完工时间</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2015</w:t>
            </w:r>
            <w:r>
              <w:rPr>
                <w:sz w:val="20"/>
              </w:rPr>
              <w:t>年</w:t>
            </w:r>
            <w:r>
              <w:rPr>
                <w:rFonts w:hint="eastAsia"/>
                <w:sz w:val="20"/>
              </w:rPr>
              <w:t>3</w:t>
            </w:r>
            <w:r>
              <w:rPr>
                <w:sz w:val="20"/>
              </w:rPr>
              <w:t>月</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土石方（</w:t>
            </w:r>
            <w:r>
              <w:rPr>
                <w:sz w:val="20"/>
              </w:rPr>
              <w:t>m</w:t>
            </w:r>
            <w:r>
              <w:rPr>
                <w:sz w:val="20"/>
                <w:vertAlign w:val="superscript"/>
              </w:rPr>
              <w:t>3</w:t>
            </w:r>
            <w:r>
              <w:rPr>
                <w:sz w:val="20"/>
              </w:rPr>
              <w:t>)</w:t>
            </w: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挖方</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填方</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借方</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余（弃）方</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6616</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6616</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0</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0</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取土（石、沙）场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不涉及</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弃土（石、沙）场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不涉及</w:t>
            </w:r>
          </w:p>
        </w:tc>
      </w:tr>
      <w:tr w:rsidR="008E4D92">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项目区概况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涉及重点防治区情况</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嘉陵江及沱江中下游国家级水土流失重点治理区</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地貌类型</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低</w:t>
            </w:r>
            <w:r>
              <w:rPr>
                <w:sz w:val="20"/>
              </w:rPr>
              <w:t>山</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原地貌土壤侵蚀模数</w:t>
            </w:r>
            <w:r>
              <w:rPr>
                <w:sz w:val="20"/>
              </w:rPr>
              <w:t>[t/(km</w:t>
            </w:r>
            <w:r>
              <w:rPr>
                <w:sz w:val="20"/>
                <w:vertAlign w:val="superscript"/>
              </w:rPr>
              <w:t>2</w:t>
            </w:r>
            <w:r>
              <w:rPr>
                <w:sz w:val="20"/>
              </w:rPr>
              <w:t>·a</w:t>
            </w:r>
            <w:r>
              <w:rPr>
                <w:sz w:val="20"/>
              </w:rPr>
              <w:t>）</w:t>
            </w:r>
            <w:r>
              <w:rPr>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549</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容许土壤流失量</w:t>
            </w:r>
            <w:r>
              <w:rPr>
                <w:sz w:val="20"/>
              </w:rPr>
              <w:t>[t/(km</w:t>
            </w:r>
            <w:r>
              <w:rPr>
                <w:sz w:val="20"/>
                <w:vertAlign w:val="superscript"/>
              </w:rPr>
              <w:t>2</w:t>
            </w:r>
            <w:r>
              <w:rPr>
                <w:sz w:val="20"/>
              </w:rPr>
              <w:t>·a</w:t>
            </w:r>
            <w:r>
              <w:rPr>
                <w:sz w:val="20"/>
              </w:rPr>
              <w:t>）</w:t>
            </w:r>
            <w:r>
              <w:rPr>
                <w:sz w:val="20"/>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500</w:t>
            </w:r>
          </w:p>
        </w:tc>
      </w:tr>
      <w:tr w:rsidR="008E4D92">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项目选址（线）水土保持评价</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ind w:firstLineChars="200" w:firstLine="400"/>
              <w:jc w:val="both"/>
              <w:rPr>
                <w:sz w:val="20"/>
              </w:rPr>
            </w:pPr>
            <w:r>
              <w:rPr>
                <w:sz w:val="20"/>
                <w:lang w:val="zh-CN"/>
              </w:rPr>
              <w:t>本</w:t>
            </w:r>
            <w:r>
              <w:rPr>
                <w:sz w:val="20"/>
              </w:rPr>
              <w:t>项目选址唯一</w:t>
            </w:r>
            <w:r>
              <w:rPr>
                <w:sz w:val="20"/>
                <w:lang w:val="zh-CN"/>
              </w:rPr>
              <w:t>，无场址方案比选。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但</w:t>
            </w:r>
            <w:r>
              <w:rPr>
                <w:sz w:val="20"/>
              </w:rPr>
              <w:t>本项目所在地</w:t>
            </w:r>
            <w:r>
              <w:rPr>
                <w:rFonts w:hint="eastAsia"/>
                <w:sz w:val="20"/>
              </w:rPr>
              <w:t>仪陇县</w:t>
            </w:r>
            <w:r>
              <w:rPr>
                <w:sz w:val="20"/>
              </w:rPr>
              <w:t>属于</w:t>
            </w:r>
            <w:r>
              <w:rPr>
                <w:rFonts w:hint="eastAsia"/>
                <w:sz w:val="20"/>
              </w:rPr>
              <w:t>嘉陵江及沱江中下游国家级水土流失重点治理区，</w:t>
            </w:r>
            <w:r>
              <w:rPr>
                <w:sz w:val="20"/>
              </w:rPr>
              <w:t>因此，本项目水土流失防治标准执行西南</w:t>
            </w:r>
            <w:r>
              <w:rPr>
                <w:rFonts w:hint="eastAsia"/>
                <w:sz w:val="20"/>
              </w:rPr>
              <w:t>紫色土区</w:t>
            </w:r>
            <w:r>
              <w:rPr>
                <w:sz w:val="20"/>
              </w:rPr>
              <w:t>一级标准。</w:t>
            </w:r>
          </w:p>
        </w:tc>
      </w:tr>
      <w:tr w:rsidR="008E4D92">
        <w:trPr>
          <w:trHeight w:val="532"/>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预测水土流失总量</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本项目工程可能造成的水土流失总量为</w:t>
            </w:r>
            <w:r>
              <w:rPr>
                <w:rFonts w:hint="eastAsia"/>
                <w:sz w:val="20"/>
              </w:rPr>
              <w:t>14.04</w:t>
            </w:r>
            <w:r>
              <w:rPr>
                <w:sz w:val="20"/>
              </w:rPr>
              <w:t>t</w:t>
            </w:r>
            <w:r>
              <w:rPr>
                <w:sz w:val="20"/>
              </w:rPr>
              <w:t>，新增水土流失总量为</w:t>
            </w:r>
            <w:r>
              <w:rPr>
                <w:rFonts w:hint="eastAsia"/>
                <w:sz w:val="20"/>
              </w:rPr>
              <w:t>5.46</w:t>
            </w:r>
            <w:r>
              <w:rPr>
                <w:sz w:val="20"/>
              </w:rPr>
              <w:t>t</w:t>
            </w:r>
          </w:p>
        </w:tc>
      </w:tr>
      <w:tr w:rsidR="008E4D92">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防治责任范围（</w:t>
            </w:r>
            <w:r>
              <w:rPr>
                <w:sz w:val="20"/>
              </w:rPr>
              <w:t>hm</w:t>
            </w:r>
            <w:r>
              <w:rPr>
                <w:sz w:val="20"/>
                <w:vertAlign w:val="superscript"/>
              </w:rPr>
              <w:t>2</w:t>
            </w:r>
            <w:r>
              <w:rPr>
                <w:sz w:val="20"/>
              </w:rPr>
              <w:t>）</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防治责任范围面积为</w:t>
            </w:r>
            <w:r>
              <w:rPr>
                <w:sz w:val="20"/>
              </w:rPr>
              <w:t>1.31hm</w:t>
            </w:r>
            <w:r>
              <w:rPr>
                <w:sz w:val="20"/>
                <w:vertAlign w:val="superscript"/>
              </w:rPr>
              <w:t>2</w:t>
            </w:r>
            <w:r>
              <w:rPr>
                <w:rFonts w:hint="eastAsia"/>
                <w:sz w:val="20"/>
              </w:rPr>
              <w:t>。</w:t>
            </w:r>
          </w:p>
        </w:tc>
      </w:tr>
      <w:tr w:rsidR="008E4D92">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防治标准等级及目标</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水土流失治理度（</w:t>
            </w:r>
            <w:r>
              <w:rPr>
                <w:sz w:val="20"/>
              </w:rPr>
              <w:t>%</w:t>
            </w:r>
            <w:r>
              <w:rPr>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97</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水土流失控制比</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1</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渣土防护率（</w:t>
            </w:r>
            <w:r>
              <w:rPr>
                <w:sz w:val="20"/>
              </w:rPr>
              <w:t>%</w:t>
            </w:r>
            <w:r>
              <w:rPr>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9</w:t>
            </w:r>
            <w:r>
              <w:rPr>
                <w:rFonts w:hint="eastAsia"/>
                <w:sz w:val="20"/>
              </w:rPr>
              <w:t>2</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表土保护率（</w:t>
            </w:r>
            <w:r>
              <w:rPr>
                <w:sz w:val="20"/>
              </w:rPr>
              <w:t>%</w:t>
            </w:r>
            <w:r>
              <w:rPr>
                <w:sz w:val="20"/>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92</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林草植被恢复率（</w:t>
            </w:r>
            <w:r>
              <w:rPr>
                <w:sz w:val="20"/>
              </w:rPr>
              <w:t>%</w:t>
            </w:r>
            <w:r>
              <w:rPr>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97</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林草覆盖率（</w:t>
            </w:r>
            <w:r>
              <w:rPr>
                <w:sz w:val="20"/>
              </w:rPr>
              <w:t>%</w:t>
            </w:r>
            <w:r>
              <w:rPr>
                <w:sz w:val="20"/>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2</w:t>
            </w:r>
            <w:r>
              <w:rPr>
                <w:rFonts w:hint="eastAsia"/>
                <w:sz w:val="20"/>
              </w:rPr>
              <w:t>4</w:t>
            </w:r>
          </w:p>
        </w:tc>
      </w:tr>
      <w:tr w:rsidR="008E4D92">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水土保持措施</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jc w:val="both"/>
              <w:rPr>
                <w:sz w:val="20"/>
              </w:rPr>
            </w:pPr>
            <w:r>
              <w:rPr>
                <w:rFonts w:hint="eastAsia"/>
                <w:bCs/>
                <w:color w:val="0000FF"/>
                <w:szCs w:val="24"/>
              </w:rPr>
              <w:t>建构筑物区</w:t>
            </w:r>
            <w:r>
              <w:rPr>
                <w:sz w:val="20"/>
              </w:rPr>
              <w:t>：</w:t>
            </w:r>
            <w:r>
              <w:rPr>
                <w:rFonts w:hint="eastAsia"/>
                <w:sz w:val="20"/>
              </w:rPr>
              <w:t>主体在施工在进行了表土剥离</w:t>
            </w:r>
            <w:r>
              <w:rPr>
                <w:rFonts w:hint="eastAsia"/>
                <w:sz w:val="20"/>
              </w:rPr>
              <w:t>1080m</w:t>
            </w:r>
            <w:r>
              <w:rPr>
                <w:sz w:val="20"/>
                <w:vertAlign w:val="superscript"/>
              </w:rPr>
              <w:t>3</w:t>
            </w:r>
            <w:r>
              <w:rPr>
                <w:rFonts w:hint="eastAsia"/>
                <w:sz w:val="20"/>
              </w:rPr>
              <w:t>。主体排水系统主要以布置雨水管和雨水井为主，在综合楼、生活楼、辅助用房等建筑物四周埋设雨水管，雨水管道共计长</w:t>
            </w:r>
            <w:r>
              <w:rPr>
                <w:rFonts w:hint="eastAsia"/>
                <w:sz w:val="20"/>
              </w:rPr>
              <w:t>540</w:t>
            </w:r>
            <w:r>
              <w:rPr>
                <w:rFonts w:hint="eastAsia"/>
                <w:sz w:val="20"/>
              </w:rPr>
              <w:t>米。施工结束后，在绿化区域进行覆土整治</w:t>
            </w:r>
            <w:r>
              <w:rPr>
                <w:rFonts w:hint="eastAsia"/>
                <w:sz w:val="20"/>
              </w:rPr>
              <w:t>1080m</w:t>
            </w:r>
            <w:r>
              <w:rPr>
                <w:sz w:val="20"/>
                <w:vertAlign w:val="superscript"/>
              </w:rPr>
              <w:t>3</w:t>
            </w:r>
            <w:r>
              <w:rPr>
                <w:rFonts w:hint="eastAsia"/>
                <w:sz w:val="20"/>
              </w:rPr>
              <w:t>。在植物绿化区域实施小叶黄杨树</w:t>
            </w:r>
            <w:r>
              <w:rPr>
                <w:rFonts w:hint="eastAsia"/>
                <w:sz w:val="20"/>
              </w:rPr>
              <w:t>80</w:t>
            </w:r>
            <w:r>
              <w:rPr>
                <w:rFonts w:hint="eastAsia"/>
                <w:sz w:val="20"/>
              </w:rPr>
              <w:t>株，结缕草</w:t>
            </w:r>
            <w:r>
              <w:rPr>
                <w:rFonts w:hint="eastAsia"/>
                <w:sz w:val="20"/>
              </w:rPr>
              <w:t>1880m</w:t>
            </w:r>
            <w:r>
              <w:rPr>
                <w:sz w:val="20"/>
                <w:vertAlign w:val="superscript"/>
              </w:rPr>
              <w:t>2</w:t>
            </w:r>
            <w:r>
              <w:rPr>
                <w:rFonts w:hint="eastAsia"/>
                <w:sz w:val="20"/>
              </w:rPr>
              <w:t>。</w:t>
            </w:r>
          </w:p>
          <w:p w:rsidR="008E4D92" w:rsidRDefault="008B068A">
            <w:pPr>
              <w:pStyle w:val="af0"/>
              <w:jc w:val="both"/>
              <w:rPr>
                <w:sz w:val="20"/>
              </w:rPr>
            </w:pPr>
            <w:r>
              <w:rPr>
                <w:rFonts w:hint="eastAsia"/>
                <w:sz w:val="20"/>
              </w:rPr>
              <w:t>附属设施区：主体在施工在进行了表土剥离</w:t>
            </w:r>
            <w:r>
              <w:rPr>
                <w:rFonts w:hint="eastAsia"/>
                <w:sz w:val="20"/>
              </w:rPr>
              <w:t>820m</w:t>
            </w:r>
            <w:r>
              <w:rPr>
                <w:sz w:val="20"/>
                <w:vertAlign w:val="superscript"/>
              </w:rPr>
              <w:t>3</w:t>
            </w:r>
            <w:r>
              <w:rPr>
                <w:rFonts w:hint="eastAsia"/>
                <w:sz w:val="20"/>
              </w:rPr>
              <w:t>。施工结束后，在绿化区域进行覆土整治</w:t>
            </w:r>
            <w:r>
              <w:rPr>
                <w:rFonts w:hint="eastAsia"/>
                <w:sz w:val="20"/>
              </w:rPr>
              <w:t>820m3</w:t>
            </w:r>
            <w:r>
              <w:rPr>
                <w:rFonts w:hint="eastAsia"/>
                <w:sz w:val="20"/>
              </w:rPr>
              <w:t>。在植物绿化区域栽种玉兰树</w:t>
            </w:r>
            <w:r>
              <w:rPr>
                <w:rFonts w:hint="eastAsia"/>
                <w:sz w:val="20"/>
              </w:rPr>
              <w:t>30</w:t>
            </w:r>
            <w:r>
              <w:rPr>
                <w:rFonts w:hint="eastAsia"/>
                <w:sz w:val="20"/>
              </w:rPr>
              <w:t>株，单位撒播果岭草种</w:t>
            </w:r>
            <w:r>
              <w:rPr>
                <w:rFonts w:hint="eastAsia"/>
                <w:sz w:val="20"/>
              </w:rPr>
              <w:t>1730m</w:t>
            </w:r>
            <w:r>
              <w:rPr>
                <w:sz w:val="20"/>
                <w:vertAlign w:val="superscript"/>
              </w:rPr>
              <w:t>2</w:t>
            </w:r>
            <w:r>
              <w:rPr>
                <w:rFonts w:hint="eastAsia"/>
                <w:sz w:val="20"/>
              </w:rPr>
              <w:t>。</w:t>
            </w:r>
          </w:p>
        </w:tc>
      </w:tr>
      <w:tr w:rsidR="008E4D92">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水土保持投资（万元）</w:t>
            </w: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工程措施</w:t>
            </w:r>
          </w:p>
        </w:tc>
        <w:tc>
          <w:tcPr>
            <w:tcW w:w="2186"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10.13</w:t>
            </w:r>
          </w:p>
        </w:tc>
        <w:tc>
          <w:tcPr>
            <w:tcW w:w="192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植物措施</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1.36</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临时措施</w:t>
            </w:r>
          </w:p>
        </w:tc>
        <w:tc>
          <w:tcPr>
            <w:tcW w:w="2186"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1.30</w:t>
            </w:r>
          </w:p>
        </w:tc>
        <w:tc>
          <w:tcPr>
            <w:tcW w:w="192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水土保持补偿费</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1.7</w:t>
            </w:r>
            <w:r>
              <w:rPr>
                <w:rFonts w:hint="eastAsia"/>
                <w:sz w:val="20"/>
              </w:rPr>
              <w:t>1</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96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独立费用</w:t>
            </w:r>
          </w:p>
        </w:tc>
        <w:tc>
          <w:tcPr>
            <w:tcW w:w="227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建设管理费</w:t>
            </w:r>
          </w:p>
        </w:tc>
        <w:tc>
          <w:tcPr>
            <w:tcW w:w="2954"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0</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227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水土保持方案编制费</w:t>
            </w:r>
          </w:p>
        </w:tc>
        <w:tc>
          <w:tcPr>
            <w:tcW w:w="2954"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3.5</w:t>
            </w:r>
          </w:p>
        </w:tc>
      </w:tr>
      <w:tr w:rsidR="008E4D92">
        <w:trPr>
          <w:trHeight w:val="249"/>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227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水土保持设施竣工验收费</w:t>
            </w:r>
          </w:p>
        </w:tc>
        <w:tc>
          <w:tcPr>
            <w:tcW w:w="2954"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3.8</w:t>
            </w:r>
          </w:p>
        </w:tc>
      </w:tr>
      <w:tr w:rsidR="008E4D92">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pStyle w:val="af0"/>
              <w:rPr>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总投资</w:t>
            </w:r>
          </w:p>
        </w:tc>
        <w:tc>
          <w:tcPr>
            <w:tcW w:w="5229" w:type="dxa"/>
            <w:gridSpan w:val="1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27.95</w:t>
            </w:r>
          </w:p>
        </w:tc>
      </w:tr>
      <w:tr w:rsidR="008E4D92">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编制单位</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四川丰讯工程技术咨询有限公司</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建设单位</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仪陇县民政局</w:t>
            </w:r>
          </w:p>
        </w:tc>
      </w:tr>
      <w:tr w:rsidR="008E4D92">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法人代表</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吴韬</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法人代表</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w:t>
            </w:r>
          </w:p>
        </w:tc>
      </w:tr>
      <w:tr w:rsidR="008E4D92">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地址</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kern w:val="0"/>
                <w:sz w:val="20"/>
                <w:lang w:bidi="ar"/>
              </w:rPr>
              <w:t>成都市金牛区金青路</w:t>
            </w:r>
            <w:r>
              <w:rPr>
                <w:rFonts w:hint="eastAsia"/>
                <w:kern w:val="0"/>
                <w:sz w:val="20"/>
                <w:lang w:bidi="ar"/>
              </w:rPr>
              <w:t>62</w:t>
            </w:r>
            <w:r>
              <w:rPr>
                <w:rFonts w:hint="eastAsia"/>
                <w:kern w:val="0"/>
                <w:sz w:val="20"/>
                <w:lang w:bidi="ar"/>
              </w:rPr>
              <w:t>号附</w:t>
            </w:r>
            <w:r>
              <w:rPr>
                <w:rFonts w:hint="eastAsia"/>
                <w:kern w:val="0"/>
                <w:sz w:val="20"/>
                <w:lang w:bidi="ar"/>
              </w:rPr>
              <w:t>58</w:t>
            </w:r>
            <w:r>
              <w:rPr>
                <w:rFonts w:hint="eastAsia"/>
                <w:kern w:val="0"/>
                <w:sz w:val="20"/>
                <w:lang w:bidi="ar"/>
              </w:rPr>
              <w:t>号</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地址</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sz w:val="20"/>
              </w:rPr>
              <w:t>南充市仪陇县宏德大道一段</w:t>
            </w:r>
            <w:r>
              <w:rPr>
                <w:rFonts w:hint="eastAsia"/>
                <w:sz w:val="20"/>
              </w:rPr>
              <w:t>1</w:t>
            </w:r>
            <w:r>
              <w:rPr>
                <w:sz w:val="20"/>
              </w:rPr>
              <w:t>5</w:t>
            </w:r>
            <w:r>
              <w:rPr>
                <w:rFonts w:hint="eastAsia"/>
                <w:sz w:val="20"/>
              </w:rPr>
              <w:t>号</w:t>
            </w:r>
          </w:p>
        </w:tc>
      </w:tr>
      <w:tr w:rsidR="008E4D92">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邮编</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630000</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邮编</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637641</w:t>
            </w:r>
          </w:p>
        </w:tc>
      </w:tr>
      <w:tr w:rsidR="008E4D92">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联系人及电话</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rFonts w:hint="eastAsia"/>
                <w:kern w:val="0"/>
                <w:sz w:val="20"/>
              </w:rPr>
              <w:t>吴韬</w:t>
            </w:r>
            <w:r>
              <w:rPr>
                <w:kern w:val="0"/>
                <w:sz w:val="20"/>
              </w:rPr>
              <w:t>/18581506588</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联系人及电话</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曾涛</w:t>
            </w:r>
            <w:r>
              <w:rPr>
                <w:sz w:val="20"/>
              </w:rPr>
              <w:t>/13908595058</w:t>
            </w:r>
          </w:p>
        </w:tc>
      </w:tr>
      <w:tr w:rsidR="008E4D92">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lastRenderedPageBreak/>
              <w:t>电子邮箱</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3D0835">
            <w:pPr>
              <w:pStyle w:val="af0"/>
              <w:rPr>
                <w:sz w:val="20"/>
              </w:rPr>
            </w:pPr>
            <w:r w:rsidRPr="003D0835">
              <w:rPr>
                <w:kern w:val="0"/>
                <w:sz w:val="20"/>
              </w:rPr>
              <w:t xml:space="preserve">wutaozx </w:t>
            </w:r>
            <w:r w:rsidR="008B068A">
              <w:rPr>
                <w:sz w:val="20"/>
              </w:rPr>
              <w:t>@qq.com</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电子邮箱</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pStyle w:val="af0"/>
              <w:rPr>
                <w:sz w:val="20"/>
              </w:rPr>
            </w:pPr>
            <w:r>
              <w:rPr>
                <w:sz w:val="20"/>
              </w:rPr>
              <w:t>——</w:t>
            </w:r>
          </w:p>
        </w:tc>
      </w:tr>
    </w:tbl>
    <w:p w:rsidR="008E4D92" w:rsidRDefault="008E4D92"/>
    <w:bookmarkEnd w:id="0"/>
    <w:p w:rsidR="008E4D92" w:rsidRDefault="008B068A">
      <w:pPr>
        <w:tabs>
          <w:tab w:val="right" w:pos="8306"/>
        </w:tabs>
      </w:pPr>
      <w:r>
        <w:br w:type="page"/>
      </w:r>
      <w:r>
        <w:lastRenderedPageBreak/>
        <w:tab/>
      </w:r>
    </w:p>
    <w:sdt>
      <w:sdtPr>
        <w:rPr>
          <w:rFonts w:eastAsia="宋体"/>
          <w:b/>
          <w:bCs/>
          <w:sz w:val="21"/>
        </w:rPr>
        <w:id w:val="147459560"/>
        <w15:color w:val="DBDBDB"/>
        <w:docPartObj>
          <w:docPartGallery w:val="Table of Contents"/>
          <w:docPartUnique/>
        </w:docPartObj>
      </w:sdtPr>
      <w:sdtEndPr>
        <w:rPr>
          <w:rFonts w:eastAsia="仿宋_GB2312"/>
          <w:sz w:val="24"/>
          <w:szCs w:val="24"/>
        </w:rPr>
      </w:sdtEndPr>
      <w:sdtContent>
        <w:p w:rsidR="008E4D92" w:rsidRDefault="008B068A">
          <w:pPr>
            <w:spacing w:line="360" w:lineRule="auto"/>
            <w:jc w:val="center"/>
            <w:rPr>
              <w:rStyle w:val="3Char"/>
            </w:rPr>
          </w:pPr>
          <w:r>
            <w:rPr>
              <w:rStyle w:val="3Char"/>
            </w:rPr>
            <w:t>目录</w:t>
          </w:r>
        </w:p>
        <w:p w:rsidR="008E4D92" w:rsidRDefault="008B068A">
          <w:pPr>
            <w:pStyle w:val="10"/>
            <w:tabs>
              <w:tab w:val="right" w:leader="dot" w:pos="8306"/>
            </w:tabs>
          </w:pPr>
          <w:r>
            <w:rPr>
              <w:szCs w:val="24"/>
            </w:rPr>
            <w:fldChar w:fldCharType="begin"/>
          </w:r>
          <w:r>
            <w:rPr>
              <w:szCs w:val="24"/>
            </w:rPr>
            <w:instrText xml:space="preserve">TOC \o "1-2" \h \u </w:instrText>
          </w:r>
          <w:r>
            <w:rPr>
              <w:szCs w:val="24"/>
            </w:rPr>
            <w:fldChar w:fldCharType="separate"/>
          </w:r>
          <w:hyperlink w:anchor="_Toc29655" w:history="1">
            <w:r>
              <w:rPr>
                <w:rFonts w:hint="eastAsia"/>
              </w:rPr>
              <w:t>1</w:t>
            </w:r>
            <w:r>
              <w:t>项目概况</w:t>
            </w:r>
            <w:r>
              <w:tab/>
            </w:r>
            <w:r>
              <w:fldChar w:fldCharType="begin"/>
            </w:r>
            <w:r>
              <w:instrText xml:space="preserve"> PAGEREF _Toc29655 \h </w:instrText>
            </w:r>
            <w:r>
              <w:fldChar w:fldCharType="separate"/>
            </w:r>
            <w:r>
              <w:t>7</w:t>
            </w:r>
            <w:r>
              <w:fldChar w:fldCharType="end"/>
            </w:r>
          </w:hyperlink>
        </w:p>
        <w:p w:rsidR="008E4D92" w:rsidRDefault="0021079E">
          <w:pPr>
            <w:pStyle w:val="20"/>
            <w:tabs>
              <w:tab w:val="right" w:leader="dot" w:pos="8306"/>
            </w:tabs>
            <w:ind w:left="480"/>
          </w:pPr>
          <w:hyperlink w:anchor="_Toc5300" w:history="1">
            <w:r w:rsidR="008B068A">
              <w:rPr>
                <w:rFonts w:hint="eastAsia"/>
              </w:rPr>
              <w:t>1</w:t>
            </w:r>
            <w:r w:rsidR="008B068A">
              <w:t>.1</w:t>
            </w:r>
            <w:r w:rsidR="008B068A">
              <w:t>地理位置</w:t>
            </w:r>
            <w:r w:rsidR="008B068A">
              <w:tab/>
            </w:r>
            <w:r w:rsidR="008B068A">
              <w:fldChar w:fldCharType="begin"/>
            </w:r>
            <w:r w:rsidR="008B068A">
              <w:instrText xml:space="preserve"> PAGEREF _Toc5300 \h </w:instrText>
            </w:r>
            <w:r w:rsidR="008B068A">
              <w:fldChar w:fldCharType="separate"/>
            </w:r>
            <w:r w:rsidR="008B068A">
              <w:t>7</w:t>
            </w:r>
            <w:r w:rsidR="008B068A">
              <w:fldChar w:fldCharType="end"/>
            </w:r>
          </w:hyperlink>
        </w:p>
        <w:p w:rsidR="008E4D92" w:rsidRDefault="0021079E">
          <w:pPr>
            <w:pStyle w:val="20"/>
            <w:tabs>
              <w:tab w:val="right" w:leader="dot" w:pos="8306"/>
            </w:tabs>
            <w:ind w:left="480"/>
          </w:pPr>
          <w:hyperlink w:anchor="_Toc8606" w:history="1">
            <w:r w:rsidR="008B068A">
              <w:rPr>
                <w:rFonts w:hint="eastAsia"/>
              </w:rPr>
              <w:t>1</w:t>
            </w:r>
            <w:r w:rsidR="008B068A">
              <w:t>.</w:t>
            </w:r>
            <w:r w:rsidR="008B068A">
              <w:rPr>
                <w:rFonts w:hint="eastAsia"/>
              </w:rPr>
              <w:t>2</w:t>
            </w:r>
            <w:r w:rsidR="008B068A">
              <w:rPr>
                <w:rFonts w:hint="eastAsia"/>
              </w:rPr>
              <w:t>工程建设现状</w:t>
            </w:r>
            <w:r w:rsidR="008B068A">
              <w:tab/>
            </w:r>
            <w:r w:rsidR="008B068A">
              <w:fldChar w:fldCharType="begin"/>
            </w:r>
            <w:r w:rsidR="008B068A">
              <w:instrText xml:space="preserve"> PAGEREF _Toc8606 \h </w:instrText>
            </w:r>
            <w:r w:rsidR="008B068A">
              <w:fldChar w:fldCharType="separate"/>
            </w:r>
            <w:r w:rsidR="008B068A">
              <w:t>7</w:t>
            </w:r>
            <w:r w:rsidR="008B068A">
              <w:fldChar w:fldCharType="end"/>
            </w:r>
          </w:hyperlink>
        </w:p>
        <w:p w:rsidR="008E4D92" w:rsidRDefault="0021079E">
          <w:pPr>
            <w:pStyle w:val="20"/>
            <w:tabs>
              <w:tab w:val="right" w:leader="dot" w:pos="8306"/>
            </w:tabs>
            <w:ind w:left="480"/>
          </w:pPr>
          <w:hyperlink w:anchor="_Toc20749" w:history="1">
            <w:r w:rsidR="008B068A">
              <w:rPr>
                <w:rFonts w:hint="eastAsia"/>
              </w:rPr>
              <w:t>1</w:t>
            </w:r>
            <w:r w:rsidR="008B068A">
              <w:t>.</w:t>
            </w:r>
            <w:r w:rsidR="008B068A">
              <w:rPr>
                <w:rFonts w:hint="eastAsia"/>
              </w:rPr>
              <w:t>3</w:t>
            </w:r>
            <w:r w:rsidR="008B068A">
              <w:rPr>
                <w:rFonts w:hint="eastAsia"/>
              </w:rPr>
              <w:t>基本情况</w:t>
            </w:r>
            <w:r w:rsidR="008B068A">
              <w:tab/>
            </w:r>
            <w:r w:rsidR="008B068A">
              <w:fldChar w:fldCharType="begin"/>
            </w:r>
            <w:r w:rsidR="008B068A">
              <w:instrText xml:space="preserve"> PAGEREF _Toc20749 \h </w:instrText>
            </w:r>
            <w:r w:rsidR="008B068A">
              <w:fldChar w:fldCharType="separate"/>
            </w:r>
            <w:r w:rsidR="008B068A">
              <w:t>9</w:t>
            </w:r>
            <w:r w:rsidR="008B068A">
              <w:fldChar w:fldCharType="end"/>
            </w:r>
          </w:hyperlink>
        </w:p>
        <w:p w:rsidR="008E4D92" w:rsidRDefault="0021079E">
          <w:pPr>
            <w:pStyle w:val="20"/>
            <w:tabs>
              <w:tab w:val="right" w:leader="dot" w:pos="8306"/>
            </w:tabs>
            <w:ind w:left="480"/>
          </w:pPr>
          <w:hyperlink w:anchor="_Toc4654" w:history="1">
            <w:r w:rsidR="008B068A">
              <w:t>1.</w:t>
            </w:r>
            <w:r w:rsidR="008B068A">
              <w:rPr>
                <w:rFonts w:hint="eastAsia"/>
              </w:rPr>
              <w:t>4</w:t>
            </w:r>
            <w:r w:rsidR="008B068A">
              <w:t>项目组成</w:t>
            </w:r>
            <w:r w:rsidR="008B068A">
              <w:rPr>
                <w:rFonts w:hint="eastAsia"/>
              </w:rPr>
              <w:t>及占地</w:t>
            </w:r>
            <w:r w:rsidR="008B068A">
              <w:tab/>
            </w:r>
            <w:r w:rsidR="008B068A">
              <w:fldChar w:fldCharType="begin"/>
            </w:r>
            <w:r w:rsidR="008B068A">
              <w:instrText xml:space="preserve"> PAGEREF _Toc4654 \h </w:instrText>
            </w:r>
            <w:r w:rsidR="008B068A">
              <w:fldChar w:fldCharType="separate"/>
            </w:r>
            <w:r w:rsidR="008B068A">
              <w:t>10</w:t>
            </w:r>
            <w:r w:rsidR="008B068A">
              <w:fldChar w:fldCharType="end"/>
            </w:r>
          </w:hyperlink>
        </w:p>
        <w:p w:rsidR="008E4D92" w:rsidRDefault="0021079E">
          <w:pPr>
            <w:pStyle w:val="20"/>
            <w:tabs>
              <w:tab w:val="right" w:leader="dot" w:pos="8306"/>
            </w:tabs>
            <w:ind w:left="480"/>
          </w:pPr>
          <w:hyperlink w:anchor="_Toc10931" w:history="1">
            <w:r w:rsidR="008B068A">
              <w:t>1.</w:t>
            </w:r>
            <w:r w:rsidR="008B068A">
              <w:rPr>
                <w:rFonts w:hint="eastAsia"/>
              </w:rPr>
              <w:t>5</w:t>
            </w:r>
            <w:r w:rsidR="008B068A">
              <w:rPr>
                <w:rFonts w:hint="eastAsia"/>
              </w:rPr>
              <w:t>土石方平衡分析与评价</w:t>
            </w:r>
            <w:r w:rsidR="008B068A">
              <w:tab/>
            </w:r>
            <w:r w:rsidR="008B068A">
              <w:fldChar w:fldCharType="begin"/>
            </w:r>
            <w:r w:rsidR="008B068A">
              <w:instrText xml:space="preserve"> PAGEREF _Toc10931 \h </w:instrText>
            </w:r>
            <w:r w:rsidR="008B068A">
              <w:fldChar w:fldCharType="separate"/>
            </w:r>
            <w:r w:rsidR="008B068A">
              <w:t>10</w:t>
            </w:r>
            <w:r w:rsidR="008B068A">
              <w:fldChar w:fldCharType="end"/>
            </w:r>
          </w:hyperlink>
        </w:p>
        <w:p w:rsidR="008E4D92" w:rsidRDefault="0021079E">
          <w:pPr>
            <w:pStyle w:val="20"/>
            <w:tabs>
              <w:tab w:val="right" w:leader="dot" w:pos="8306"/>
            </w:tabs>
            <w:ind w:left="480"/>
          </w:pPr>
          <w:hyperlink w:anchor="_Toc11990" w:history="1">
            <w:r w:rsidR="008B068A">
              <w:t>1.</w:t>
            </w:r>
            <w:r w:rsidR="008B068A">
              <w:rPr>
                <w:rFonts w:hint="eastAsia"/>
              </w:rPr>
              <w:t>6</w:t>
            </w:r>
            <w:r w:rsidR="008B068A">
              <w:rPr>
                <w:rFonts w:hint="eastAsia"/>
              </w:rPr>
              <w:t>主体设计分析与评价</w:t>
            </w:r>
            <w:r w:rsidR="008B068A">
              <w:tab/>
            </w:r>
            <w:r w:rsidR="008B068A">
              <w:fldChar w:fldCharType="begin"/>
            </w:r>
            <w:r w:rsidR="008B068A">
              <w:instrText xml:space="preserve"> PAGEREF _Toc11990 \h </w:instrText>
            </w:r>
            <w:r w:rsidR="008B068A">
              <w:fldChar w:fldCharType="separate"/>
            </w:r>
            <w:r w:rsidR="008B068A">
              <w:t>11</w:t>
            </w:r>
            <w:r w:rsidR="008B068A">
              <w:fldChar w:fldCharType="end"/>
            </w:r>
          </w:hyperlink>
        </w:p>
        <w:p w:rsidR="008E4D92" w:rsidRDefault="0021079E">
          <w:pPr>
            <w:pStyle w:val="20"/>
            <w:tabs>
              <w:tab w:val="right" w:leader="dot" w:pos="8306"/>
            </w:tabs>
            <w:ind w:left="480"/>
          </w:pPr>
          <w:hyperlink w:anchor="_Toc21765" w:history="1">
            <w:r w:rsidR="008B068A">
              <w:t>1.</w:t>
            </w:r>
            <w:r w:rsidR="008B068A">
              <w:rPr>
                <w:rFonts w:hint="eastAsia"/>
              </w:rPr>
              <w:t>7</w:t>
            </w:r>
            <w:r w:rsidR="008B068A">
              <w:t>移民拆迁安置</w:t>
            </w:r>
            <w:r w:rsidR="008B068A">
              <w:tab/>
            </w:r>
            <w:r w:rsidR="008B068A">
              <w:fldChar w:fldCharType="begin"/>
            </w:r>
            <w:r w:rsidR="008B068A">
              <w:instrText xml:space="preserve"> PAGEREF _Toc21765 \h </w:instrText>
            </w:r>
            <w:r w:rsidR="008B068A">
              <w:fldChar w:fldCharType="separate"/>
            </w:r>
            <w:r w:rsidR="008B068A">
              <w:t>12</w:t>
            </w:r>
            <w:r w:rsidR="008B068A">
              <w:fldChar w:fldCharType="end"/>
            </w:r>
          </w:hyperlink>
        </w:p>
        <w:p w:rsidR="008E4D92" w:rsidRDefault="0021079E">
          <w:pPr>
            <w:pStyle w:val="20"/>
            <w:tabs>
              <w:tab w:val="right" w:leader="dot" w:pos="8306"/>
            </w:tabs>
            <w:ind w:left="480"/>
          </w:pPr>
          <w:hyperlink w:anchor="_Toc14244" w:history="1">
            <w:r w:rsidR="008B068A">
              <w:t>1.</w:t>
            </w:r>
            <w:r w:rsidR="008B068A">
              <w:rPr>
                <w:rFonts w:hint="eastAsia"/>
              </w:rPr>
              <w:t>8</w:t>
            </w:r>
            <w:r w:rsidR="008B068A">
              <w:t>施工组织</w:t>
            </w:r>
            <w:r w:rsidR="008B068A">
              <w:tab/>
            </w:r>
            <w:r w:rsidR="008B068A">
              <w:fldChar w:fldCharType="begin"/>
            </w:r>
            <w:r w:rsidR="008B068A">
              <w:instrText xml:space="preserve"> PAGEREF _Toc14244 \h </w:instrText>
            </w:r>
            <w:r w:rsidR="008B068A">
              <w:fldChar w:fldCharType="separate"/>
            </w:r>
            <w:r w:rsidR="008B068A">
              <w:t>12</w:t>
            </w:r>
            <w:r w:rsidR="008B068A">
              <w:fldChar w:fldCharType="end"/>
            </w:r>
          </w:hyperlink>
        </w:p>
        <w:p w:rsidR="008E4D92" w:rsidRDefault="0021079E">
          <w:pPr>
            <w:pStyle w:val="20"/>
            <w:tabs>
              <w:tab w:val="right" w:leader="dot" w:pos="8306"/>
            </w:tabs>
            <w:ind w:left="480"/>
          </w:pPr>
          <w:hyperlink w:anchor="_Toc2419" w:history="1">
            <w:r w:rsidR="008B068A">
              <w:t>1.</w:t>
            </w:r>
            <w:r w:rsidR="008B068A">
              <w:rPr>
                <w:rFonts w:hint="eastAsia"/>
              </w:rPr>
              <w:t>9</w:t>
            </w:r>
            <w:r w:rsidR="008B068A">
              <w:t>编制依据</w:t>
            </w:r>
            <w:r w:rsidR="008B068A">
              <w:tab/>
            </w:r>
            <w:r w:rsidR="008B068A">
              <w:fldChar w:fldCharType="begin"/>
            </w:r>
            <w:r w:rsidR="008B068A">
              <w:instrText xml:space="preserve"> PAGEREF _Toc2419 \h </w:instrText>
            </w:r>
            <w:r w:rsidR="008B068A">
              <w:fldChar w:fldCharType="separate"/>
            </w:r>
            <w:r w:rsidR="008B068A">
              <w:t>13</w:t>
            </w:r>
            <w:r w:rsidR="008B068A">
              <w:fldChar w:fldCharType="end"/>
            </w:r>
          </w:hyperlink>
        </w:p>
        <w:p w:rsidR="008E4D92" w:rsidRDefault="0021079E">
          <w:pPr>
            <w:pStyle w:val="20"/>
            <w:tabs>
              <w:tab w:val="right" w:leader="dot" w:pos="8306"/>
            </w:tabs>
            <w:ind w:left="480"/>
          </w:pPr>
          <w:hyperlink w:anchor="_Toc31606" w:history="1">
            <w:r w:rsidR="008B068A">
              <w:t>1.</w:t>
            </w:r>
            <w:r w:rsidR="008B068A">
              <w:rPr>
                <w:rFonts w:hint="eastAsia"/>
              </w:rPr>
              <w:t>10</w:t>
            </w:r>
            <w:r w:rsidR="008B068A">
              <w:rPr>
                <w:rFonts w:hint="eastAsia"/>
              </w:rPr>
              <w:t>安全、文明生产措施</w:t>
            </w:r>
            <w:r w:rsidR="008B068A">
              <w:tab/>
            </w:r>
            <w:r w:rsidR="008B068A">
              <w:fldChar w:fldCharType="begin"/>
            </w:r>
            <w:r w:rsidR="008B068A">
              <w:instrText xml:space="preserve"> PAGEREF _Toc31606 \h </w:instrText>
            </w:r>
            <w:r w:rsidR="008B068A">
              <w:fldChar w:fldCharType="separate"/>
            </w:r>
            <w:r w:rsidR="008B068A">
              <w:t>14</w:t>
            </w:r>
            <w:r w:rsidR="008B068A">
              <w:fldChar w:fldCharType="end"/>
            </w:r>
          </w:hyperlink>
        </w:p>
        <w:p w:rsidR="008E4D92" w:rsidRDefault="0021079E">
          <w:pPr>
            <w:pStyle w:val="20"/>
            <w:tabs>
              <w:tab w:val="right" w:leader="dot" w:pos="8306"/>
            </w:tabs>
            <w:ind w:left="480"/>
          </w:pPr>
          <w:hyperlink w:anchor="_Toc12747" w:history="1">
            <w:r w:rsidR="008B068A">
              <w:t>1.</w:t>
            </w:r>
            <w:r w:rsidR="008B068A">
              <w:rPr>
                <w:rFonts w:hint="eastAsia"/>
              </w:rPr>
              <w:t>11</w:t>
            </w:r>
            <w:r w:rsidR="008B068A">
              <w:rPr>
                <w:rFonts w:hint="eastAsia"/>
              </w:rPr>
              <w:t>工程投资及进度安排</w:t>
            </w:r>
            <w:r w:rsidR="008B068A">
              <w:tab/>
            </w:r>
            <w:r w:rsidR="008B068A">
              <w:fldChar w:fldCharType="begin"/>
            </w:r>
            <w:r w:rsidR="008B068A">
              <w:instrText xml:space="preserve"> PAGEREF _Toc12747 \h </w:instrText>
            </w:r>
            <w:r w:rsidR="008B068A">
              <w:fldChar w:fldCharType="separate"/>
            </w:r>
            <w:r w:rsidR="008B068A">
              <w:t>14</w:t>
            </w:r>
            <w:r w:rsidR="008B068A">
              <w:fldChar w:fldCharType="end"/>
            </w:r>
          </w:hyperlink>
        </w:p>
        <w:p w:rsidR="008E4D92" w:rsidRDefault="0021079E">
          <w:pPr>
            <w:pStyle w:val="20"/>
            <w:tabs>
              <w:tab w:val="right" w:leader="dot" w:pos="8306"/>
            </w:tabs>
            <w:ind w:left="480"/>
          </w:pPr>
          <w:hyperlink w:anchor="_Toc24995" w:history="1">
            <w:r w:rsidR="008B068A">
              <w:t>1.1</w:t>
            </w:r>
            <w:r w:rsidR="008B068A">
              <w:rPr>
                <w:rFonts w:hint="eastAsia"/>
              </w:rPr>
              <w:t>2</w:t>
            </w:r>
            <w:r w:rsidR="008B068A">
              <w:t>水土流失防治的执行标准</w:t>
            </w:r>
            <w:r w:rsidR="008B068A">
              <w:tab/>
            </w:r>
            <w:r w:rsidR="008B068A">
              <w:fldChar w:fldCharType="begin"/>
            </w:r>
            <w:r w:rsidR="008B068A">
              <w:instrText xml:space="preserve"> PAGEREF _Toc24995 \h </w:instrText>
            </w:r>
            <w:r w:rsidR="008B068A">
              <w:fldChar w:fldCharType="separate"/>
            </w:r>
            <w:r w:rsidR="008B068A">
              <w:t>14</w:t>
            </w:r>
            <w:r w:rsidR="008B068A">
              <w:fldChar w:fldCharType="end"/>
            </w:r>
          </w:hyperlink>
        </w:p>
        <w:p w:rsidR="008E4D92" w:rsidRDefault="0021079E">
          <w:pPr>
            <w:pStyle w:val="20"/>
            <w:tabs>
              <w:tab w:val="right" w:leader="dot" w:pos="8306"/>
            </w:tabs>
            <w:ind w:left="480"/>
          </w:pPr>
          <w:hyperlink w:anchor="_Toc12738" w:history="1">
            <w:r w:rsidR="008B068A">
              <w:t>1.1</w:t>
            </w:r>
            <w:r w:rsidR="008B068A">
              <w:rPr>
                <w:rFonts w:hint="eastAsia"/>
              </w:rPr>
              <w:t>3</w:t>
            </w:r>
            <w:r w:rsidR="008B068A">
              <w:t>方案设计水平年</w:t>
            </w:r>
            <w:r w:rsidR="008B068A">
              <w:tab/>
            </w:r>
            <w:r w:rsidR="008B068A">
              <w:fldChar w:fldCharType="begin"/>
            </w:r>
            <w:r w:rsidR="008B068A">
              <w:instrText xml:space="preserve"> PAGEREF _Toc12738 \h </w:instrText>
            </w:r>
            <w:r w:rsidR="008B068A">
              <w:fldChar w:fldCharType="separate"/>
            </w:r>
            <w:r w:rsidR="008B068A">
              <w:t>15</w:t>
            </w:r>
            <w:r w:rsidR="008B068A">
              <w:fldChar w:fldCharType="end"/>
            </w:r>
          </w:hyperlink>
        </w:p>
        <w:p w:rsidR="008E4D92" w:rsidRDefault="0021079E">
          <w:pPr>
            <w:pStyle w:val="10"/>
            <w:tabs>
              <w:tab w:val="right" w:leader="dot" w:pos="8306"/>
            </w:tabs>
          </w:pPr>
          <w:hyperlink w:anchor="_Toc23008" w:history="1">
            <w:r w:rsidR="008B068A">
              <w:t>2</w:t>
            </w:r>
            <w:r w:rsidR="008B068A">
              <w:t>项目区概况</w:t>
            </w:r>
            <w:r w:rsidR="008B068A">
              <w:tab/>
            </w:r>
            <w:r w:rsidR="008B068A">
              <w:fldChar w:fldCharType="begin"/>
            </w:r>
            <w:r w:rsidR="008B068A">
              <w:instrText xml:space="preserve"> PAGEREF _Toc23008 \h </w:instrText>
            </w:r>
            <w:r w:rsidR="008B068A">
              <w:fldChar w:fldCharType="separate"/>
            </w:r>
            <w:r w:rsidR="008B068A">
              <w:t>16</w:t>
            </w:r>
            <w:r w:rsidR="008B068A">
              <w:fldChar w:fldCharType="end"/>
            </w:r>
          </w:hyperlink>
        </w:p>
        <w:p w:rsidR="008E4D92" w:rsidRDefault="0021079E">
          <w:pPr>
            <w:pStyle w:val="20"/>
            <w:tabs>
              <w:tab w:val="right" w:leader="dot" w:pos="8306"/>
            </w:tabs>
            <w:ind w:left="480"/>
          </w:pPr>
          <w:hyperlink w:anchor="_Toc12740" w:history="1">
            <w:r w:rsidR="008B068A">
              <w:t>2.1</w:t>
            </w:r>
            <w:r w:rsidR="008B068A">
              <w:rPr>
                <w:rFonts w:hint="eastAsia"/>
              </w:rPr>
              <w:t xml:space="preserve"> </w:t>
            </w:r>
            <w:r w:rsidR="008B068A">
              <w:t>地形地貌</w:t>
            </w:r>
            <w:r w:rsidR="008B068A">
              <w:tab/>
            </w:r>
            <w:r w:rsidR="008B068A">
              <w:fldChar w:fldCharType="begin"/>
            </w:r>
            <w:r w:rsidR="008B068A">
              <w:instrText xml:space="preserve"> PAGEREF _Toc12740 \h </w:instrText>
            </w:r>
            <w:r w:rsidR="008B068A">
              <w:fldChar w:fldCharType="separate"/>
            </w:r>
            <w:r w:rsidR="008B068A">
              <w:t>16</w:t>
            </w:r>
            <w:r w:rsidR="008B068A">
              <w:fldChar w:fldCharType="end"/>
            </w:r>
          </w:hyperlink>
        </w:p>
        <w:p w:rsidR="008E4D92" w:rsidRDefault="0021079E">
          <w:pPr>
            <w:pStyle w:val="20"/>
            <w:tabs>
              <w:tab w:val="right" w:leader="dot" w:pos="8306"/>
            </w:tabs>
            <w:ind w:left="480"/>
          </w:pPr>
          <w:hyperlink w:anchor="_Toc11337" w:history="1">
            <w:r w:rsidR="008B068A">
              <w:t>2.2</w:t>
            </w:r>
            <w:r w:rsidR="008B068A">
              <w:t>自然环境概况</w:t>
            </w:r>
            <w:r w:rsidR="008B068A">
              <w:tab/>
            </w:r>
            <w:r w:rsidR="008B068A">
              <w:fldChar w:fldCharType="begin"/>
            </w:r>
            <w:r w:rsidR="008B068A">
              <w:instrText xml:space="preserve"> PAGEREF _Toc11337 \h </w:instrText>
            </w:r>
            <w:r w:rsidR="008B068A">
              <w:fldChar w:fldCharType="separate"/>
            </w:r>
            <w:r w:rsidR="008B068A">
              <w:t>16</w:t>
            </w:r>
            <w:r w:rsidR="008B068A">
              <w:fldChar w:fldCharType="end"/>
            </w:r>
          </w:hyperlink>
        </w:p>
        <w:p w:rsidR="008E4D92" w:rsidRDefault="0021079E">
          <w:pPr>
            <w:pStyle w:val="20"/>
            <w:tabs>
              <w:tab w:val="right" w:leader="dot" w:pos="8306"/>
            </w:tabs>
            <w:ind w:left="480"/>
          </w:pPr>
          <w:hyperlink w:anchor="_Toc7515" w:history="1">
            <w:r w:rsidR="008B068A">
              <w:t>2.3</w:t>
            </w:r>
            <w:r w:rsidR="008B068A">
              <w:t>社会经济概况</w:t>
            </w:r>
            <w:r w:rsidR="008B068A">
              <w:tab/>
            </w:r>
            <w:r w:rsidR="008B068A">
              <w:fldChar w:fldCharType="begin"/>
            </w:r>
            <w:r w:rsidR="008B068A">
              <w:instrText xml:space="preserve"> PAGEREF _Toc7515 \h </w:instrText>
            </w:r>
            <w:r w:rsidR="008B068A">
              <w:fldChar w:fldCharType="separate"/>
            </w:r>
            <w:r w:rsidR="008B068A">
              <w:t>17</w:t>
            </w:r>
            <w:r w:rsidR="008B068A">
              <w:fldChar w:fldCharType="end"/>
            </w:r>
          </w:hyperlink>
        </w:p>
        <w:p w:rsidR="008E4D92" w:rsidRDefault="0021079E">
          <w:pPr>
            <w:pStyle w:val="20"/>
            <w:tabs>
              <w:tab w:val="right" w:leader="dot" w:pos="8306"/>
            </w:tabs>
            <w:ind w:left="480"/>
          </w:pPr>
          <w:hyperlink w:anchor="_Toc12981" w:history="1">
            <w:r w:rsidR="008B068A">
              <w:t>2.4</w:t>
            </w:r>
            <w:r w:rsidR="008B068A">
              <w:t>土地利用现状</w:t>
            </w:r>
            <w:r w:rsidR="008B068A">
              <w:tab/>
            </w:r>
            <w:r w:rsidR="008B068A">
              <w:fldChar w:fldCharType="begin"/>
            </w:r>
            <w:r w:rsidR="008B068A">
              <w:instrText xml:space="preserve"> PAGEREF _Toc12981 \h </w:instrText>
            </w:r>
            <w:r w:rsidR="008B068A">
              <w:fldChar w:fldCharType="separate"/>
            </w:r>
            <w:r w:rsidR="008B068A">
              <w:t>18</w:t>
            </w:r>
            <w:r w:rsidR="008B068A">
              <w:fldChar w:fldCharType="end"/>
            </w:r>
          </w:hyperlink>
        </w:p>
        <w:p w:rsidR="008E4D92" w:rsidRDefault="0021079E">
          <w:pPr>
            <w:pStyle w:val="20"/>
            <w:tabs>
              <w:tab w:val="right" w:leader="dot" w:pos="8306"/>
            </w:tabs>
            <w:ind w:left="480"/>
          </w:pPr>
          <w:hyperlink w:anchor="_Toc22950" w:history="1">
            <w:r w:rsidR="008B068A">
              <w:t>2.5</w:t>
            </w:r>
            <w:r w:rsidR="008B068A">
              <w:t>水土流失现状</w:t>
            </w:r>
            <w:r w:rsidR="008B068A">
              <w:tab/>
            </w:r>
            <w:r w:rsidR="008B068A">
              <w:fldChar w:fldCharType="begin"/>
            </w:r>
            <w:r w:rsidR="008B068A">
              <w:instrText xml:space="preserve"> PAGEREF _Toc22950 \h </w:instrText>
            </w:r>
            <w:r w:rsidR="008B068A">
              <w:fldChar w:fldCharType="separate"/>
            </w:r>
            <w:r w:rsidR="008B068A">
              <w:t>18</w:t>
            </w:r>
            <w:r w:rsidR="008B068A">
              <w:fldChar w:fldCharType="end"/>
            </w:r>
          </w:hyperlink>
        </w:p>
        <w:p w:rsidR="008E4D92" w:rsidRDefault="0021079E">
          <w:pPr>
            <w:pStyle w:val="20"/>
            <w:tabs>
              <w:tab w:val="right" w:leader="dot" w:pos="8306"/>
            </w:tabs>
            <w:ind w:left="480"/>
          </w:pPr>
          <w:hyperlink w:anchor="_Toc3526" w:history="1">
            <w:r w:rsidR="008B068A">
              <w:t>2.6</w:t>
            </w:r>
            <w:r w:rsidR="008B068A">
              <w:t>项目区水土保持现状</w:t>
            </w:r>
            <w:r w:rsidR="008B068A">
              <w:tab/>
            </w:r>
            <w:r w:rsidR="008B068A">
              <w:fldChar w:fldCharType="begin"/>
            </w:r>
            <w:r w:rsidR="008B068A">
              <w:instrText xml:space="preserve"> PAGEREF _Toc3526 \h </w:instrText>
            </w:r>
            <w:r w:rsidR="008B068A">
              <w:fldChar w:fldCharType="separate"/>
            </w:r>
            <w:r w:rsidR="008B068A">
              <w:t>19</w:t>
            </w:r>
            <w:r w:rsidR="008B068A">
              <w:fldChar w:fldCharType="end"/>
            </w:r>
          </w:hyperlink>
        </w:p>
        <w:p w:rsidR="008E4D92" w:rsidRDefault="0021079E">
          <w:pPr>
            <w:pStyle w:val="20"/>
            <w:tabs>
              <w:tab w:val="right" w:leader="dot" w:pos="8306"/>
            </w:tabs>
            <w:ind w:left="480"/>
          </w:pPr>
          <w:hyperlink w:anchor="_Toc7354" w:history="1">
            <w:r w:rsidR="008B068A">
              <w:t>2.7</w:t>
            </w:r>
            <w:r w:rsidR="008B068A">
              <w:t>水土流失防治经验</w:t>
            </w:r>
            <w:r w:rsidR="008B068A">
              <w:tab/>
            </w:r>
            <w:r w:rsidR="008B068A">
              <w:fldChar w:fldCharType="begin"/>
            </w:r>
            <w:r w:rsidR="008B068A">
              <w:instrText xml:space="preserve"> PAGEREF _Toc7354 \h </w:instrText>
            </w:r>
            <w:r w:rsidR="008B068A">
              <w:fldChar w:fldCharType="separate"/>
            </w:r>
            <w:r w:rsidR="008B068A">
              <w:t>20</w:t>
            </w:r>
            <w:r w:rsidR="008B068A">
              <w:fldChar w:fldCharType="end"/>
            </w:r>
          </w:hyperlink>
        </w:p>
        <w:p w:rsidR="008E4D92" w:rsidRDefault="0021079E">
          <w:pPr>
            <w:pStyle w:val="10"/>
            <w:tabs>
              <w:tab w:val="right" w:leader="dot" w:pos="8306"/>
            </w:tabs>
          </w:pPr>
          <w:hyperlink w:anchor="_Toc15185" w:history="1">
            <w:r w:rsidR="008B068A">
              <w:t>3</w:t>
            </w:r>
            <w:r w:rsidR="008B068A">
              <w:t>水土流失防治责任范围</w:t>
            </w:r>
            <w:r w:rsidR="008B068A">
              <w:rPr>
                <w:rFonts w:hint="eastAsia"/>
              </w:rPr>
              <w:t>及防治分区</w:t>
            </w:r>
            <w:r w:rsidR="008B068A">
              <w:tab/>
            </w:r>
            <w:r w:rsidR="008B068A">
              <w:fldChar w:fldCharType="begin"/>
            </w:r>
            <w:r w:rsidR="008B068A">
              <w:instrText xml:space="preserve"> PAGEREF _Toc15185 \h </w:instrText>
            </w:r>
            <w:r w:rsidR="008B068A">
              <w:fldChar w:fldCharType="separate"/>
            </w:r>
            <w:r w:rsidR="008B068A">
              <w:t>23</w:t>
            </w:r>
            <w:r w:rsidR="008B068A">
              <w:fldChar w:fldCharType="end"/>
            </w:r>
          </w:hyperlink>
        </w:p>
        <w:p w:rsidR="008E4D92" w:rsidRDefault="0021079E">
          <w:pPr>
            <w:pStyle w:val="20"/>
            <w:tabs>
              <w:tab w:val="right" w:leader="dot" w:pos="8306"/>
            </w:tabs>
            <w:ind w:left="480"/>
          </w:pPr>
          <w:hyperlink w:anchor="_Toc21735" w:history="1">
            <w:r w:rsidR="008B068A">
              <w:rPr>
                <w:rFonts w:hint="eastAsia"/>
                <w:szCs w:val="30"/>
              </w:rPr>
              <w:t>3</w:t>
            </w:r>
            <w:r w:rsidR="008B068A">
              <w:rPr>
                <w:szCs w:val="30"/>
              </w:rPr>
              <w:t>.1</w:t>
            </w:r>
            <w:r w:rsidR="008B068A">
              <w:rPr>
                <w:rFonts w:hint="eastAsia"/>
                <w:szCs w:val="30"/>
              </w:rPr>
              <w:t>水土流失防治责任范围</w:t>
            </w:r>
            <w:r w:rsidR="008B068A">
              <w:tab/>
            </w:r>
            <w:r w:rsidR="008B068A">
              <w:fldChar w:fldCharType="begin"/>
            </w:r>
            <w:r w:rsidR="008B068A">
              <w:instrText xml:space="preserve"> PAGEREF _Toc21735 \h </w:instrText>
            </w:r>
            <w:r w:rsidR="008B068A">
              <w:fldChar w:fldCharType="separate"/>
            </w:r>
            <w:r w:rsidR="008B068A">
              <w:t>23</w:t>
            </w:r>
            <w:r w:rsidR="008B068A">
              <w:fldChar w:fldCharType="end"/>
            </w:r>
          </w:hyperlink>
        </w:p>
        <w:p w:rsidR="008E4D92" w:rsidRDefault="0021079E">
          <w:pPr>
            <w:pStyle w:val="20"/>
            <w:tabs>
              <w:tab w:val="right" w:leader="dot" w:pos="8306"/>
            </w:tabs>
            <w:ind w:left="480"/>
          </w:pPr>
          <w:hyperlink w:anchor="_Toc24838" w:history="1">
            <w:r w:rsidR="008B068A">
              <w:rPr>
                <w:rFonts w:hint="eastAsia"/>
                <w:szCs w:val="30"/>
              </w:rPr>
              <w:t>3</w:t>
            </w:r>
            <w:r w:rsidR="008B068A">
              <w:rPr>
                <w:szCs w:val="30"/>
              </w:rPr>
              <w:t>.</w:t>
            </w:r>
            <w:r w:rsidR="008B068A">
              <w:rPr>
                <w:rFonts w:hint="eastAsia"/>
                <w:szCs w:val="30"/>
              </w:rPr>
              <w:t>2</w:t>
            </w:r>
            <w:r w:rsidR="008B068A">
              <w:rPr>
                <w:rFonts w:hint="eastAsia"/>
                <w:szCs w:val="30"/>
              </w:rPr>
              <w:t>水土流失防治分区</w:t>
            </w:r>
            <w:r w:rsidR="008B068A">
              <w:tab/>
            </w:r>
            <w:r w:rsidR="008B068A">
              <w:fldChar w:fldCharType="begin"/>
            </w:r>
            <w:r w:rsidR="008B068A">
              <w:instrText xml:space="preserve"> PAGEREF _Toc24838 \h </w:instrText>
            </w:r>
            <w:r w:rsidR="008B068A">
              <w:fldChar w:fldCharType="separate"/>
            </w:r>
            <w:r w:rsidR="008B068A">
              <w:t>23</w:t>
            </w:r>
            <w:r w:rsidR="008B068A">
              <w:fldChar w:fldCharType="end"/>
            </w:r>
          </w:hyperlink>
        </w:p>
        <w:p w:rsidR="008E4D92" w:rsidRDefault="0021079E">
          <w:pPr>
            <w:pStyle w:val="10"/>
            <w:tabs>
              <w:tab w:val="right" w:leader="dot" w:pos="8306"/>
            </w:tabs>
          </w:pPr>
          <w:hyperlink w:anchor="_Toc18223" w:history="1">
            <w:r w:rsidR="008B068A">
              <w:t>4</w:t>
            </w:r>
            <w:r w:rsidR="008B068A">
              <w:rPr>
                <w:rFonts w:hint="eastAsia"/>
              </w:rPr>
              <w:t>产生水土流失的环节分析</w:t>
            </w:r>
            <w:r w:rsidR="008B068A">
              <w:tab/>
            </w:r>
            <w:r w:rsidR="008B068A">
              <w:fldChar w:fldCharType="begin"/>
            </w:r>
            <w:r w:rsidR="008B068A">
              <w:instrText xml:space="preserve"> PAGEREF _Toc18223 \h </w:instrText>
            </w:r>
            <w:r w:rsidR="008B068A">
              <w:fldChar w:fldCharType="separate"/>
            </w:r>
            <w:r w:rsidR="008B068A">
              <w:t>24</w:t>
            </w:r>
            <w:r w:rsidR="008B068A">
              <w:fldChar w:fldCharType="end"/>
            </w:r>
          </w:hyperlink>
        </w:p>
        <w:p w:rsidR="008E4D92" w:rsidRDefault="0021079E">
          <w:pPr>
            <w:pStyle w:val="20"/>
            <w:tabs>
              <w:tab w:val="right" w:leader="dot" w:pos="8306"/>
            </w:tabs>
            <w:ind w:left="480"/>
          </w:pPr>
          <w:hyperlink w:anchor="_Toc30100" w:history="1">
            <w:r w:rsidR="008B068A">
              <w:t>4.1</w:t>
            </w:r>
            <w:r w:rsidR="008B068A">
              <w:t>水土流失现状</w:t>
            </w:r>
            <w:r w:rsidR="008B068A">
              <w:tab/>
            </w:r>
            <w:r w:rsidR="008B068A">
              <w:fldChar w:fldCharType="begin"/>
            </w:r>
            <w:r w:rsidR="008B068A">
              <w:instrText xml:space="preserve"> PAGEREF _Toc30100 \h </w:instrText>
            </w:r>
            <w:r w:rsidR="008B068A">
              <w:fldChar w:fldCharType="separate"/>
            </w:r>
            <w:r w:rsidR="008B068A">
              <w:t>24</w:t>
            </w:r>
            <w:r w:rsidR="008B068A">
              <w:fldChar w:fldCharType="end"/>
            </w:r>
          </w:hyperlink>
        </w:p>
        <w:p w:rsidR="008E4D92" w:rsidRDefault="0021079E">
          <w:pPr>
            <w:pStyle w:val="20"/>
            <w:tabs>
              <w:tab w:val="right" w:leader="dot" w:pos="8306"/>
            </w:tabs>
            <w:ind w:left="480"/>
          </w:pPr>
          <w:hyperlink w:anchor="_Toc1654" w:history="1">
            <w:r w:rsidR="008B068A">
              <w:rPr>
                <w:position w:val="4"/>
                <w:szCs w:val="30"/>
              </w:rPr>
              <w:t>4.2</w:t>
            </w:r>
            <w:r w:rsidR="008B068A">
              <w:rPr>
                <w:position w:val="4"/>
                <w:szCs w:val="30"/>
              </w:rPr>
              <w:t>水土流失影响因素分析</w:t>
            </w:r>
            <w:r w:rsidR="008B068A">
              <w:tab/>
            </w:r>
            <w:r w:rsidR="008B068A">
              <w:fldChar w:fldCharType="begin"/>
            </w:r>
            <w:r w:rsidR="008B068A">
              <w:instrText xml:space="preserve"> PAGEREF _Toc1654 \h </w:instrText>
            </w:r>
            <w:r w:rsidR="008B068A">
              <w:fldChar w:fldCharType="separate"/>
            </w:r>
            <w:r w:rsidR="008B068A">
              <w:t>24</w:t>
            </w:r>
            <w:r w:rsidR="008B068A">
              <w:fldChar w:fldCharType="end"/>
            </w:r>
          </w:hyperlink>
        </w:p>
        <w:p w:rsidR="008E4D92" w:rsidRDefault="0021079E">
          <w:pPr>
            <w:pStyle w:val="20"/>
            <w:tabs>
              <w:tab w:val="right" w:leader="dot" w:pos="8306"/>
            </w:tabs>
            <w:ind w:left="480"/>
          </w:pPr>
          <w:hyperlink w:anchor="_Toc913" w:history="1">
            <w:r w:rsidR="008B068A">
              <w:t>4.3</w:t>
            </w:r>
            <w:r w:rsidR="008B068A">
              <w:t>土壤流失量</w:t>
            </w:r>
            <w:r w:rsidR="008B068A">
              <w:rPr>
                <w:rFonts w:hint="eastAsia"/>
              </w:rPr>
              <w:t>调查</w:t>
            </w:r>
            <w:r w:rsidR="008B068A">
              <w:tab/>
            </w:r>
            <w:r w:rsidR="008B068A">
              <w:fldChar w:fldCharType="begin"/>
            </w:r>
            <w:r w:rsidR="008B068A">
              <w:instrText xml:space="preserve"> PAGEREF _Toc913 \h </w:instrText>
            </w:r>
            <w:r w:rsidR="008B068A">
              <w:fldChar w:fldCharType="separate"/>
            </w:r>
            <w:r w:rsidR="008B068A">
              <w:t>24</w:t>
            </w:r>
            <w:r w:rsidR="008B068A">
              <w:fldChar w:fldCharType="end"/>
            </w:r>
          </w:hyperlink>
        </w:p>
        <w:p w:rsidR="008E4D92" w:rsidRDefault="0021079E">
          <w:pPr>
            <w:pStyle w:val="10"/>
            <w:tabs>
              <w:tab w:val="right" w:leader="dot" w:pos="8306"/>
            </w:tabs>
          </w:pPr>
          <w:hyperlink w:anchor="_Toc12594" w:history="1">
            <w:r w:rsidR="008B068A">
              <w:t>5</w:t>
            </w:r>
            <w:r w:rsidR="008B068A">
              <w:t>水土保持措施</w:t>
            </w:r>
            <w:r w:rsidR="008B068A">
              <w:tab/>
            </w:r>
            <w:r w:rsidR="008B068A">
              <w:fldChar w:fldCharType="begin"/>
            </w:r>
            <w:r w:rsidR="008B068A">
              <w:instrText xml:space="preserve"> PAGEREF _Toc12594 \h </w:instrText>
            </w:r>
            <w:r w:rsidR="008B068A">
              <w:fldChar w:fldCharType="separate"/>
            </w:r>
            <w:r w:rsidR="008B068A">
              <w:t>28</w:t>
            </w:r>
            <w:r w:rsidR="008B068A">
              <w:fldChar w:fldCharType="end"/>
            </w:r>
          </w:hyperlink>
        </w:p>
        <w:p w:rsidR="008E4D92" w:rsidRDefault="0021079E">
          <w:pPr>
            <w:pStyle w:val="20"/>
            <w:tabs>
              <w:tab w:val="right" w:leader="dot" w:pos="8306"/>
            </w:tabs>
            <w:ind w:left="480"/>
          </w:pPr>
          <w:hyperlink w:anchor="_Toc23784" w:history="1">
            <w:r w:rsidR="008B068A">
              <w:rPr>
                <w:bCs/>
                <w:kern w:val="30"/>
                <w:szCs w:val="30"/>
              </w:rPr>
              <w:t>5.1</w:t>
            </w:r>
            <w:r w:rsidR="008B068A">
              <w:rPr>
                <w:bCs/>
                <w:kern w:val="30"/>
                <w:szCs w:val="30"/>
              </w:rPr>
              <w:t>防治区划分</w:t>
            </w:r>
            <w:r w:rsidR="008B068A">
              <w:tab/>
            </w:r>
            <w:r w:rsidR="008B068A">
              <w:fldChar w:fldCharType="begin"/>
            </w:r>
            <w:r w:rsidR="008B068A">
              <w:instrText xml:space="preserve"> PAGEREF _Toc23784 \h </w:instrText>
            </w:r>
            <w:r w:rsidR="008B068A">
              <w:fldChar w:fldCharType="separate"/>
            </w:r>
            <w:r w:rsidR="008B068A">
              <w:t>28</w:t>
            </w:r>
            <w:r w:rsidR="008B068A">
              <w:fldChar w:fldCharType="end"/>
            </w:r>
          </w:hyperlink>
        </w:p>
        <w:p w:rsidR="008E4D92" w:rsidRDefault="0021079E">
          <w:pPr>
            <w:pStyle w:val="20"/>
            <w:tabs>
              <w:tab w:val="right" w:leader="dot" w:pos="8306"/>
            </w:tabs>
            <w:ind w:left="480"/>
          </w:pPr>
          <w:hyperlink w:anchor="_Toc4520" w:history="1">
            <w:r w:rsidR="008B068A">
              <w:t>5.2</w:t>
            </w:r>
            <w:r w:rsidR="008B068A">
              <w:t>主体工程设计中具有水土保持措施界定与评价</w:t>
            </w:r>
            <w:r w:rsidR="008B068A">
              <w:tab/>
            </w:r>
            <w:r w:rsidR="008B068A">
              <w:fldChar w:fldCharType="begin"/>
            </w:r>
            <w:r w:rsidR="008B068A">
              <w:instrText xml:space="preserve"> PAGEREF _Toc4520 \h </w:instrText>
            </w:r>
            <w:r w:rsidR="008B068A">
              <w:fldChar w:fldCharType="separate"/>
            </w:r>
            <w:r w:rsidR="008B068A">
              <w:t>29</w:t>
            </w:r>
            <w:r w:rsidR="008B068A">
              <w:fldChar w:fldCharType="end"/>
            </w:r>
          </w:hyperlink>
        </w:p>
        <w:p w:rsidR="008E4D92" w:rsidRDefault="0021079E">
          <w:pPr>
            <w:pStyle w:val="20"/>
            <w:tabs>
              <w:tab w:val="right" w:leader="dot" w:pos="8306"/>
            </w:tabs>
            <w:ind w:left="480"/>
          </w:pPr>
          <w:hyperlink w:anchor="_Toc2735" w:history="1">
            <w:r w:rsidR="008B068A">
              <w:t>5.2</w:t>
            </w:r>
            <w:r w:rsidR="008B068A">
              <w:t>措施总体布局</w:t>
            </w:r>
            <w:r w:rsidR="008B068A">
              <w:tab/>
            </w:r>
            <w:r w:rsidR="008B068A">
              <w:fldChar w:fldCharType="begin"/>
            </w:r>
            <w:r w:rsidR="008B068A">
              <w:instrText xml:space="preserve"> PAGEREF _Toc2735 \h </w:instrText>
            </w:r>
            <w:r w:rsidR="008B068A">
              <w:fldChar w:fldCharType="separate"/>
            </w:r>
            <w:r w:rsidR="008B068A">
              <w:t>31</w:t>
            </w:r>
            <w:r w:rsidR="008B068A">
              <w:fldChar w:fldCharType="end"/>
            </w:r>
          </w:hyperlink>
        </w:p>
        <w:p w:rsidR="008E4D92" w:rsidRDefault="0021079E">
          <w:pPr>
            <w:pStyle w:val="20"/>
            <w:tabs>
              <w:tab w:val="right" w:leader="dot" w:pos="8306"/>
            </w:tabs>
            <w:ind w:left="480"/>
          </w:pPr>
          <w:hyperlink w:anchor="_Toc23798" w:history="1">
            <w:r w:rsidR="008B068A">
              <w:t>5.3</w:t>
            </w:r>
            <w:r w:rsidR="008B068A">
              <w:rPr>
                <w:lang w:val="zh-CN"/>
              </w:rPr>
              <w:t>分区措施布设</w:t>
            </w:r>
            <w:r w:rsidR="008B068A">
              <w:tab/>
            </w:r>
            <w:r w:rsidR="008B068A">
              <w:fldChar w:fldCharType="begin"/>
            </w:r>
            <w:r w:rsidR="008B068A">
              <w:instrText xml:space="preserve"> PAGEREF _Toc23798 \h </w:instrText>
            </w:r>
            <w:r w:rsidR="008B068A">
              <w:fldChar w:fldCharType="separate"/>
            </w:r>
            <w:r w:rsidR="008B068A">
              <w:t>32</w:t>
            </w:r>
            <w:r w:rsidR="008B068A">
              <w:fldChar w:fldCharType="end"/>
            </w:r>
          </w:hyperlink>
        </w:p>
        <w:p w:rsidR="008E4D92" w:rsidRDefault="0021079E">
          <w:pPr>
            <w:pStyle w:val="10"/>
            <w:tabs>
              <w:tab w:val="right" w:leader="dot" w:pos="8306"/>
            </w:tabs>
          </w:pPr>
          <w:hyperlink w:anchor="_Toc25727" w:history="1">
            <w:r w:rsidR="008B068A">
              <w:rPr>
                <w:rFonts w:hint="eastAsia"/>
                <w:szCs w:val="22"/>
              </w:rPr>
              <w:t>6</w:t>
            </w:r>
            <w:r w:rsidR="008B068A">
              <w:rPr>
                <w:rFonts w:hint="eastAsia"/>
                <w:szCs w:val="22"/>
              </w:rPr>
              <w:t>水土保持监测</w:t>
            </w:r>
            <w:r w:rsidR="008B068A">
              <w:tab/>
            </w:r>
            <w:r w:rsidR="008B068A">
              <w:fldChar w:fldCharType="begin"/>
            </w:r>
            <w:r w:rsidR="008B068A">
              <w:instrText xml:space="preserve"> PAGEREF _Toc25727 \h </w:instrText>
            </w:r>
            <w:r w:rsidR="008B068A">
              <w:fldChar w:fldCharType="separate"/>
            </w:r>
            <w:r w:rsidR="008B068A">
              <w:t>34</w:t>
            </w:r>
            <w:r w:rsidR="008B068A">
              <w:fldChar w:fldCharType="end"/>
            </w:r>
          </w:hyperlink>
        </w:p>
        <w:p w:rsidR="008E4D92" w:rsidRDefault="0021079E">
          <w:pPr>
            <w:pStyle w:val="20"/>
            <w:tabs>
              <w:tab w:val="right" w:leader="dot" w:pos="8306"/>
            </w:tabs>
            <w:ind w:left="480"/>
          </w:pPr>
          <w:hyperlink w:anchor="_Toc28533" w:history="1">
            <w:r w:rsidR="008B068A">
              <w:rPr>
                <w:rFonts w:hint="eastAsia"/>
                <w:szCs w:val="22"/>
              </w:rPr>
              <w:t>6.1</w:t>
            </w:r>
            <w:r w:rsidR="008B068A">
              <w:rPr>
                <w:rFonts w:hint="eastAsia"/>
                <w:szCs w:val="22"/>
              </w:rPr>
              <w:t>监测范围</w:t>
            </w:r>
            <w:r w:rsidR="008B068A">
              <w:tab/>
            </w:r>
            <w:r w:rsidR="008B068A">
              <w:fldChar w:fldCharType="begin"/>
            </w:r>
            <w:r w:rsidR="008B068A">
              <w:instrText xml:space="preserve"> PAGEREF _Toc28533 \h </w:instrText>
            </w:r>
            <w:r w:rsidR="008B068A">
              <w:fldChar w:fldCharType="separate"/>
            </w:r>
            <w:r w:rsidR="008B068A">
              <w:t>34</w:t>
            </w:r>
            <w:r w:rsidR="008B068A">
              <w:fldChar w:fldCharType="end"/>
            </w:r>
          </w:hyperlink>
        </w:p>
        <w:p w:rsidR="008E4D92" w:rsidRDefault="0021079E">
          <w:pPr>
            <w:pStyle w:val="20"/>
            <w:tabs>
              <w:tab w:val="right" w:leader="dot" w:pos="8306"/>
            </w:tabs>
            <w:ind w:left="480"/>
          </w:pPr>
          <w:hyperlink w:anchor="_Toc21455" w:history="1">
            <w:r w:rsidR="008B068A">
              <w:rPr>
                <w:rFonts w:hint="eastAsia"/>
                <w:szCs w:val="22"/>
              </w:rPr>
              <w:t>6.2</w:t>
            </w:r>
            <w:r w:rsidR="008B068A">
              <w:rPr>
                <w:rFonts w:hint="eastAsia"/>
                <w:szCs w:val="22"/>
                <w:lang w:val="zh-CN"/>
              </w:rPr>
              <w:t>监测内容</w:t>
            </w:r>
            <w:r w:rsidR="008B068A">
              <w:tab/>
            </w:r>
            <w:r w:rsidR="008B068A">
              <w:fldChar w:fldCharType="begin"/>
            </w:r>
            <w:r w:rsidR="008B068A">
              <w:instrText xml:space="preserve"> PAGEREF _Toc21455 \h </w:instrText>
            </w:r>
            <w:r w:rsidR="008B068A">
              <w:fldChar w:fldCharType="separate"/>
            </w:r>
            <w:r w:rsidR="008B068A">
              <w:t>34</w:t>
            </w:r>
            <w:r w:rsidR="008B068A">
              <w:fldChar w:fldCharType="end"/>
            </w:r>
          </w:hyperlink>
        </w:p>
        <w:p w:rsidR="008E4D92" w:rsidRDefault="0021079E">
          <w:pPr>
            <w:pStyle w:val="20"/>
            <w:tabs>
              <w:tab w:val="right" w:leader="dot" w:pos="8306"/>
            </w:tabs>
            <w:ind w:left="480"/>
          </w:pPr>
          <w:hyperlink w:anchor="_Toc6465" w:history="1">
            <w:r w:rsidR="008B068A">
              <w:rPr>
                <w:rFonts w:hint="eastAsia"/>
                <w:szCs w:val="22"/>
              </w:rPr>
              <w:t>6.3</w:t>
            </w:r>
            <w:r w:rsidR="008B068A">
              <w:rPr>
                <w:rFonts w:hint="eastAsia"/>
                <w:szCs w:val="22"/>
                <w:lang w:val="zh-CN"/>
              </w:rPr>
              <w:t>监测方法</w:t>
            </w:r>
            <w:r w:rsidR="008B068A">
              <w:tab/>
            </w:r>
            <w:r w:rsidR="008B068A">
              <w:fldChar w:fldCharType="begin"/>
            </w:r>
            <w:r w:rsidR="008B068A">
              <w:instrText xml:space="preserve"> PAGEREF _Toc6465 \h </w:instrText>
            </w:r>
            <w:r w:rsidR="008B068A">
              <w:fldChar w:fldCharType="separate"/>
            </w:r>
            <w:r w:rsidR="008B068A">
              <w:t>34</w:t>
            </w:r>
            <w:r w:rsidR="008B068A">
              <w:fldChar w:fldCharType="end"/>
            </w:r>
          </w:hyperlink>
        </w:p>
        <w:p w:rsidR="008E4D92" w:rsidRDefault="0021079E">
          <w:pPr>
            <w:pStyle w:val="10"/>
            <w:tabs>
              <w:tab w:val="right" w:leader="dot" w:pos="8306"/>
            </w:tabs>
          </w:pPr>
          <w:hyperlink w:anchor="_Toc10973" w:history="1">
            <w:r w:rsidR="008B068A">
              <w:t>7</w:t>
            </w:r>
            <w:r w:rsidR="008B068A">
              <w:t>水土保持投资概算及效益分析</w:t>
            </w:r>
            <w:r w:rsidR="008B068A">
              <w:tab/>
            </w:r>
            <w:r w:rsidR="008B068A">
              <w:fldChar w:fldCharType="begin"/>
            </w:r>
            <w:r w:rsidR="008B068A">
              <w:instrText xml:space="preserve"> PAGEREF _Toc10973 \h </w:instrText>
            </w:r>
            <w:r w:rsidR="008B068A">
              <w:fldChar w:fldCharType="separate"/>
            </w:r>
            <w:r w:rsidR="008B068A">
              <w:t>36</w:t>
            </w:r>
            <w:r w:rsidR="008B068A">
              <w:fldChar w:fldCharType="end"/>
            </w:r>
          </w:hyperlink>
        </w:p>
        <w:p w:rsidR="008E4D92" w:rsidRDefault="0021079E">
          <w:pPr>
            <w:pStyle w:val="20"/>
            <w:tabs>
              <w:tab w:val="right" w:leader="dot" w:pos="8306"/>
            </w:tabs>
            <w:ind w:left="480"/>
          </w:pPr>
          <w:hyperlink w:anchor="_Toc25572" w:history="1">
            <w:r w:rsidR="008B068A">
              <w:rPr>
                <w:rFonts w:hint="eastAsia"/>
              </w:rPr>
              <w:t>7</w:t>
            </w:r>
            <w:r w:rsidR="008B068A">
              <w:t>.1</w:t>
            </w:r>
            <w:r w:rsidR="008B068A">
              <w:t>投资概算</w:t>
            </w:r>
            <w:r w:rsidR="008B068A">
              <w:tab/>
            </w:r>
            <w:r w:rsidR="008B068A">
              <w:fldChar w:fldCharType="begin"/>
            </w:r>
            <w:r w:rsidR="008B068A">
              <w:instrText xml:space="preserve"> PAGEREF _Toc25572 \h </w:instrText>
            </w:r>
            <w:r w:rsidR="008B068A">
              <w:fldChar w:fldCharType="separate"/>
            </w:r>
            <w:r w:rsidR="008B068A">
              <w:t>36</w:t>
            </w:r>
            <w:r w:rsidR="008B068A">
              <w:fldChar w:fldCharType="end"/>
            </w:r>
          </w:hyperlink>
        </w:p>
        <w:p w:rsidR="008E4D92" w:rsidRDefault="0021079E">
          <w:pPr>
            <w:pStyle w:val="20"/>
            <w:tabs>
              <w:tab w:val="right" w:leader="dot" w:pos="8306"/>
            </w:tabs>
            <w:ind w:left="480"/>
          </w:pPr>
          <w:hyperlink w:anchor="_Toc29737" w:history="1">
            <w:r w:rsidR="008B068A">
              <w:t>7.2</w:t>
            </w:r>
            <w:r w:rsidR="008B068A">
              <w:t>效益分析</w:t>
            </w:r>
            <w:r w:rsidR="008B068A">
              <w:tab/>
            </w:r>
            <w:r w:rsidR="008B068A">
              <w:fldChar w:fldCharType="begin"/>
            </w:r>
            <w:r w:rsidR="008B068A">
              <w:instrText xml:space="preserve"> PAGEREF _Toc29737 \h </w:instrText>
            </w:r>
            <w:r w:rsidR="008B068A">
              <w:fldChar w:fldCharType="separate"/>
            </w:r>
            <w:r w:rsidR="008B068A">
              <w:t>40</w:t>
            </w:r>
            <w:r w:rsidR="008B068A">
              <w:fldChar w:fldCharType="end"/>
            </w:r>
          </w:hyperlink>
        </w:p>
        <w:p w:rsidR="008E4D92" w:rsidRDefault="0021079E">
          <w:pPr>
            <w:pStyle w:val="10"/>
            <w:tabs>
              <w:tab w:val="right" w:leader="dot" w:pos="8306"/>
            </w:tabs>
          </w:pPr>
          <w:hyperlink w:anchor="_Toc17018" w:history="1">
            <w:r w:rsidR="008B068A">
              <w:rPr>
                <w:rFonts w:hint="eastAsia"/>
              </w:rPr>
              <w:t>8</w:t>
            </w:r>
            <w:r w:rsidR="008B068A">
              <w:t>结论及建议</w:t>
            </w:r>
            <w:r w:rsidR="008B068A">
              <w:tab/>
            </w:r>
            <w:r w:rsidR="008B068A">
              <w:fldChar w:fldCharType="begin"/>
            </w:r>
            <w:r w:rsidR="008B068A">
              <w:instrText xml:space="preserve"> PAGEREF _Toc17018 \h </w:instrText>
            </w:r>
            <w:r w:rsidR="008B068A">
              <w:fldChar w:fldCharType="separate"/>
            </w:r>
            <w:r w:rsidR="008B068A">
              <w:t>41</w:t>
            </w:r>
            <w:r w:rsidR="008B068A">
              <w:fldChar w:fldCharType="end"/>
            </w:r>
          </w:hyperlink>
        </w:p>
        <w:p w:rsidR="008E4D92" w:rsidRDefault="0021079E">
          <w:pPr>
            <w:pStyle w:val="20"/>
            <w:tabs>
              <w:tab w:val="right" w:leader="dot" w:pos="8306"/>
            </w:tabs>
            <w:ind w:left="480"/>
          </w:pPr>
          <w:hyperlink w:anchor="_Toc1687" w:history="1">
            <w:r w:rsidR="008B068A">
              <w:rPr>
                <w:rFonts w:hint="eastAsia"/>
              </w:rPr>
              <w:t>8</w:t>
            </w:r>
            <w:r w:rsidR="008B068A">
              <w:t>.1</w:t>
            </w:r>
            <w:r w:rsidR="008B068A">
              <w:t>结论</w:t>
            </w:r>
            <w:r w:rsidR="008B068A">
              <w:tab/>
            </w:r>
            <w:r w:rsidR="008B068A">
              <w:fldChar w:fldCharType="begin"/>
            </w:r>
            <w:r w:rsidR="008B068A">
              <w:instrText xml:space="preserve"> PAGEREF _Toc1687 \h </w:instrText>
            </w:r>
            <w:r w:rsidR="008B068A">
              <w:fldChar w:fldCharType="separate"/>
            </w:r>
            <w:r w:rsidR="008B068A">
              <w:t>41</w:t>
            </w:r>
            <w:r w:rsidR="008B068A">
              <w:fldChar w:fldCharType="end"/>
            </w:r>
          </w:hyperlink>
        </w:p>
        <w:p w:rsidR="008E4D92" w:rsidRDefault="0021079E">
          <w:pPr>
            <w:pStyle w:val="20"/>
            <w:tabs>
              <w:tab w:val="right" w:leader="dot" w:pos="8306"/>
            </w:tabs>
            <w:ind w:left="480"/>
          </w:pPr>
          <w:hyperlink w:anchor="_Toc26564" w:history="1">
            <w:r w:rsidR="008B068A">
              <w:rPr>
                <w:rFonts w:hint="eastAsia"/>
              </w:rPr>
              <w:t>8</w:t>
            </w:r>
            <w:r w:rsidR="008B068A">
              <w:t>.2</w:t>
            </w:r>
            <w:r w:rsidR="008B068A">
              <w:rPr>
                <w:rFonts w:hint="eastAsia"/>
              </w:rPr>
              <w:t>建议</w:t>
            </w:r>
            <w:r w:rsidR="008B068A">
              <w:tab/>
            </w:r>
            <w:r w:rsidR="008B068A">
              <w:fldChar w:fldCharType="begin"/>
            </w:r>
            <w:r w:rsidR="008B068A">
              <w:instrText xml:space="preserve"> PAGEREF _Toc26564 \h </w:instrText>
            </w:r>
            <w:r w:rsidR="008B068A">
              <w:fldChar w:fldCharType="separate"/>
            </w:r>
            <w:r w:rsidR="008B068A">
              <w:t>41</w:t>
            </w:r>
            <w:r w:rsidR="008B068A">
              <w:fldChar w:fldCharType="end"/>
            </w:r>
          </w:hyperlink>
        </w:p>
        <w:p w:rsidR="008E4D92" w:rsidRDefault="008B068A">
          <w:pPr>
            <w:pStyle w:val="af1"/>
            <w:ind w:firstLine="480"/>
            <w:rPr>
              <w:szCs w:val="24"/>
            </w:rPr>
            <w:sectPr w:rsidR="008E4D92">
              <w:headerReference w:type="default" r:id="rId9"/>
              <w:footerReference w:type="default" r:id="rId10"/>
              <w:pgSz w:w="11906" w:h="16838"/>
              <w:pgMar w:top="1440" w:right="1800" w:bottom="1440" w:left="1800" w:header="851" w:footer="992" w:gutter="0"/>
              <w:pgNumType w:fmt="upperRoman"/>
              <w:cols w:space="425"/>
              <w:titlePg/>
              <w:docGrid w:type="lines" w:linePitch="326"/>
            </w:sectPr>
          </w:pPr>
          <w:r>
            <w:rPr>
              <w:szCs w:val="24"/>
            </w:rPr>
            <w:fldChar w:fldCharType="end"/>
          </w:r>
        </w:p>
      </w:sdtContent>
    </w:sdt>
    <w:p w:rsidR="008E4D92" w:rsidRDefault="008B068A">
      <w:pPr>
        <w:pStyle w:val="1"/>
        <w:jc w:val="center"/>
      </w:pPr>
      <w:bookmarkStart w:id="2" w:name="_Toc61602695"/>
      <w:bookmarkStart w:id="3" w:name="_Toc29655"/>
      <w:r>
        <w:rPr>
          <w:rFonts w:hint="eastAsia"/>
        </w:rPr>
        <w:lastRenderedPageBreak/>
        <w:t>1</w:t>
      </w:r>
      <w:r>
        <w:t>项目概况</w:t>
      </w:r>
      <w:bookmarkEnd w:id="2"/>
      <w:bookmarkEnd w:id="3"/>
    </w:p>
    <w:p w:rsidR="008E4D92" w:rsidRDefault="008B068A">
      <w:pPr>
        <w:pStyle w:val="2"/>
      </w:pPr>
      <w:bookmarkStart w:id="4" w:name="_Toc61602696"/>
      <w:bookmarkStart w:id="5" w:name="_Toc3664"/>
      <w:bookmarkStart w:id="6" w:name="_Toc5300"/>
      <w:r>
        <w:rPr>
          <w:rFonts w:hint="eastAsia"/>
        </w:rPr>
        <w:t>1</w:t>
      </w:r>
      <w:r>
        <w:t>.1</w:t>
      </w:r>
      <w:r>
        <w:t>地理位置</w:t>
      </w:r>
      <w:bookmarkEnd w:id="4"/>
      <w:bookmarkEnd w:id="5"/>
      <w:bookmarkEnd w:id="6"/>
    </w:p>
    <w:p w:rsidR="008E4D92" w:rsidRDefault="008B068A">
      <w:pPr>
        <w:pStyle w:val="af1"/>
        <w:ind w:firstLine="480"/>
        <w:jc w:val="left"/>
      </w:pPr>
      <w:r>
        <w:rPr>
          <w:noProof/>
        </w:rPr>
        <mc:AlternateContent>
          <mc:Choice Requires="wps">
            <w:drawing>
              <wp:anchor distT="0" distB="0" distL="114300" distR="114300" simplePos="0" relativeHeight="251659264" behindDoc="0" locked="0" layoutInCell="1" allowOverlap="1">
                <wp:simplePos x="0" y="0"/>
                <wp:positionH relativeFrom="column">
                  <wp:posOffset>1404620</wp:posOffset>
                </wp:positionH>
                <wp:positionV relativeFrom="paragraph">
                  <wp:posOffset>4030980</wp:posOffset>
                </wp:positionV>
                <wp:extent cx="2656840" cy="1365885"/>
                <wp:effectExtent l="57150" t="114300" r="67310" b="139065"/>
                <wp:wrapNone/>
                <wp:docPr id="3" name="矩形: 圆顶角 3"/>
                <wp:cNvGraphicFramePr/>
                <a:graphic xmlns:a="http://schemas.openxmlformats.org/drawingml/2006/main">
                  <a:graphicData uri="http://schemas.microsoft.com/office/word/2010/wordprocessingShape">
                    <wps:wsp>
                      <wps:cNvSpPr/>
                      <wps:spPr>
                        <a:xfrm rot="21294245">
                          <a:off x="0" y="0"/>
                          <a:ext cx="2656840" cy="1365885"/>
                        </a:xfrm>
                        <a:prstGeom prst="round2SameRect">
                          <a:avLst>
                            <a:gd name="adj1" fmla="val 19122"/>
                            <a:gd name="adj2" fmla="val 0"/>
                          </a:avLst>
                        </a:prstGeom>
                        <a:solidFill>
                          <a:srgbClr val="C00000">
                            <a:alpha val="20000"/>
                          </a:srgb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4D92" w:rsidRDefault="008E4D92">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矩形: 圆顶角 3" o:spid="_x0000_s1026" style="position:absolute;left:0;text-align:left;margin-left:110.6pt;margin-top:317.4pt;width:209.2pt;height:107.55pt;rotation:-333966fd;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656840,13658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" adj="-11796480,,5400" path="m261185,l2395655,v144248,,261185,116937,261185,261185l2656840,1365885r,l,1365885r,l,261185c,116937,116937,,261185,xe" fillcolor="#c00000" strokecolor="red" strokeweight="1pt">
                <v:fill opacity="13107f"/>
                <v:stroke joinstyle="miter"/>
                <v:formulas/>
                <v:path arrowok="t" o:connecttype="custom" o:connectlocs="261185,0;2395655,0;2656840,261185;2656840,1365885;2656840,1365885;0,1365885;0,1365885;0,261185;261185,0" o:connectangles="0,0,0,0,0,0,0,0,0" textboxrect="0,0,2656840,1365885"/>
                <v:textbox>
                  <w:txbxContent>
                    <w:p w:rsidR="008E4D92" w:rsidRDefault="008E4D92">
                      <w:pPr>
                        <w:jc w:val="center"/>
                      </w:pP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4224020</wp:posOffset>
                </wp:positionH>
                <wp:positionV relativeFrom="paragraph">
                  <wp:posOffset>3840480</wp:posOffset>
                </wp:positionV>
                <wp:extent cx="1228725" cy="612140"/>
                <wp:effectExtent l="495300" t="0" r="0" b="283210"/>
                <wp:wrapNone/>
                <wp:docPr id="4" name="标注: 弯曲线形(无边框) 4"/>
                <wp:cNvGraphicFramePr/>
                <a:graphic xmlns:a="http://schemas.openxmlformats.org/drawingml/2006/main">
                  <a:graphicData uri="http://schemas.microsoft.com/office/word/2010/wordprocessingShape">
                    <wps:wsp>
                      <wps:cNvSpPr/>
                      <wps:spPr>
                        <a:xfrm>
                          <a:off x="0" y="0"/>
                          <a:ext cx="1228725" cy="612140"/>
                        </a:xfrm>
                        <a:prstGeom prst="callout2">
                          <a:avLst>
                            <a:gd name="adj1" fmla="val 74767"/>
                            <a:gd name="adj2" fmla="val 88566"/>
                            <a:gd name="adj3" fmla="val 74767"/>
                            <a:gd name="adj4" fmla="val -8915"/>
                            <a:gd name="adj5" fmla="val 143620"/>
                            <a:gd name="adj6" fmla="val -39690"/>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E4D92" w:rsidRDefault="008B068A">
                            <w:pPr>
                              <w:rPr>
                                <w:b/>
                                <w:color w:val="FFFFFF" w:themeColor="background1"/>
                                <w:spacing w:val="10"/>
                                <w:sz w:val="28"/>
                                <w:szCs w:val="28"/>
                                <w14:glow w14:rad="38100">
                                  <w14:schemeClr w14:val="accent1">
                                    <w14:alpha w14:val="60000"/>
                                  </w14:schemeClr>
                                </w14:glow>
                                <w14:textOutline w14:w="9525" w14:cap="flat" w14:cmpd="sng" w14:algn="ctr">
                                  <w14:solidFill>
                                    <w14:srgbClr w14:val="00B0F0"/>
                                  </w14:solidFill>
                                  <w14:prstDash w14:val="solid"/>
                                  <w14:round/>
                                </w14:textOutline>
                              </w:rPr>
                            </w:pPr>
                            <w:r>
                              <w:rPr>
                                <w:rFonts w:hint="eastAsia"/>
                                <w:b/>
                                <w:color w:val="FFFFFF" w:themeColor="background1"/>
                                <w:spacing w:val="10"/>
                                <w:sz w:val="28"/>
                                <w:szCs w:val="28"/>
                                <w14:glow w14:rad="38100">
                                  <w14:schemeClr w14:val="accent1">
                                    <w14:alpha w14:val="60000"/>
                                  </w14:schemeClr>
                                </w14:glow>
                                <w14:textOutline w14:w="9525" w14:cap="flat" w14:cmpd="sng" w14:algn="ctr">
                                  <w14:solidFill>
                                    <w14:srgbClr w14:val="00B0F0"/>
                                  </w14:solidFill>
                                  <w14:prstDash w14:val="solid"/>
                                  <w14:round/>
                                </w14:textOutline>
                              </w:rPr>
                              <w:t>项目建设区</w:t>
                            </w:r>
                          </w:p>
                          <w:p w:rsidR="008E4D92" w:rsidRDefault="008E4D92">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标注: 弯曲线形(无边框) 4" o:spid="_x0000_s1027" type="#_x0000_t42" style="position:absolute;left:0;text-align:left;margin-left:332.6pt;margin-top:302.4pt;width:96.75pt;height:48.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" adj="-8573,31022,-1926,16150,19130,16150" filled="f" strokecolor="#0070c0" strokeweight="1pt">
                <v:textbox>
                  <w:txbxContent>
                    <w:p w:rsidR="008E4D92" w:rsidRDefault="008B068A">
                      <w:pPr>
                        <w:rPr>
                          <w:b/>
                          <w:color w:val="FFFFFF" w:themeColor="background1"/>
                          <w:spacing w:val="10"/>
                          <w:sz w:val="28"/>
                          <w:szCs w:val="28"/>
                          <w14:glow w14:rad="38100">
                            <w14:schemeClr w14:val="accent1">
                              <w14:alpha w14:val="60000"/>
                            </w14:schemeClr>
                          </w14:glow>
                          <w14:textOutline w14:w="9525" w14:cap="flat" w14:cmpd="sng" w14:algn="ctr">
                            <w14:solidFill>
                              <w14:srgbClr w14:val="00B0F0"/>
                            </w14:solidFill>
                            <w14:prstDash w14:val="solid"/>
                            <w14:round/>
                          </w14:textOutline>
                        </w:rPr>
                      </w:pPr>
                      <w:r>
                        <w:rPr>
                          <w:rFonts w:hint="eastAsia"/>
                          <w:b/>
                          <w:color w:val="FFFFFF" w:themeColor="background1"/>
                          <w:spacing w:val="10"/>
                          <w:sz w:val="28"/>
                          <w:szCs w:val="28"/>
                          <w14:glow w14:rad="38100">
                            <w14:schemeClr w14:val="accent1">
                              <w14:alpha w14:val="60000"/>
                            </w14:schemeClr>
                          </w14:glow>
                          <w14:textOutline w14:w="9525" w14:cap="flat" w14:cmpd="sng" w14:algn="ctr">
                            <w14:solidFill>
                              <w14:srgbClr w14:val="00B0F0"/>
                            </w14:solidFill>
                            <w14:prstDash w14:val="solid"/>
                            <w14:round/>
                          </w14:textOutline>
                        </w:rPr>
                        <w:t>项目建设区</w:t>
                      </w:r>
                    </w:p>
                    <w:p w:rsidR="008E4D92" w:rsidRDefault="008E4D92">
                      <w:pPr>
                        <w:jc w:val="center"/>
                      </w:pPr>
                    </w:p>
                  </w:txbxContent>
                </v:textbox>
                <o:callout v:ext="edit" minusy="t"/>
              </v:shape>
            </w:pict>
          </mc:Fallback>
        </mc:AlternateContent>
      </w:r>
      <w:r>
        <w:rPr>
          <w:szCs w:val="16"/>
        </w:rPr>
        <w:t>仪陇县</w:t>
      </w:r>
      <w:r>
        <w:rPr>
          <w:rFonts w:hint="eastAsia"/>
          <w:szCs w:val="16"/>
        </w:rPr>
        <w:t>老年服务中心老年养护楼建设项目</w:t>
      </w:r>
      <w:r>
        <w:t>位于</w:t>
      </w:r>
      <w:r>
        <w:rPr>
          <w:rFonts w:hint="eastAsia"/>
        </w:rPr>
        <w:t>仪陇县新政</w:t>
      </w:r>
      <w:r>
        <w:t>镇</w:t>
      </w:r>
      <w:r>
        <w:rPr>
          <w:rFonts w:hint="eastAsia"/>
        </w:rPr>
        <w:t>河西村</w:t>
      </w:r>
      <w:r>
        <w:t>，项目建设区地理位置坐标为东经：</w:t>
      </w:r>
      <w:r>
        <w:t>106°23′2592″~106°24′12″</w:t>
      </w:r>
      <w:r>
        <w:t>，北纬</w:t>
      </w:r>
      <w:r>
        <w:t>31°28′85″~31°28′94″</w:t>
      </w:r>
      <w:r>
        <w:t>。本项目</w:t>
      </w:r>
      <w:r>
        <w:rPr>
          <w:rFonts w:hint="eastAsia"/>
        </w:rPr>
        <w:t>北侧靠近主干路，三面多为山体和湖水</w:t>
      </w:r>
      <w:r>
        <w:t>，</w:t>
      </w:r>
      <w:r>
        <w:rPr>
          <w:rFonts w:hint="eastAsia"/>
        </w:rPr>
        <w:t>环境幽静，交通便利，</w:t>
      </w:r>
      <w:r>
        <w:t>地理位置优越，交通极为便利，详见下图。</w:t>
      </w:r>
      <w:r>
        <w:rPr>
          <w:noProof/>
        </w:rPr>
        <w:drawing>
          <wp:inline distT="0" distB="0" distL="0" distR="0">
            <wp:extent cx="5743575" cy="532257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5756424" cy="5334826"/>
                    </a:xfrm>
                    <a:prstGeom prst="rect">
                      <a:avLst/>
                    </a:prstGeom>
                  </pic:spPr>
                </pic:pic>
              </a:graphicData>
            </a:graphic>
          </wp:inline>
        </w:drawing>
      </w:r>
    </w:p>
    <w:p w:rsidR="008E4D92" w:rsidRDefault="008B068A">
      <w:pPr>
        <w:pStyle w:val="af1"/>
        <w:spacing w:line="240" w:lineRule="auto"/>
        <w:ind w:firstLine="422"/>
        <w:jc w:val="center"/>
        <w:rPr>
          <w:b/>
          <w:bCs/>
          <w:sz w:val="21"/>
          <w:szCs w:val="16"/>
        </w:rPr>
      </w:pPr>
      <w:r>
        <w:rPr>
          <w:b/>
          <w:bCs/>
          <w:sz w:val="21"/>
          <w:szCs w:val="16"/>
        </w:rPr>
        <w:t>图</w:t>
      </w:r>
      <w:r>
        <w:rPr>
          <w:b/>
          <w:bCs/>
          <w:sz w:val="21"/>
          <w:szCs w:val="16"/>
        </w:rPr>
        <w:t xml:space="preserve">1.1 </w:t>
      </w:r>
      <w:r>
        <w:rPr>
          <w:b/>
          <w:bCs/>
          <w:sz w:val="21"/>
          <w:szCs w:val="16"/>
        </w:rPr>
        <w:t>项目建设区卫星图</w:t>
      </w:r>
    </w:p>
    <w:p w:rsidR="008E4D92" w:rsidRDefault="008B068A">
      <w:pPr>
        <w:pStyle w:val="2"/>
      </w:pPr>
      <w:bookmarkStart w:id="7" w:name="_Toc8606"/>
      <w:r>
        <w:rPr>
          <w:rFonts w:hint="eastAsia"/>
        </w:rPr>
        <w:t>1</w:t>
      </w:r>
      <w:r>
        <w:t>.</w:t>
      </w:r>
      <w:r>
        <w:rPr>
          <w:rFonts w:hint="eastAsia"/>
        </w:rPr>
        <w:t>2</w:t>
      </w:r>
      <w:r>
        <w:rPr>
          <w:rFonts w:hint="eastAsia"/>
        </w:rPr>
        <w:t>工程建设现状</w:t>
      </w:r>
      <w:bookmarkEnd w:id="7"/>
    </w:p>
    <w:p w:rsidR="008E4D92" w:rsidRDefault="008B068A">
      <w:r>
        <w:rPr>
          <w:noProof/>
        </w:rPr>
        <w:lastRenderedPageBreak/>
        <w:drawing>
          <wp:inline distT="0" distB="0" distL="0" distR="0">
            <wp:extent cx="5759450" cy="65951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5759450" cy="6595110"/>
                    </a:xfrm>
                    <a:prstGeom prst="rect">
                      <a:avLst/>
                    </a:prstGeom>
                  </pic:spPr>
                </pic:pic>
              </a:graphicData>
            </a:graphic>
          </wp:inline>
        </w:drawing>
      </w:r>
    </w:p>
    <w:p w:rsidR="008E4D92" w:rsidRDefault="008B068A">
      <w:r>
        <w:rPr>
          <w:noProof/>
        </w:rPr>
        <w:lastRenderedPageBreak/>
        <w:drawing>
          <wp:inline distT="0" distB="0" distL="0" distR="0">
            <wp:extent cx="5759450" cy="75520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5759450" cy="7552055"/>
                    </a:xfrm>
                    <a:prstGeom prst="rect">
                      <a:avLst/>
                    </a:prstGeom>
                  </pic:spPr>
                </pic:pic>
              </a:graphicData>
            </a:graphic>
          </wp:inline>
        </w:drawing>
      </w:r>
    </w:p>
    <w:p w:rsidR="008E4D92" w:rsidRDefault="008B068A">
      <w:pPr>
        <w:pStyle w:val="2"/>
      </w:pPr>
      <w:bookmarkStart w:id="8" w:name="_Toc61602698"/>
      <w:bookmarkStart w:id="9" w:name="_Toc20749"/>
      <w:r>
        <w:rPr>
          <w:rFonts w:hint="eastAsia"/>
        </w:rPr>
        <w:t>1</w:t>
      </w:r>
      <w:r>
        <w:t>.</w:t>
      </w:r>
      <w:r>
        <w:rPr>
          <w:rFonts w:hint="eastAsia"/>
        </w:rPr>
        <w:t>3</w:t>
      </w:r>
      <w:bookmarkEnd w:id="8"/>
      <w:r>
        <w:rPr>
          <w:rFonts w:hint="eastAsia"/>
        </w:rPr>
        <w:t>基本情况</w:t>
      </w:r>
      <w:bookmarkEnd w:id="9"/>
    </w:p>
    <w:p w:rsidR="008E4D92" w:rsidRDefault="008B068A">
      <w:pPr>
        <w:pStyle w:val="af1"/>
        <w:widowControl/>
        <w:adjustRightInd/>
        <w:snapToGrid/>
        <w:ind w:leftChars="200" w:left="480" w:firstLineChars="0" w:firstLine="0"/>
      </w:pPr>
      <w:r>
        <w:t>●</w:t>
      </w:r>
      <w:r>
        <w:t>项目名称：</w:t>
      </w:r>
      <w:r>
        <w:rPr>
          <w:szCs w:val="16"/>
        </w:rPr>
        <w:t>仪陇县</w:t>
      </w:r>
      <w:r>
        <w:rPr>
          <w:rFonts w:hint="eastAsia"/>
          <w:szCs w:val="16"/>
        </w:rPr>
        <w:t>老年服务中心老年养护楼建设项目</w:t>
      </w:r>
    </w:p>
    <w:p w:rsidR="008E4D92" w:rsidRDefault="008B068A">
      <w:pPr>
        <w:pStyle w:val="af1"/>
        <w:widowControl/>
        <w:adjustRightInd/>
        <w:snapToGrid/>
        <w:ind w:leftChars="200" w:left="480" w:firstLineChars="0" w:firstLine="0"/>
      </w:pPr>
      <w:r>
        <w:t>●</w:t>
      </w:r>
      <w:r>
        <w:t>建设单位：</w:t>
      </w:r>
      <w:r>
        <w:rPr>
          <w:rFonts w:hint="eastAsia"/>
        </w:rPr>
        <w:t>仪陇县民政局</w:t>
      </w:r>
    </w:p>
    <w:p w:rsidR="008E4D92" w:rsidRDefault="008B068A">
      <w:pPr>
        <w:pStyle w:val="af1"/>
        <w:widowControl/>
        <w:adjustRightInd/>
        <w:snapToGrid/>
        <w:ind w:leftChars="200" w:left="480" w:firstLineChars="0" w:firstLine="0"/>
      </w:pPr>
      <w:r>
        <w:t>●</w:t>
      </w:r>
      <w:r>
        <w:t>建设地点：</w:t>
      </w:r>
      <w:r>
        <w:rPr>
          <w:rFonts w:hint="eastAsia"/>
        </w:rPr>
        <w:t>仪陇县新政镇河西村</w:t>
      </w:r>
    </w:p>
    <w:p w:rsidR="008E4D92" w:rsidRDefault="008B068A">
      <w:pPr>
        <w:pStyle w:val="af1"/>
        <w:widowControl/>
        <w:adjustRightInd/>
        <w:snapToGrid/>
        <w:ind w:leftChars="200" w:left="480" w:firstLineChars="0" w:firstLine="0"/>
      </w:pPr>
      <w:r>
        <w:t>●</w:t>
      </w:r>
      <w:r>
        <w:t>建设性质：新建</w:t>
      </w:r>
    </w:p>
    <w:p w:rsidR="008E4D92" w:rsidRDefault="008B068A">
      <w:pPr>
        <w:pStyle w:val="af1"/>
        <w:ind w:firstLine="480"/>
      </w:pPr>
      <w:r>
        <w:lastRenderedPageBreak/>
        <w:t>●</w:t>
      </w:r>
      <w:r>
        <w:t>建设内容：</w:t>
      </w:r>
      <w:r>
        <w:rPr>
          <w:rFonts w:hint="eastAsia"/>
        </w:rPr>
        <w:t>新建老年公寓、文体健身、疗养康复等老年服务用房</w:t>
      </w:r>
      <w:r>
        <w:rPr>
          <w:rFonts w:hint="eastAsia"/>
        </w:rPr>
        <w:t>13050</w:t>
      </w:r>
      <w:r>
        <w:rPr>
          <w:rFonts w:hint="eastAsia"/>
        </w:rPr>
        <w:t>平方米，设置床位</w:t>
      </w:r>
      <w:r>
        <w:rPr>
          <w:rFonts w:hint="eastAsia"/>
        </w:rPr>
        <w:t>3</w:t>
      </w:r>
      <w:r>
        <w:t>00</w:t>
      </w:r>
      <w:r>
        <w:rPr>
          <w:rFonts w:hint="eastAsia"/>
        </w:rPr>
        <w:t>张，及相应购置设备和电、气、给排水等附属设施建设。</w:t>
      </w:r>
    </w:p>
    <w:p w:rsidR="008E4D92" w:rsidRDefault="008B068A">
      <w:pPr>
        <w:pStyle w:val="af1"/>
        <w:ind w:firstLine="480"/>
      </w:pPr>
      <w:r>
        <w:t>●</w:t>
      </w:r>
      <w:r>
        <w:t>施工内容：机械开挖、场地平整、砌筑、道路平整、管道敷设、建筑物修建及场地绿化美化等。</w:t>
      </w:r>
    </w:p>
    <w:p w:rsidR="008E4D92" w:rsidRDefault="008B068A">
      <w:pPr>
        <w:pStyle w:val="af1"/>
        <w:ind w:firstLine="480"/>
      </w:pPr>
      <w:r>
        <w:t>●</w:t>
      </w:r>
      <w:r>
        <w:t>建设工期：本项目建设总工期</w:t>
      </w:r>
      <w:r>
        <w:t>12</w:t>
      </w:r>
      <w:r>
        <w:t>个月，即从</w:t>
      </w:r>
      <w:r>
        <w:t>2014</w:t>
      </w:r>
      <w:r>
        <w:t>年</w:t>
      </w:r>
      <w:r>
        <w:t>4</w:t>
      </w:r>
      <w:r>
        <w:t>月至</w:t>
      </w:r>
      <w:r>
        <w:t>2015</w:t>
      </w:r>
      <w:r>
        <w:t>年</w:t>
      </w:r>
      <w:r>
        <w:t>3</w:t>
      </w:r>
      <w:r>
        <w:t>月。</w:t>
      </w:r>
    </w:p>
    <w:p w:rsidR="008E4D92" w:rsidRDefault="008B068A">
      <w:pPr>
        <w:pStyle w:val="af1"/>
        <w:ind w:firstLine="480"/>
      </w:pPr>
      <w:r>
        <w:t>●</w:t>
      </w:r>
      <w:r>
        <w:t>项目总投资及资金来源：总投资</w:t>
      </w:r>
      <w:r>
        <w:t>3150</w:t>
      </w:r>
      <w:r>
        <w:t>万元，其中土建投资</w:t>
      </w:r>
      <w:r>
        <w:t>1436</w:t>
      </w:r>
      <w:r>
        <w:t>万元，资金</w:t>
      </w:r>
      <w:r>
        <w:rPr>
          <w:rFonts w:hint="eastAsia"/>
        </w:rPr>
        <w:t>来源为争取中央预算内资金及地方配套</w:t>
      </w:r>
    </w:p>
    <w:p w:rsidR="008E4D92" w:rsidRDefault="008B068A">
      <w:pPr>
        <w:jc w:val="center"/>
        <w:rPr>
          <w:b/>
          <w:bCs/>
          <w:kern w:val="0"/>
        </w:rPr>
      </w:pPr>
      <w:r>
        <w:rPr>
          <w:b/>
          <w:bCs/>
          <w:kern w:val="0"/>
          <w:sz w:val="22"/>
          <w:szCs w:val="18"/>
        </w:rPr>
        <w:t>表</w:t>
      </w:r>
      <w:r>
        <w:rPr>
          <w:b/>
          <w:bCs/>
          <w:kern w:val="0"/>
          <w:sz w:val="22"/>
          <w:szCs w:val="18"/>
        </w:rPr>
        <w:t xml:space="preserve">2-1     </w:t>
      </w:r>
      <w:r>
        <w:rPr>
          <w:b/>
          <w:bCs/>
          <w:kern w:val="0"/>
          <w:sz w:val="22"/>
          <w:szCs w:val="18"/>
        </w:rPr>
        <w:t>项目建设</w:t>
      </w:r>
      <w:r>
        <w:rPr>
          <w:rFonts w:hint="eastAsia"/>
          <w:b/>
          <w:bCs/>
          <w:kern w:val="0"/>
          <w:sz w:val="22"/>
          <w:szCs w:val="18"/>
        </w:rPr>
        <w:t>区</w:t>
      </w:r>
      <w:r>
        <w:rPr>
          <w:b/>
          <w:bCs/>
          <w:kern w:val="0"/>
          <w:sz w:val="22"/>
          <w:szCs w:val="18"/>
        </w:rPr>
        <w:t>工程特性表</w:t>
      </w:r>
    </w:p>
    <w:tbl>
      <w:tblPr>
        <w:tblW w:w="4999" w:type="pct"/>
        <w:jc w:val="center"/>
        <w:tblCellMar>
          <w:left w:w="0" w:type="dxa"/>
          <w:right w:w="0" w:type="dxa"/>
        </w:tblCellMar>
        <w:tblLook w:val="04A0" w:firstRow="1" w:lastRow="0" w:firstColumn="1" w:lastColumn="0" w:noHBand="0" w:noVBand="1"/>
      </w:tblPr>
      <w:tblGrid>
        <w:gridCol w:w="764"/>
        <w:gridCol w:w="869"/>
        <w:gridCol w:w="2299"/>
        <w:gridCol w:w="1447"/>
        <w:gridCol w:w="1016"/>
        <w:gridCol w:w="2663"/>
      </w:tblGrid>
      <w:tr w:rsidR="008E4D92">
        <w:trPr>
          <w:trHeight w:val="283"/>
          <w:jc w:val="center"/>
        </w:trPr>
        <w:tc>
          <w:tcPr>
            <w:tcW w:w="900" w:type="pct"/>
            <w:gridSpan w:val="2"/>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项目名称</w:t>
            </w:r>
          </w:p>
        </w:tc>
        <w:tc>
          <w:tcPr>
            <w:tcW w:w="4099" w:type="pct"/>
            <w:gridSpan w:val="4"/>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rFonts w:hint="eastAsia"/>
                <w:kern w:val="0"/>
                <w:sz w:val="21"/>
                <w:szCs w:val="21"/>
              </w:rPr>
              <w:t>仪陇县老年服务中心老年养护楼建设项目</w:t>
            </w:r>
          </w:p>
        </w:tc>
      </w:tr>
      <w:tr w:rsidR="008E4D92">
        <w:trPr>
          <w:trHeight w:val="283"/>
          <w:jc w:val="center"/>
        </w:trPr>
        <w:tc>
          <w:tcPr>
            <w:tcW w:w="900" w:type="pct"/>
            <w:gridSpan w:val="2"/>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建设单位</w:t>
            </w:r>
          </w:p>
        </w:tc>
        <w:tc>
          <w:tcPr>
            <w:tcW w:w="4099" w:type="pct"/>
            <w:gridSpan w:val="4"/>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rFonts w:hint="eastAsia"/>
                <w:kern w:val="0"/>
                <w:sz w:val="21"/>
                <w:szCs w:val="21"/>
              </w:rPr>
              <w:t>仪陇县民政局</w:t>
            </w:r>
          </w:p>
        </w:tc>
      </w:tr>
      <w:tr w:rsidR="008E4D92">
        <w:trPr>
          <w:trHeight w:val="283"/>
          <w:jc w:val="center"/>
        </w:trPr>
        <w:tc>
          <w:tcPr>
            <w:tcW w:w="900" w:type="pct"/>
            <w:gridSpan w:val="2"/>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建设地点</w:t>
            </w:r>
          </w:p>
        </w:tc>
        <w:tc>
          <w:tcPr>
            <w:tcW w:w="4099" w:type="pct"/>
            <w:gridSpan w:val="4"/>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rFonts w:hint="eastAsia"/>
                <w:sz w:val="21"/>
                <w:szCs w:val="21"/>
              </w:rPr>
              <w:t>仪陇县新政镇河西村</w:t>
            </w:r>
          </w:p>
        </w:tc>
      </w:tr>
      <w:tr w:rsidR="008E4D92">
        <w:trPr>
          <w:trHeight w:val="283"/>
          <w:jc w:val="center"/>
        </w:trPr>
        <w:tc>
          <w:tcPr>
            <w:tcW w:w="421" w:type="pct"/>
            <w:vMerge w:val="restart"/>
            <w:tcBorders>
              <w:left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建设工程</w:t>
            </w:r>
          </w:p>
        </w:tc>
        <w:tc>
          <w:tcPr>
            <w:tcW w:w="479" w:type="pct"/>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供水</w:t>
            </w:r>
          </w:p>
        </w:tc>
        <w:tc>
          <w:tcPr>
            <w:tcW w:w="1269" w:type="pct"/>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供水水源</w:t>
            </w:r>
          </w:p>
        </w:tc>
        <w:tc>
          <w:tcPr>
            <w:tcW w:w="2829" w:type="pct"/>
            <w:gridSpan w:val="3"/>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bCs/>
                <w:sz w:val="21"/>
                <w:szCs w:val="21"/>
              </w:rPr>
              <w:t>水源由城市供水管网，经规划区内给水管提供</w:t>
            </w:r>
          </w:p>
        </w:tc>
      </w:tr>
      <w:tr w:rsidR="008E4D92">
        <w:trPr>
          <w:trHeight w:val="283"/>
          <w:jc w:val="center"/>
        </w:trPr>
        <w:tc>
          <w:tcPr>
            <w:tcW w:w="421" w:type="pct"/>
            <w:vMerge/>
            <w:tcBorders>
              <w:left w:val="single" w:sz="4" w:space="0" w:color="auto"/>
              <w:bottom w:val="single" w:sz="4" w:space="0" w:color="auto"/>
              <w:right w:val="single" w:sz="4" w:space="0" w:color="auto"/>
            </w:tcBorders>
            <w:vAlign w:val="center"/>
          </w:tcPr>
          <w:p w:rsidR="008E4D92" w:rsidRDefault="008E4D92">
            <w:pPr>
              <w:widowControl/>
              <w:jc w:val="center"/>
              <w:rPr>
                <w:kern w:val="0"/>
                <w:sz w:val="21"/>
                <w:szCs w:val="21"/>
              </w:rPr>
            </w:pPr>
          </w:p>
        </w:tc>
        <w:tc>
          <w:tcPr>
            <w:tcW w:w="479" w:type="pct"/>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供电</w:t>
            </w:r>
          </w:p>
        </w:tc>
        <w:tc>
          <w:tcPr>
            <w:tcW w:w="1269"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供电电源</w:t>
            </w:r>
          </w:p>
        </w:tc>
        <w:tc>
          <w:tcPr>
            <w:tcW w:w="2829" w:type="pct"/>
            <w:gridSpan w:val="3"/>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从旁经过的市政电网接入</w:t>
            </w:r>
          </w:p>
        </w:tc>
      </w:tr>
      <w:tr w:rsidR="008E4D92">
        <w:trPr>
          <w:trHeight w:val="283"/>
          <w:jc w:val="center"/>
        </w:trPr>
        <w:tc>
          <w:tcPr>
            <w:tcW w:w="900" w:type="pct"/>
            <w:gridSpan w:val="2"/>
            <w:vMerge w:val="restart"/>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工程建设区</w:t>
            </w:r>
          </w:p>
        </w:tc>
        <w:tc>
          <w:tcPr>
            <w:tcW w:w="1269"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永久占地</w:t>
            </w:r>
          </w:p>
        </w:tc>
        <w:tc>
          <w:tcPr>
            <w:tcW w:w="1360" w:type="pct"/>
            <w:gridSpan w:val="2"/>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hm</w:t>
            </w:r>
            <w:r>
              <w:rPr>
                <w:kern w:val="0"/>
                <w:sz w:val="21"/>
                <w:szCs w:val="21"/>
                <w:vertAlign w:val="superscript"/>
              </w:rPr>
              <w:t>2</w:t>
            </w:r>
          </w:p>
        </w:tc>
        <w:tc>
          <w:tcPr>
            <w:tcW w:w="1468"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1.31</w:t>
            </w:r>
          </w:p>
        </w:tc>
      </w:tr>
      <w:tr w:rsidR="008E4D92">
        <w:trPr>
          <w:trHeight w:val="283"/>
          <w:jc w:val="center"/>
        </w:trPr>
        <w:tc>
          <w:tcPr>
            <w:tcW w:w="900" w:type="pct"/>
            <w:gridSpan w:val="2"/>
            <w:vMerge/>
            <w:tcBorders>
              <w:top w:val="single" w:sz="4" w:space="0" w:color="auto"/>
              <w:left w:val="single" w:sz="4" w:space="0" w:color="auto"/>
              <w:bottom w:val="single" w:sz="4" w:space="0" w:color="auto"/>
              <w:right w:val="single" w:sz="4" w:space="0" w:color="auto"/>
            </w:tcBorders>
            <w:vAlign w:val="center"/>
          </w:tcPr>
          <w:p w:rsidR="008E4D92" w:rsidRDefault="008E4D92">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临时占地</w:t>
            </w:r>
          </w:p>
        </w:tc>
        <w:tc>
          <w:tcPr>
            <w:tcW w:w="1360" w:type="pct"/>
            <w:gridSpan w:val="2"/>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hm</w:t>
            </w:r>
            <w:r>
              <w:rPr>
                <w:kern w:val="0"/>
                <w:sz w:val="21"/>
                <w:szCs w:val="21"/>
                <w:vertAlign w:val="superscript"/>
              </w:rPr>
              <w:t>2</w:t>
            </w:r>
          </w:p>
        </w:tc>
        <w:tc>
          <w:tcPr>
            <w:tcW w:w="1468" w:type="pct"/>
            <w:tcBorders>
              <w:top w:val="nil"/>
              <w:left w:val="nil"/>
              <w:bottom w:val="single" w:sz="4" w:space="0" w:color="auto"/>
              <w:right w:val="single" w:sz="4" w:space="0" w:color="auto"/>
            </w:tcBorders>
            <w:vAlign w:val="center"/>
          </w:tcPr>
          <w:p w:rsidR="008E4D92" w:rsidRDefault="008B068A">
            <w:pPr>
              <w:widowControl/>
              <w:jc w:val="center"/>
              <w:rPr>
                <w:rFonts w:eastAsia="宋体"/>
                <w:kern w:val="0"/>
                <w:sz w:val="21"/>
                <w:szCs w:val="21"/>
              </w:rPr>
            </w:pPr>
            <w:r>
              <w:rPr>
                <w:kern w:val="0"/>
                <w:sz w:val="21"/>
                <w:szCs w:val="21"/>
              </w:rPr>
              <w:t>0</w:t>
            </w:r>
          </w:p>
        </w:tc>
      </w:tr>
      <w:tr w:rsidR="008E4D92">
        <w:trPr>
          <w:trHeight w:val="283"/>
          <w:jc w:val="center"/>
        </w:trPr>
        <w:tc>
          <w:tcPr>
            <w:tcW w:w="900" w:type="pct"/>
            <w:gridSpan w:val="2"/>
            <w:vMerge w:val="restart"/>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土石方开挖</w:t>
            </w:r>
          </w:p>
        </w:tc>
        <w:tc>
          <w:tcPr>
            <w:tcW w:w="1269"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土石方开挖量</w:t>
            </w:r>
          </w:p>
        </w:tc>
        <w:tc>
          <w:tcPr>
            <w:tcW w:w="1360" w:type="pct"/>
            <w:gridSpan w:val="2"/>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m</w:t>
            </w:r>
            <w:r>
              <w:rPr>
                <w:kern w:val="0"/>
                <w:sz w:val="21"/>
                <w:szCs w:val="21"/>
                <w:vertAlign w:val="superscript"/>
              </w:rPr>
              <w:t>3</w:t>
            </w:r>
          </w:p>
        </w:tc>
        <w:tc>
          <w:tcPr>
            <w:tcW w:w="1468" w:type="pct"/>
            <w:tcBorders>
              <w:top w:val="nil"/>
              <w:left w:val="nil"/>
              <w:bottom w:val="single" w:sz="4" w:space="0" w:color="auto"/>
              <w:right w:val="single" w:sz="4" w:space="0" w:color="auto"/>
            </w:tcBorders>
            <w:vAlign w:val="center"/>
          </w:tcPr>
          <w:p w:rsidR="008E4D92" w:rsidRDefault="008B068A">
            <w:pPr>
              <w:widowControl/>
              <w:jc w:val="center"/>
              <w:rPr>
                <w:rFonts w:eastAsia="宋体"/>
                <w:kern w:val="0"/>
                <w:sz w:val="21"/>
                <w:szCs w:val="21"/>
              </w:rPr>
            </w:pPr>
            <w:r>
              <w:rPr>
                <w:kern w:val="0"/>
                <w:sz w:val="21"/>
                <w:szCs w:val="21"/>
              </w:rPr>
              <w:t>6616</w:t>
            </w:r>
          </w:p>
        </w:tc>
      </w:tr>
      <w:tr w:rsidR="008E4D92">
        <w:trPr>
          <w:trHeight w:val="283"/>
          <w:jc w:val="center"/>
        </w:trPr>
        <w:tc>
          <w:tcPr>
            <w:tcW w:w="900" w:type="pct"/>
            <w:gridSpan w:val="2"/>
            <w:vMerge/>
            <w:tcBorders>
              <w:top w:val="single" w:sz="4" w:space="0" w:color="auto"/>
              <w:left w:val="single" w:sz="4" w:space="0" w:color="auto"/>
              <w:bottom w:val="single" w:sz="4" w:space="0" w:color="auto"/>
              <w:right w:val="single" w:sz="4" w:space="0" w:color="auto"/>
            </w:tcBorders>
            <w:vAlign w:val="center"/>
          </w:tcPr>
          <w:p w:rsidR="008E4D92" w:rsidRDefault="008E4D92">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土石方回填量</w:t>
            </w:r>
          </w:p>
        </w:tc>
        <w:tc>
          <w:tcPr>
            <w:tcW w:w="1360" w:type="pct"/>
            <w:gridSpan w:val="2"/>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m</w:t>
            </w:r>
            <w:r>
              <w:rPr>
                <w:kern w:val="0"/>
                <w:sz w:val="21"/>
                <w:szCs w:val="21"/>
                <w:vertAlign w:val="superscript"/>
              </w:rPr>
              <w:t>3</w:t>
            </w:r>
          </w:p>
        </w:tc>
        <w:tc>
          <w:tcPr>
            <w:tcW w:w="1468" w:type="pct"/>
            <w:tcBorders>
              <w:top w:val="nil"/>
              <w:left w:val="nil"/>
              <w:bottom w:val="single" w:sz="4" w:space="0" w:color="auto"/>
              <w:right w:val="single" w:sz="4" w:space="0" w:color="auto"/>
            </w:tcBorders>
            <w:vAlign w:val="center"/>
          </w:tcPr>
          <w:p w:rsidR="008E4D92" w:rsidRDefault="008B068A">
            <w:pPr>
              <w:widowControl/>
              <w:jc w:val="center"/>
              <w:rPr>
                <w:rFonts w:eastAsia="宋体"/>
                <w:kern w:val="0"/>
                <w:sz w:val="21"/>
                <w:szCs w:val="21"/>
              </w:rPr>
            </w:pPr>
            <w:r>
              <w:rPr>
                <w:kern w:val="0"/>
                <w:sz w:val="21"/>
                <w:szCs w:val="21"/>
              </w:rPr>
              <w:t>6616</w:t>
            </w:r>
          </w:p>
        </w:tc>
      </w:tr>
      <w:tr w:rsidR="008E4D92">
        <w:trPr>
          <w:trHeight w:val="283"/>
          <w:jc w:val="center"/>
        </w:trPr>
        <w:tc>
          <w:tcPr>
            <w:tcW w:w="900" w:type="pct"/>
            <w:gridSpan w:val="2"/>
            <w:vMerge/>
            <w:tcBorders>
              <w:top w:val="single" w:sz="4" w:space="0" w:color="auto"/>
              <w:left w:val="single" w:sz="4" w:space="0" w:color="auto"/>
              <w:bottom w:val="single" w:sz="8" w:space="0" w:color="auto"/>
              <w:right w:val="single" w:sz="4" w:space="0" w:color="auto"/>
            </w:tcBorders>
            <w:vAlign w:val="center"/>
          </w:tcPr>
          <w:p w:rsidR="008E4D92" w:rsidRDefault="008E4D92">
            <w:pPr>
              <w:widowControl/>
              <w:jc w:val="center"/>
              <w:rPr>
                <w:kern w:val="0"/>
                <w:sz w:val="21"/>
                <w:szCs w:val="21"/>
              </w:rPr>
            </w:pPr>
          </w:p>
        </w:tc>
        <w:tc>
          <w:tcPr>
            <w:tcW w:w="1269" w:type="pct"/>
            <w:tcBorders>
              <w:top w:val="nil"/>
              <w:left w:val="nil"/>
              <w:bottom w:val="single" w:sz="8" w:space="0" w:color="auto"/>
              <w:right w:val="single" w:sz="4" w:space="0" w:color="auto"/>
            </w:tcBorders>
            <w:vAlign w:val="center"/>
          </w:tcPr>
          <w:p w:rsidR="008E4D92" w:rsidRDefault="008B068A">
            <w:pPr>
              <w:widowControl/>
              <w:jc w:val="center"/>
              <w:rPr>
                <w:kern w:val="0"/>
                <w:sz w:val="21"/>
                <w:szCs w:val="21"/>
              </w:rPr>
            </w:pPr>
            <w:r>
              <w:rPr>
                <w:kern w:val="0"/>
                <w:sz w:val="21"/>
                <w:szCs w:val="21"/>
              </w:rPr>
              <w:t>外借方</w:t>
            </w:r>
          </w:p>
        </w:tc>
        <w:tc>
          <w:tcPr>
            <w:tcW w:w="1360" w:type="pct"/>
            <w:gridSpan w:val="2"/>
            <w:tcBorders>
              <w:top w:val="nil"/>
              <w:left w:val="nil"/>
              <w:bottom w:val="single" w:sz="8" w:space="0" w:color="auto"/>
              <w:right w:val="single" w:sz="4" w:space="0" w:color="auto"/>
            </w:tcBorders>
            <w:vAlign w:val="center"/>
          </w:tcPr>
          <w:p w:rsidR="008E4D92" w:rsidRDefault="008B068A">
            <w:pPr>
              <w:widowControl/>
              <w:jc w:val="center"/>
              <w:rPr>
                <w:kern w:val="0"/>
                <w:sz w:val="21"/>
                <w:szCs w:val="21"/>
              </w:rPr>
            </w:pPr>
            <w:r>
              <w:rPr>
                <w:kern w:val="0"/>
                <w:sz w:val="21"/>
                <w:szCs w:val="21"/>
              </w:rPr>
              <w:t>m</w:t>
            </w:r>
            <w:r>
              <w:rPr>
                <w:kern w:val="0"/>
                <w:sz w:val="21"/>
                <w:szCs w:val="21"/>
                <w:vertAlign w:val="superscript"/>
              </w:rPr>
              <w:t>3</w:t>
            </w:r>
          </w:p>
        </w:tc>
        <w:tc>
          <w:tcPr>
            <w:tcW w:w="1468" w:type="pct"/>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0</w:t>
            </w:r>
          </w:p>
        </w:tc>
      </w:tr>
      <w:tr w:rsidR="008E4D92">
        <w:trPr>
          <w:trHeight w:val="283"/>
          <w:jc w:val="center"/>
        </w:trPr>
        <w:tc>
          <w:tcPr>
            <w:tcW w:w="900" w:type="pct"/>
            <w:gridSpan w:val="2"/>
            <w:tcBorders>
              <w:top w:val="single" w:sz="8"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建设工期</w:t>
            </w:r>
          </w:p>
        </w:tc>
        <w:tc>
          <w:tcPr>
            <w:tcW w:w="4099" w:type="pct"/>
            <w:gridSpan w:val="4"/>
            <w:tcBorders>
              <w:top w:val="single" w:sz="4" w:space="0" w:color="auto"/>
              <w:left w:val="nil"/>
              <w:bottom w:val="single" w:sz="4" w:space="0" w:color="auto"/>
              <w:right w:val="single" w:sz="4" w:space="0" w:color="auto"/>
            </w:tcBorders>
            <w:vAlign w:val="center"/>
          </w:tcPr>
          <w:p w:rsidR="008E4D92" w:rsidRDefault="008B068A">
            <w:pPr>
              <w:widowControl/>
              <w:ind w:firstLineChars="400" w:firstLine="840"/>
              <w:rPr>
                <w:kern w:val="0"/>
                <w:sz w:val="21"/>
                <w:szCs w:val="21"/>
              </w:rPr>
            </w:pPr>
            <w:r>
              <w:rPr>
                <w:kern w:val="0"/>
                <w:sz w:val="21"/>
                <w:szCs w:val="21"/>
              </w:rPr>
              <w:t>建设总工期</w:t>
            </w:r>
            <w:r>
              <w:rPr>
                <w:kern w:val="0"/>
                <w:sz w:val="21"/>
                <w:szCs w:val="21"/>
              </w:rPr>
              <w:t>12</w:t>
            </w:r>
            <w:r>
              <w:rPr>
                <w:kern w:val="0"/>
                <w:sz w:val="21"/>
                <w:szCs w:val="21"/>
              </w:rPr>
              <w:t>个月，即</w:t>
            </w:r>
            <w:r>
              <w:rPr>
                <w:kern w:val="0"/>
                <w:sz w:val="21"/>
                <w:szCs w:val="21"/>
              </w:rPr>
              <w:t>2014</w:t>
            </w:r>
            <w:r>
              <w:rPr>
                <w:kern w:val="0"/>
                <w:sz w:val="21"/>
                <w:szCs w:val="21"/>
              </w:rPr>
              <w:t>年</w:t>
            </w:r>
            <w:r>
              <w:rPr>
                <w:rFonts w:hint="eastAsia"/>
                <w:kern w:val="0"/>
                <w:sz w:val="21"/>
                <w:szCs w:val="21"/>
              </w:rPr>
              <w:t>4</w:t>
            </w:r>
            <w:r>
              <w:rPr>
                <w:kern w:val="0"/>
                <w:sz w:val="21"/>
                <w:szCs w:val="21"/>
              </w:rPr>
              <w:t>月～</w:t>
            </w:r>
            <w:r>
              <w:rPr>
                <w:kern w:val="0"/>
                <w:sz w:val="21"/>
                <w:szCs w:val="21"/>
              </w:rPr>
              <w:t>2015</w:t>
            </w:r>
            <w:r>
              <w:rPr>
                <w:kern w:val="0"/>
                <w:sz w:val="21"/>
                <w:szCs w:val="21"/>
              </w:rPr>
              <w:t>年</w:t>
            </w:r>
            <w:r>
              <w:rPr>
                <w:rFonts w:hint="eastAsia"/>
                <w:kern w:val="0"/>
                <w:sz w:val="21"/>
                <w:szCs w:val="21"/>
              </w:rPr>
              <w:t>3</w:t>
            </w:r>
            <w:r>
              <w:rPr>
                <w:kern w:val="0"/>
                <w:sz w:val="21"/>
                <w:szCs w:val="21"/>
              </w:rPr>
              <w:t>月</w:t>
            </w:r>
          </w:p>
        </w:tc>
      </w:tr>
      <w:tr w:rsidR="008E4D92">
        <w:trPr>
          <w:trHeight w:val="283"/>
          <w:jc w:val="center"/>
        </w:trPr>
        <w:tc>
          <w:tcPr>
            <w:tcW w:w="900" w:type="pct"/>
            <w:gridSpan w:val="2"/>
            <w:vMerge w:val="restart"/>
            <w:tcBorders>
              <w:top w:val="single" w:sz="4" w:space="0" w:color="auto"/>
              <w:left w:val="single" w:sz="4" w:space="0" w:color="auto"/>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工程投资</w:t>
            </w:r>
          </w:p>
        </w:tc>
        <w:tc>
          <w:tcPr>
            <w:tcW w:w="2068" w:type="pct"/>
            <w:gridSpan w:val="2"/>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工程总投资</w:t>
            </w:r>
          </w:p>
        </w:tc>
        <w:tc>
          <w:tcPr>
            <w:tcW w:w="2030" w:type="pct"/>
            <w:gridSpan w:val="2"/>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rFonts w:hint="eastAsia"/>
                <w:kern w:val="0"/>
                <w:sz w:val="21"/>
                <w:szCs w:val="21"/>
              </w:rPr>
              <w:t>3</w:t>
            </w:r>
            <w:r>
              <w:rPr>
                <w:kern w:val="0"/>
                <w:sz w:val="21"/>
                <w:szCs w:val="21"/>
              </w:rPr>
              <w:t>150</w:t>
            </w:r>
            <w:r>
              <w:rPr>
                <w:kern w:val="0"/>
                <w:sz w:val="21"/>
                <w:szCs w:val="21"/>
              </w:rPr>
              <w:t>万元</w:t>
            </w:r>
          </w:p>
        </w:tc>
      </w:tr>
      <w:tr w:rsidR="008E4D92">
        <w:trPr>
          <w:trHeight w:val="283"/>
          <w:jc w:val="center"/>
        </w:trPr>
        <w:tc>
          <w:tcPr>
            <w:tcW w:w="900" w:type="pct"/>
            <w:gridSpan w:val="2"/>
            <w:vMerge/>
            <w:tcBorders>
              <w:top w:val="single" w:sz="4" w:space="0" w:color="auto"/>
              <w:left w:val="single" w:sz="4" w:space="0" w:color="auto"/>
              <w:bottom w:val="single" w:sz="4" w:space="0" w:color="auto"/>
              <w:right w:val="single" w:sz="4" w:space="0" w:color="auto"/>
            </w:tcBorders>
            <w:vAlign w:val="center"/>
          </w:tcPr>
          <w:p w:rsidR="008E4D92" w:rsidRDefault="008E4D92">
            <w:pPr>
              <w:widowControl/>
              <w:jc w:val="center"/>
              <w:rPr>
                <w:kern w:val="0"/>
                <w:sz w:val="21"/>
                <w:szCs w:val="21"/>
              </w:rPr>
            </w:pPr>
          </w:p>
        </w:tc>
        <w:tc>
          <w:tcPr>
            <w:tcW w:w="2068" w:type="pct"/>
            <w:gridSpan w:val="2"/>
            <w:tcBorders>
              <w:top w:val="nil"/>
              <w:left w:val="nil"/>
              <w:bottom w:val="single" w:sz="4" w:space="0" w:color="auto"/>
              <w:right w:val="single" w:sz="4" w:space="0" w:color="auto"/>
            </w:tcBorders>
            <w:vAlign w:val="center"/>
          </w:tcPr>
          <w:p w:rsidR="008E4D92" w:rsidRDefault="008B068A">
            <w:pPr>
              <w:widowControl/>
              <w:jc w:val="center"/>
              <w:rPr>
                <w:kern w:val="0"/>
                <w:sz w:val="21"/>
                <w:szCs w:val="21"/>
              </w:rPr>
            </w:pPr>
            <w:r>
              <w:rPr>
                <w:kern w:val="0"/>
                <w:sz w:val="21"/>
                <w:szCs w:val="21"/>
              </w:rPr>
              <w:t>土建投资</w:t>
            </w:r>
          </w:p>
        </w:tc>
        <w:tc>
          <w:tcPr>
            <w:tcW w:w="2030" w:type="pct"/>
            <w:gridSpan w:val="2"/>
            <w:tcBorders>
              <w:top w:val="single" w:sz="4" w:space="0" w:color="auto"/>
              <w:left w:val="nil"/>
              <w:bottom w:val="single" w:sz="4" w:space="0" w:color="auto"/>
              <w:right w:val="single" w:sz="4" w:space="0" w:color="auto"/>
            </w:tcBorders>
            <w:vAlign w:val="center"/>
          </w:tcPr>
          <w:p w:rsidR="008E4D92" w:rsidRDefault="008B068A">
            <w:pPr>
              <w:widowControl/>
              <w:jc w:val="center"/>
              <w:rPr>
                <w:kern w:val="0"/>
                <w:sz w:val="21"/>
                <w:szCs w:val="21"/>
              </w:rPr>
            </w:pPr>
            <w:r>
              <w:rPr>
                <w:rFonts w:hint="eastAsia"/>
                <w:kern w:val="0"/>
                <w:sz w:val="21"/>
                <w:szCs w:val="21"/>
              </w:rPr>
              <w:t>1</w:t>
            </w:r>
            <w:r>
              <w:rPr>
                <w:kern w:val="0"/>
                <w:sz w:val="21"/>
                <w:szCs w:val="21"/>
              </w:rPr>
              <w:t>436</w:t>
            </w:r>
            <w:r>
              <w:rPr>
                <w:kern w:val="0"/>
                <w:sz w:val="21"/>
                <w:szCs w:val="21"/>
              </w:rPr>
              <w:t>万元</w:t>
            </w:r>
          </w:p>
        </w:tc>
      </w:tr>
    </w:tbl>
    <w:p w:rsidR="008E4D92" w:rsidRDefault="008E4D92">
      <w:pPr>
        <w:pStyle w:val="af1"/>
        <w:spacing w:line="240" w:lineRule="auto"/>
        <w:ind w:firstLine="480"/>
        <w:jc w:val="center"/>
      </w:pPr>
    </w:p>
    <w:p w:rsidR="008E4D92" w:rsidRDefault="008B068A">
      <w:pPr>
        <w:pStyle w:val="2"/>
        <w:spacing w:beforeLines="50" w:before="120"/>
      </w:pPr>
      <w:bookmarkStart w:id="10" w:name="_Toc3495"/>
      <w:bookmarkStart w:id="11" w:name="_Toc61602699"/>
      <w:bookmarkStart w:id="12" w:name="_Toc4654"/>
      <w:bookmarkStart w:id="13" w:name="_Toc61602697"/>
      <w:bookmarkStart w:id="14" w:name="_Toc14242"/>
      <w:r>
        <w:t>1.</w:t>
      </w:r>
      <w:r>
        <w:rPr>
          <w:rFonts w:hint="eastAsia"/>
        </w:rPr>
        <w:t>4</w:t>
      </w:r>
      <w:r>
        <w:t>项目组成</w:t>
      </w:r>
      <w:bookmarkEnd w:id="10"/>
      <w:r>
        <w:rPr>
          <w:rFonts w:hint="eastAsia"/>
        </w:rPr>
        <w:t>及占地</w:t>
      </w:r>
      <w:bookmarkEnd w:id="11"/>
      <w:bookmarkEnd w:id="12"/>
    </w:p>
    <w:p w:rsidR="008E4D92" w:rsidRDefault="008B068A">
      <w:pPr>
        <w:adjustRightInd/>
        <w:snapToGrid/>
        <w:spacing w:line="360" w:lineRule="auto"/>
        <w:ind w:firstLine="560"/>
        <w:rPr>
          <w:color w:val="0000FF"/>
          <w:szCs w:val="24"/>
        </w:rPr>
      </w:pPr>
      <w:r>
        <w:rPr>
          <w:color w:val="0000FF"/>
          <w:szCs w:val="24"/>
        </w:rPr>
        <w:t>根据主体设计资料，本项目由</w:t>
      </w:r>
      <w:r>
        <w:rPr>
          <w:rFonts w:hint="eastAsia"/>
          <w:color w:val="0000FF"/>
          <w:szCs w:val="24"/>
        </w:rPr>
        <w:t>建构筑物区</w:t>
      </w:r>
      <w:r>
        <w:rPr>
          <w:color w:val="0000FF"/>
          <w:szCs w:val="24"/>
        </w:rPr>
        <w:t>、</w:t>
      </w:r>
      <w:r>
        <w:rPr>
          <w:rFonts w:hint="eastAsia"/>
          <w:color w:val="0000FF"/>
          <w:szCs w:val="24"/>
        </w:rPr>
        <w:t>附属设施</w:t>
      </w:r>
      <w:r>
        <w:rPr>
          <w:color w:val="0000FF"/>
          <w:szCs w:val="24"/>
        </w:rPr>
        <w:t>区</w:t>
      </w:r>
      <w:r>
        <w:rPr>
          <w:color w:val="0000FF"/>
          <w:szCs w:val="24"/>
        </w:rPr>
        <w:t>2</w:t>
      </w:r>
      <w:r>
        <w:rPr>
          <w:color w:val="0000FF"/>
          <w:szCs w:val="24"/>
        </w:rPr>
        <w:t>部分组成</w:t>
      </w:r>
    </w:p>
    <w:p w:rsidR="008E4D92" w:rsidRDefault="008B068A">
      <w:pPr>
        <w:adjustRightInd/>
        <w:snapToGrid/>
        <w:spacing w:line="360" w:lineRule="auto"/>
        <w:ind w:firstLine="560"/>
        <w:rPr>
          <w:szCs w:val="24"/>
        </w:rPr>
      </w:pPr>
      <w:r>
        <w:rPr>
          <w:szCs w:val="24"/>
        </w:rPr>
        <w:t>本项目本项目总占地面积为</w:t>
      </w:r>
      <w:r>
        <w:rPr>
          <w:szCs w:val="24"/>
        </w:rPr>
        <w:t>1.31hm2</w:t>
      </w:r>
      <w:r>
        <w:rPr>
          <w:szCs w:val="24"/>
        </w:rPr>
        <w:t>，其中</w:t>
      </w:r>
      <w:r>
        <w:rPr>
          <w:rFonts w:hint="eastAsia"/>
          <w:szCs w:val="24"/>
        </w:rPr>
        <w:t>建构筑物区</w:t>
      </w:r>
      <w:r>
        <w:rPr>
          <w:szCs w:val="24"/>
        </w:rPr>
        <w:t>占地面积为</w:t>
      </w:r>
      <w:r>
        <w:rPr>
          <w:szCs w:val="24"/>
        </w:rPr>
        <w:t>0.90hm2</w:t>
      </w:r>
      <w:r>
        <w:rPr>
          <w:szCs w:val="24"/>
        </w:rPr>
        <w:t>，</w:t>
      </w:r>
      <w:r>
        <w:rPr>
          <w:rFonts w:hint="eastAsia"/>
          <w:szCs w:val="24"/>
        </w:rPr>
        <w:t>附属设施区</w:t>
      </w:r>
      <w:r>
        <w:rPr>
          <w:szCs w:val="24"/>
        </w:rPr>
        <w:t>占地面积为</w:t>
      </w:r>
      <w:r>
        <w:rPr>
          <w:szCs w:val="24"/>
        </w:rPr>
        <w:t>0.41hm2</w:t>
      </w:r>
      <w:r>
        <w:rPr>
          <w:szCs w:val="24"/>
        </w:rPr>
        <w:t>，均为永久占地。</w:t>
      </w:r>
    </w:p>
    <w:p w:rsidR="008E4D92" w:rsidRDefault="008B068A">
      <w:pPr>
        <w:jc w:val="center"/>
        <w:rPr>
          <w:b/>
          <w:bCs/>
          <w:kern w:val="0"/>
          <w:sz w:val="22"/>
          <w:szCs w:val="22"/>
          <w:vertAlign w:val="superscript"/>
          <w:lang w:bidi="ar"/>
        </w:rPr>
      </w:pPr>
      <w:r>
        <w:rPr>
          <w:b/>
          <w:bCs/>
          <w:sz w:val="22"/>
          <w:szCs w:val="22"/>
        </w:rPr>
        <w:t>表</w:t>
      </w:r>
      <w:r>
        <w:rPr>
          <w:b/>
          <w:bCs/>
          <w:sz w:val="22"/>
          <w:szCs w:val="22"/>
        </w:rPr>
        <w:t xml:space="preserve"> </w:t>
      </w:r>
      <w:r>
        <w:rPr>
          <w:b/>
          <w:bCs/>
          <w:sz w:val="22"/>
          <w:szCs w:val="22"/>
        </w:rPr>
        <w:t>工程占地面积表</w:t>
      </w:r>
      <w:r>
        <w:rPr>
          <w:b/>
          <w:bCs/>
          <w:sz w:val="22"/>
          <w:szCs w:val="22"/>
        </w:rPr>
        <w:t xml:space="preserve">      </w:t>
      </w:r>
      <w:r>
        <w:rPr>
          <w:b/>
          <w:bCs/>
          <w:sz w:val="22"/>
          <w:szCs w:val="22"/>
        </w:rPr>
        <w:t>单位：</w:t>
      </w:r>
      <w:r>
        <w:rPr>
          <w:b/>
          <w:bCs/>
          <w:sz w:val="22"/>
          <w:szCs w:val="22"/>
        </w:rPr>
        <w:t>h</w:t>
      </w:r>
      <w:r>
        <w:rPr>
          <w:b/>
          <w:bCs/>
          <w:kern w:val="0"/>
          <w:sz w:val="22"/>
          <w:szCs w:val="22"/>
          <w:lang w:bidi="ar"/>
        </w:rPr>
        <w:t>m</w:t>
      </w:r>
      <w:r>
        <w:rPr>
          <w:b/>
          <w:bCs/>
          <w:kern w:val="0"/>
          <w:sz w:val="22"/>
          <w:szCs w:val="22"/>
          <w:vertAlign w:val="superscript"/>
          <w:lang w:bidi="ar"/>
        </w:rPr>
        <w:t>2</w:t>
      </w:r>
    </w:p>
    <w:tbl>
      <w:tblPr>
        <w:tblW w:w="8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3"/>
        <w:gridCol w:w="1855"/>
        <w:gridCol w:w="1855"/>
        <w:gridCol w:w="1856"/>
      </w:tblGrid>
      <w:tr w:rsidR="008E4D92">
        <w:trPr>
          <w:trHeight w:hRule="exact" w:val="415"/>
          <w:jc w:val="center"/>
        </w:trPr>
        <w:tc>
          <w:tcPr>
            <w:tcW w:w="3133" w:type="dxa"/>
            <w:tcBorders>
              <w:tl2br w:val="nil"/>
              <w:tr2bl w:val="nil"/>
            </w:tcBorders>
            <w:shd w:val="clear" w:color="auto" w:fill="auto"/>
            <w:noWrap/>
            <w:tcMar>
              <w:top w:w="15" w:type="dxa"/>
              <w:left w:w="15" w:type="dxa"/>
              <w:right w:w="15" w:type="dxa"/>
            </w:tcMar>
            <w:vAlign w:val="center"/>
          </w:tcPr>
          <w:p w:rsidR="008E4D92" w:rsidRDefault="008B068A">
            <w:pPr>
              <w:spacing w:line="360" w:lineRule="auto"/>
              <w:jc w:val="center"/>
              <w:rPr>
                <w:bCs/>
                <w:kern w:val="0"/>
                <w:sz w:val="21"/>
                <w:szCs w:val="21"/>
              </w:rPr>
            </w:pPr>
            <w:r>
              <w:rPr>
                <w:bCs/>
                <w:kern w:val="0"/>
                <w:sz w:val="21"/>
                <w:szCs w:val="21"/>
              </w:rPr>
              <w:t>项目组成</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360" w:lineRule="auto"/>
              <w:jc w:val="center"/>
              <w:rPr>
                <w:bCs/>
                <w:kern w:val="0"/>
                <w:sz w:val="21"/>
                <w:szCs w:val="21"/>
              </w:rPr>
            </w:pPr>
            <w:r>
              <w:rPr>
                <w:bCs/>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360" w:lineRule="auto"/>
              <w:jc w:val="center"/>
              <w:rPr>
                <w:bCs/>
                <w:kern w:val="0"/>
                <w:sz w:val="21"/>
                <w:szCs w:val="21"/>
              </w:rPr>
            </w:pPr>
            <w:r>
              <w:rPr>
                <w:bCs/>
                <w:kern w:val="0"/>
                <w:sz w:val="21"/>
                <w:szCs w:val="21"/>
              </w:rPr>
              <w:t>永久占地</w:t>
            </w:r>
          </w:p>
        </w:tc>
        <w:tc>
          <w:tcPr>
            <w:tcW w:w="1856" w:type="dxa"/>
            <w:tcBorders>
              <w:tl2br w:val="nil"/>
              <w:tr2bl w:val="nil"/>
            </w:tcBorders>
            <w:shd w:val="clear" w:color="auto" w:fill="auto"/>
            <w:tcMar>
              <w:top w:w="15" w:type="dxa"/>
              <w:left w:w="15" w:type="dxa"/>
              <w:right w:w="15" w:type="dxa"/>
            </w:tcMar>
            <w:vAlign w:val="center"/>
          </w:tcPr>
          <w:p w:rsidR="008E4D92" w:rsidRDefault="008B068A">
            <w:pPr>
              <w:spacing w:line="360" w:lineRule="auto"/>
              <w:jc w:val="center"/>
              <w:rPr>
                <w:bCs/>
                <w:kern w:val="0"/>
                <w:sz w:val="21"/>
                <w:szCs w:val="21"/>
              </w:rPr>
            </w:pPr>
            <w:r>
              <w:rPr>
                <w:bCs/>
                <w:kern w:val="0"/>
                <w:sz w:val="21"/>
                <w:szCs w:val="21"/>
              </w:rPr>
              <w:t>临时占地</w:t>
            </w:r>
          </w:p>
        </w:tc>
      </w:tr>
      <w:tr w:rsidR="008E4D92">
        <w:trPr>
          <w:trHeight w:hRule="exact" w:val="419"/>
          <w:jc w:val="center"/>
        </w:trPr>
        <w:tc>
          <w:tcPr>
            <w:tcW w:w="3133" w:type="dxa"/>
            <w:tcBorders>
              <w:tl2br w:val="nil"/>
              <w:tr2bl w:val="nil"/>
            </w:tcBorders>
            <w:shd w:val="clear" w:color="auto" w:fill="auto"/>
            <w:noWrap/>
            <w:tcMar>
              <w:top w:w="15" w:type="dxa"/>
              <w:left w:w="15" w:type="dxa"/>
              <w:right w:w="15" w:type="dxa"/>
            </w:tcMar>
            <w:vAlign w:val="center"/>
          </w:tcPr>
          <w:p w:rsidR="008E4D92" w:rsidRDefault="008B068A">
            <w:pPr>
              <w:spacing w:line="360" w:lineRule="auto"/>
              <w:jc w:val="center"/>
              <w:rPr>
                <w:bCs/>
                <w:kern w:val="0"/>
                <w:sz w:val="21"/>
                <w:szCs w:val="21"/>
              </w:rPr>
            </w:pPr>
            <w:r>
              <w:rPr>
                <w:rFonts w:hint="eastAsia"/>
                <w:bCs/>
                <w:kern w:val="0"/>
                <w:sz w:val="21"/>
                <w:szCs w:val="21"/>
              </w:rPr>
              <w:t>建构筑物区</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bCs/>
                <w:kern w:val="0"/>
                <w:sz w:val="21"/>
                <w:szCs w:val="21"/>
              </w:rPr>
              <w:t>0.90</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bCs/>
                <w:kern w:val="0"/>
                <w:sz w:val="21"/>
                <w:szCs w:val="21"/>
              </w:rPr>
              <w:t>0.90</w:t>
            </w:r>
          </w:p>
        </w:tc>
        <w:tc>
          <w:tcPr>
            <w:tcW w:w="1856"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bCs/>
                <w:kern w:val="0"/>
                <w:sz w:val="21"/>
                <w:szCs w:val="21"/>
              </w:rPr>
              <w:t>0</w:t>
            </w:r>
          </w:p>
        </w:tc>
      </w:tr>
      <w:tr w:rsidR="008E4D92">
        <w:trPr>
          <w:trHeight w:hRule="exact" w:val="423"/>
          <w:jc w:val="center"/>
        </w:trPr>
        <w:tc>
          <w:tcPr>
            <w:tcW w:w="3133" w:type="dxa"/>
            <w:tcBorders>
              <w:tl2br w:val="nil"/>
              <w:tr2bl w:val="nil"/>
            </w:tcBorders>
            <w:shd w:val="clear" w:color="auto" w:fill="auto"/>
            <w:noWrap/>
            <w:tcMar>
              <w:top w:w="15" w:type="dxa"/>
              <w:left w:w="15" w:type="dxa"/>
              <w:right w:w="15" w:type="dxa"/>
            </w:tcMar>
            <w:vAlign w:val="center"/>
          </w:tcPr>
          <w:p w:rsidR="008E4D92" w:rsidRDefault="008B068A">
            <w:pPr>
              <w:spacing w:line="360" w:lineRule="auto"/>
              <w:jc w:val="center"/>
              <w:rPr>
                <w:bCs/>
                <w:kern w:val="0"/>
                <w:sz w:val="21"/>
                <w:szCs w:val="21"/>
              </w:rPr>
            </w:pPr>
            <w:r>
              <w:rPr>
                <w:rFonts w:hint="eastAsia"/>
                <w:bCs/>
                <w:kern w:val="0"/>
                <w:sz w:val="21"/>
                <w:szCs w:val="21"/>
              </w:rPr>
              <w:t>附属设施区</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rFonts w:hint="eastAsia"/>
                <w:bCs/>
                <w:kern w:val="0"/>
                <w:sz w:val="21"/>
                <w:szCs w:val="21"/>
              </w:rPr>
              <w:t>0</w:t>
            </w:r>
            <w:r>
              <w:rPr>
                <w:bCs/>
                <w:kern w:val="0"/>
                <w:sz w:val="21"/>
                <w:szCs w:val="21"/>
              </w:rPr>
              <w:t>.41</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rFonts w:hint="eastAsia"/>
                <w:bCs/>
                <w:kern w:val="0"/>
                <w:sz w:val="21"/>
                <w:szCs w:val="21"/>
              </w:rPr>
              <w:t>0</w:t>
            </w:r>
            <w:r>
              <w:rPr>
                <w:bCs/>
                <w:kern w:val="0"/>
                <w:sz w:val="21"/>
                <w:szCs w:val="21"/>
              </w:rPr>
              <w:t>.41</w:t>
            </w:r>
          </w:p>
        </w:tc>
        <w:tc>
          <w:tcPr>
            <w:tcW w:w="1856"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rFonts w:hint="eastAsia"/>
                <w:bCs/>
                <w:kern w:val="0"/>
                <w:sz w:val="21"/>
                <w:szCs w:val="21"/>
              </w:rPr>
              <w:t>0</w:t>
            </w:r>
          </w:p>
        </w:tc>
      </w:tr>
      <w:tr w:rsidR="008E4D92">
        <w:trPr>
          <w:trHeight w:hRule="exact" w:val="433"/>
          <w:jc w:val="center"/>
        </w:trPr>
        <w:tc>
          <w:tcPr>
            <w:tcW w:w="3133" w:type="dxa"/>
            <w:tcBorders>
              <w:tl2br w:val="nil"/>
              <w:tr2bl w:val="nil"/>
            </w:tcBorders>
            <w:shd w:val="clear" w:color="auto" w:fill="auto"/>
            <w:noWrap/>
            <w:tcMar>
              <w:top w:w="15" w:type="dxa"/>
              <w:left w:w="15" w:type="dxa"/>
              <w:right w:w="15" w:type="dxa"/>
            </w:tcMar>
            <w:vAlign w:val="center"/>
          </w:tcPr>
          <w:p w:rsidR="008E4D92" w:rsidRDefault="008B068A">
            <w:pPr>
              <w:spacing w:line="360" w:lineRule="auto"/>
              <w:jc w:val="center"/>
              <w:rPr>
                <w:bCs/>
                <w:kern w:val="0"/>
                <w:sz w:val="21"/>
                <w:szCs w:val="21"/>
              </w:rPr>
            </w:pPr>
            <w:r>
              <w:rPr>
                <w:bCs/>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8E4D92" w:rsidRDefault="008B068A">
            <w:pPr>
              <w:spacing w:line="276" w:lineRule="auto"/>
              <w:jc w:val="center"/>
              <w:rPr>
                <w:bCs/>
                <w:kern w:val="0"/>
                <w:sz w:val="21"/>
                <w:szCs w:val="21"/>
              </w:rPr>
            </w:pPr>
            <w:r>
              <w:rPr>
                <w:bCs/>
                <w:kern w:val="0"/>
                <w:sz w:val="21"/>
                <w:szCs w:val="21"/>
              </w:rPr>
              <w:t>1.31</w:t>
            </w:r>
          </w:p>
        </w:tc>
        <w:tc>
          <w:tcPr>
            <w:tcW w:w="1855" w:type="dxa"/>
            <w:tcBorders>
              <w:tl2br w:val="nil"/>
              <w:tr2bl w:val="nil"/>
            </w:tcBorders>
            <w:shd w:val="clear" w:color="auto" w:fill="auto"/>
            <w:noWrap/>
            <w:tcMar>
              <w:top w:w="15" w:type="dxa"/>
              <w:left w:w="15" w:type="dxa"/>
              <w:right w:w="15" w:type="dxa"/>
            </w:tcMar>
            <w:vAlign w:val="center"/>
          </w:tcPr>
          <w:p w:rsidR="008E4D92" w:rsidRDefault="008B068A">
            <w:pPr>
              <w:spacing w:line="276" w:lineRule="auto"/>
              <w:jc w:val="center"/>
              <w:rPr>
                <w:bCs/>
                <w:kern w:val="0"/>
                <w:sz w:val="21"/>
                <w:szCs w:val="21"/>
              </w:rPr>
            </w:pPr>
            <w:r>
              <w:rPr>
                <w:bCs/>
                <w:kern w:val="0"/>
                <w:sz w:val="21"/>
                <w:szCs w:val="21"/>
              </w:rPr>
              <w:t>1.31</w:t>
            </w:r>
          </w:p>
        </w:tc>
        <w:tc>
          <w:tcPr>
            <w:tcW w:w="1856" w:type="dxa"/>
            <w:tcBorders>
              <w:tl2br w:val="nil"/>
              <w:tr2bl w:val="nil"/>
            </w:tcBorders>
            <w:shd w:val="clear" w:color="auto" w:fill="auto"/>
            <w:noWrap/>
            <w:tcMar>
              <w:top w:w="15" w:type="dxa"/>
              <w:left w:w="15" w:type="dxa"/>
              <w:right w:w="15" w:type="dxa"/>
            </w:tcMar>
            <w:vAlign w:val="center"/>
          </w:tcPr>
          <w:p w:rsidR="008E4D92" w:rsidRDefault="008B068A">
            <w:pPr>
              <w:spacing w:line="276" w:lineRule="auto"/>
              <w:jc w:val="center"/>
              <w:rPr>
                <w:bCs/>
                <w:kern w:val="0"/>
                <w:sz w:val="21"/>
                <w:szCs w:val="21"/>
              </w:rPr>
            </w:pPr>
            <w:r>
              <w:rPr>
                <w:bCs/>
                <w:kern w:val="0"/>
                <w:sz w:val="21"/>
                <w:szCs w:val="21"/>
              </w:rPr>
              <w:t>0</w:t>
            </w:r>
          </w:p>
        </w:tc>
      </w:tr>
    </w:tbl>
    <w:p w:rsidR="008E4D92" w:rsidRDefault="008B068A">
      <w:pPr>
        <w:pStyle w:val="2"/>
        <w:spacing w:beforeLines="50" w:before="120"/>
      </w:pPr>
      <w:bookmarkStart w:id="15" w:name="_Toc61602700"/>
      <w:bookmarkStart w:id="16" w:name="_Toc10931"/>
      <w:bookmarkStart w:id="17" w:name="_Toc22126"/>
      <w:bookmarkStart w:id="18" w:name="_Toc2775"/>
      <w:r>
        <w:t>1.</w:t>
      </w:r>
      <w:r>
        <w:rPr>
          <w:rFonts w:hint="eastAsia"/>
        </w:rPr>
        <w:t>5</w:t>
      </w:r>
      <w:r>
        <w:rPr>
          <w:rFonts w:hint="eastAsia"/>
        </w:rPr>
        <w:t>土石方平衡分析与评价</w:t>
      </w:r>
      <w:bookmarkEnd w:id="15"/>
      <w:bookmarkEnd w:id="16"/>
    </w:p>
    <w:p w:rsidR="008E4D92" w:rsidRDefault="008B068A">
      <w:pPr>
        <w:adjustRightInd/>
        <w:snapToGrid/>
        <w:spacing w:line="360" w:lineRule="auto"/>
        <w:ind w:firstLine="560"/>
        <w:rPr>
          <w:szCs w:val="24"/>
        </w:rPr>
      </w:pPr>
      <w:bookmarkStart w:id="19" w:name="_Toc61602701"/>
      <w:bookmarkEnd w:id="17"/>
      <w:bookmarkEnd w:id="18"/>
      <w:r>
        <w:rPr>
          <w:szCs w:val="24"/>
        </w:rPr>
        <w:t>截至本项目编报水土保持方案，项目</w:t>
      </w:r>
      <w:r>
        <w:rPr>
          <w:rFonts w:hint="eastAsia"/>
          <w:szCs w:val="24"/>
        </w:rPr>
        <w:t>已</w:t>
      </w:r>
      <w:r>
        <w:rPr>
          <w:szCs w:val="24"/>
        </w:rPr>
        <w:t>建设完成</w:t>
      </w:r>
      <w:r>
        <w:rPr>
          <w:rFonts w:hint="eastAsia"/>
          <w:szCs w:val="24"/>
        </w:rPr>
        <w:t>并</w:t>
      </w:r>
      <w:r>
        <w:rPr>
          <w:szCs w:val="24"/>
        </w:rPr>
        <w:t>投入使用，根据项目组查阅项目竣工资料及现场勘查，场平期间已剥离表土</w:t>
      </w:r>
      <w:r>
        <w:rPr>
          <w:szCs w:val="24"/>
        </w:rPr>
        <w:t>1669m3</w:t>
      </w:r>
      <w:r>
        <w:rPr>
          <w:szCs w:val="24"/>
        </w:rPr>
        <w:t>，剥离表土已用于项目建设区绿化覆土。表土平衡表见表</w:t>
      </w:r>
      <w:r>
        <w:rPr>
          <w:szCs w:val="24"/>
        </w:rPr>
        <w:t>1-3</w:t>
      </w:r>
      <w:r>
        <w:rPr>
          <w:szCs w:val="24"/>
        </w:rPr>
        <w:t>。</w:t>
      </w:r>
    </w:p>
    <w:p w:rsidR="008E4D92" w:rsidRDefault="008B068A">
      <w:pPr>
        <w:adjustRightInd/>
        <w:snapToGrid/>
        <w:spacing w:line="360" w:lineRule="auto"/>
        <w:ind w:firstLine="560"/>
        <w:rPr>
          <w:szCs w:val="24"/>
        </w:rPr>
      </w:pPr>
      <w:bookmarkStart w:id="20" w:name="_Hlk57385024"/>
      <w:bookmarkStart w:id="21" w:name="_Hlk57303562"/>
      <w:r>
        <w:rPr>
          <w:szCs w:val="24"/>
        </w:rPr>
        <w:t>本项目建设期开挖土石方量</w:t>
      </w:r>
      <w:r>
        <w:rPr>
          <w:rFonts w:hint="eastAsia"/>
          <w:szCs w:val="24"/>
        </w:rPr>
        <w:t>6</w:t>
      </w:r>
      <w:r>
        <w:rPr>
          <w:szCs w:val="24"/>
        </w:rPr>
        <w:t>616m3</w:t>
      </w:r>
      <w:r>
        <w:rPr>
          <w:szCs w:val="24"/>
        </w:rPr>
        <w:t>（其中土方</w:t>
      </w:r>
      <w:r>
        <w:rPr>
          <w:rFonts w:hint="eastAsia"/>
          <w:szCs w:val="24"/>
        </w:rPr>
        <w:t>3</w:t>
      </w:r>
      <w:r>
        <w:rPr>
          <w:szCs w:val="24"/>
        </w:rPr>
        <w:t>803m3</w:t>
      </w:r>
      <w:r>
        <w:rPr>
          <w:szCs w:val="24"/>
        </w:rPr>
        <w:t>，石方</w:t>
      </w:r>
      <w:r>
        <w:rPr>
          <w:rFonts w:hint="eastAsia"/>
          <w:szCs w:val="24"/>
        </w:rPr>
        <w:t>9</w:t>
      </w:r>
      <w:r>
        <w:rPr>
          <w:szCs w:val="24"/>
        </w:rPr>
        <w:t>13m3</w:t>
      </w:r>
      <w:r>
        <w:rPr>
          <w:szCs w:val="24"/>
        </w:rPr>
        <w:t>，表土</w:t>
      </w:r>
      <w:r>
        <w:rPr>
          <w:szCs w:val="24"/>
        </w:rPr>
        <w:t>1900m3</w:t>
      </w:r>
      <w:r>
        <w:rPr>
          <w:szCs w:val="24"/>
        </w:rPr>
        <w:t>），</w:t>
      </w:r>
      <w:r>
        <w:rPr>
          <w:szCs w:val="24"/>
        </w:rPr>
        <w:lastRenderedPageBreak/>
        <w:t>回填土石方量</w:t>
      </w:r>
      <w:r>
        <w:rPr>
          <w:szCs w:val="24"/>
        </w:rPr>
        <w:t>6616m3</w:t>
      </w:r>
      <w:r>
        <w:rPr>
          <w:szCs w:val="24"/>
        </w:rPr>
        <w:t>（其中土方</w:t>
      </w:r>
      <w:r>
        <w:rPr>
          <w:szCs w:val="24"/>
        </w:rPr>
        <w:t>3803m3</w:t>
      </w:r>
      <w:r>
        <w:rPr>
          <w:szCs w:val="24"/>
        </w:rPr>
        <w:t>，石方</w:t>
      </w:r>
      <w:r>
        <w:rPr>
          <w:szCs w:val="24"/>
        </w:rPr>
        <w:t>913m3</w:t>
      </w:r>
      <w:r>
        <w:rPr>
          <w:szCs w:val="24"/>
        </w:rPr>
        <w:t>，表土</w:t>
      </w:r>
      <w:r>
        <w:rPr>
          <w:szCs w:val="24"/>
        </w:rPr>
        <w:t>1900 m3</w:t>
      </w:r>
      <w:r>
        <w:rPr>
          <w:szCs w:val="24"/>
        </w:rPr>
        <w:t>，无废弃土石方产生</w:t>
      </w:r>
      <w:bookmarkEnd w:id="20"/>
      <w:r>
        <w:rPr>
          <w:szCs w:val="24"/>
        </w:rPr>
        <w:t>。</w:t>
      </w:r>
      <w:bookmarkEnd w:id="21"/>
      <w:r>
        <w:rPr>
          <w:szCs w:val="24"/>
        </w:rPr>
        <w:t>土石方调配平衡情况详见表</w:t>
      </w:r>
      <w:r>
        <w:rPr>
          <w:rFonts w:hint="eastAsia"/>
          <w:szCs w:val="24"/>
        </w:rPr>
        <w:t>1</w:t>
      </w:r>
      <w:r>
        <w:rPr>
          <w:szCs w:val="24"/>
        </w:rPr>
        <w:t>-4</w:t>
      </w:r>
      <w:r>
        <w:rPr>
          <w:szCs w:val="24"/>
        </w:rPr>
        <w:t>。</w:t>
      </w:r>
    </w:p>
    <w:p w:rsidR="008E4D92" w:rsidRDefault="008B068A">
      <w:pPr>
        <w:jc w:val="center"/>
        <w:rPr>
          <w:b/>
          <w:sz w:val="22"/>
          <w:szCs w:val="22"/>
        </w:rPr>
      </w:pPr>
      <w:r>
        <w:rPr>
          <w:b/>
          <w:sz w:val="22"/>
          <w:szCs w:val="22"/>
        </w:rPr>
        <w:t>表</w:t>
      </w:r>
      <w:r>
        <w:rPr>
          <w:b/>
          <w:sz w:val="22"/>
          <w:szCs w:val="22"/>
        </w:rPr>
        <w:t xml:space="preserve">1-3            </w:t>
      </w:r>
      <w:r>
        <w:rPr>
          <w:b/>
          <w:sz w:val="22"/>
          <w:szCs w:val="22"/>
        </w:rPr>
        <w:t>表土平衡表</w:t>
      </w:r>
      <w:r>
        <w:rPr>
          <w:b/>
          <w:sz w:val="22"/>
          <w:szCs w:val="22"/>
        </w:rPr>
        <w:t xml:space="preserve">        </w:t>
      </w:r>
      <w:r>
        <w:rPr>
          <w:b/>
          <w:sz w:val="22"/>
          <w:szCs w:val="22"/>
        </w:rPr>
        <w:t>单位：</w:t>
      </w:r>
      <w:r>
        <w:rPr>
          <w:b/>
          <w:sz w:val="22"/>
          <w:szCs w:val="22"/>
        </w:rPr>
        <w:t>m³</w:t>
      </w:r>
    </w:p>
    <w:tbl>
      <w:tblPr>
        <w:tblW w:w="4998" w:type="pct"/>
        <w:tblCellMar>
          <w:left w:w="0" w:type="dxa"/>
          <w:right w:w="0" w:type="dxa"/>
        </w:tblCellMar>
        <w:tblLook w:val="04A0" w:firstRow="1" w:lastRow="0" w:firstColumn="1" w:lastColumn="0" w:noHBand="0" w:noVBand="1"/>
      </w:tblPr>
      <w:tblGrid>
        <w:gridCol w:w="2437"/>
        <w:gridCol w:w="1655"/>
        <w:gridCol w:w="1655"/>
        <w:gridCol w:w="1654"/>
        <w:gridCol w:w="1655"/>
      </w:tblGrid>
      <w:tr w:rsidR="008E4D92">
        <w:trPr>
          <w:trHeight w:val="270"/>
        </w:trPr>
        <w:tc>
          <w:tcPr>
            <w:tcW w:w="134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项目组成</w:t>
            </w:r>
          </w:p>
        </w:tc>
        <w:tc>
          <w:tcPr>
            <w:tcW w:w="1827"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表土剥离</w:t>
            </w:r>
          </w:p>
        </w:tc>
        <w:tc>
          <w:tcPr>
            <w:tcW w:w="1827"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覆土回填</w:t>
            </w:r>
          </w:p>
        </w:tc>
      </w:tr>
      <w:tr w:rsidR="008E4D92">
        <w:trPr>
          <w:trHeight w:val="270"/>
        </w:trPr>
        <w:tc>
          <w:tcPr>
            <w:tcW w:w="13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小计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表土</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小计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表土</w:t>
            </w:r>
          </w:p>
        </w:tc>
      </w:tr>
      <w:tr w:rsidR="008E4D92">
        <w:trPr>
          <w:trHeight w:val="270"/>
        </w:trPr>
        <w:tc>
          <w:tcPr>
            <w:tcW w:w="134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建构筑物区</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080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080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080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080</w:t>
            </w:r>
          </w:p>
        </w:tc>
      </w:tr>
      <w:tr w:rsidR="008E4D92">
        <w:trPr>
          <w:trHeight w:val="270"/>
        </w:trPr>
        <w:tc>
          <w:tcPr>
            <w:tcW w:w="134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附属设施区</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8</w:t>
            </w:r>
            <w:r>
              <w:rPr>
                <w:kern w:val="0"/>
                <w:sz w:val="21"/>
                <w:szCs w:val="21"/>
                <w:lang w:bidi="ar"/>
              </w:rPr>
              <w:t>20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820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820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820</w:t>
            </w:r>
          </w:p>
        </w:tc>
      </w:tr>
      <w:tr w:rsidR="008E4D92">
        <w:trPr>
          <w:trHeight w:val="270"/>
        </w:trPr>
        <w:tc>
          <w:tcPr>
            <w:tcW w:w="134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合计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900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1900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1900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1900</w:t>
            </w:r>
          </w:p>
        </w:tc>
      </w:tr>
    </w:tbl>
    <w:p w:rsidR="008E4D92" w:rsidRDefault="008E4D92">
      <w:pPr>
        <w:widowControl/>
        <w:spacing w:beforeLines="50" w:before="120" w:line="240" w:lineRule="exact"/>
        <w:jc w:val="center"/>
        <w:textAlignment w:val="center"/>
        <w:rPr>
          <w:b/>
          <w:bCs/>
          <w:kern w:val="0"/>
          <w:sz w:val="22"/>
          <w:szCs w:val="22"/>
          <w:lang w:bidi="ar"/>
        </w:rPr>
      </w:pPr>
    </w:p>
    <w:p w:rsidR="008E4D92" w:rsidRDefault="008B068A">
      <w:pPr>
        <w:widowControl/>
        <w:spacing w:beforeLines="50" w:before="120" w:line="240" w:lineRule="exact"/>
        <w:jc w:val="center"/>
        <w:textAlignment w:val="center"/>
        <w:rPr>
          <w:b/>
          <w:bCs/>
          <w:kern w:val="0"/>
          <w:sz w:val="22"/>
          <w:szCs w:val="22"/>
          <w:lang w:bidi="ar"/>
        </w:rPr>
      </w:pPr>
      <w:r>
        <w:rPr>
          <w:b/>
          <w:bCs/>
          <w:kern w:val="0"/>
          <w:sz w:val="22"/>
          <w:szCs w:val="22"/>
          <w:lang w:bidi="ar"/>
        </w:rPr>
        <w:t>表</w:t>
      </w:r>
      <w:r>
        <w:rPr>
          <w:b/>
          <w:bCs/>
          <w:kern w:val="0"/>
          <w:sz w:val="22"/>
          <w:szCs w:val="22"/>
          <w:lang w:bidi="ar"/>
        </w:rPr>
        <w:t xml:space="preserve">1-4          </w:t>
      </w:r>
      <w:r>
        <w:rPr>
          <w:b/>
          <w:bCs/>
          <w:kern w:val="0"/>
          <w:sz w:val="22"/>
          <w:szCs w:val="22"/>
          <w:lang w:bidi="ar"/>
        </w:rPr>
        <w:t>建设期土石方量及调配表</w:t>
      </w:r>
    </w:p>
    <w:tbl>
      <w:tblPr>
        <w:tblW w:w="4998" w:type="pct"/>
        <w:tblCellMar>
          <w:left w:w="0" w:type="dxa"/>
          <w:right w:w="0" w:type="dxa"/>
        </w:tblCellMar>
        <w:tblLook w:val="04A0" w:firstRow="1" w:lastRow="0" w:firstColumn="1" w:lastColumn="0" w:noHBand="0" w:noVBand="1"/>
      </w:tblPr>
      <w:tblGrid>
        <w:gridCol w:w="1408"/>
        <w:gridCol w:w="726"/>
        <w:gridCol w:w="728"/>
        <w:gridCol w:w="728"/>
        <w:gridCol w:w="741"/>
        <w:gridCol w:w="728"/>
        <w:gridCol w:w="728"/>
        <w:gridCol w:w="728"/>
        <w:gridCol w:w="737"/>
        <w:gridCol w:w="1804"/>
      </w:tblGrid>
      <w:tr w:rsidR="008E4D92">
        <w:trPr>
          <w:trHeight w:val="270"/>
        </w:trPr>
        <w:tc>
          <w:tcPr>
            <w:tcW w:w="777"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项目组成</w:t>
            </w:r>
          </w:p>
        </w:tc>
        <w:tc>
          <w:tcPr>
            <w:tcW w:w="1614" w:type="pct"/>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挖</w:t>
            </w:r>
            <w:r>
              <w:rPr>
                <w:kern w:val="0"/>
                <w:sz w:val="21"/>
                <w:szCs w:val="21"/>
                <w:lang w:bidi="ar"/>
              </w:rPr>
              <w:t xml:space="preserve"> </w:t>
            </w:r>
            <w:r>
              <w:rPr>
                <w:kern w:val="0"/>
                <w:sz w:val="21"/>
                <w:szCs w:val="21"/>
                <w:lang w:bidi="ar"/>
              </w:rPr>
              <w:t>方（</w:t>
            </w:r>
            <w:r>
              <w:rPr>
                <w:kern w:val="0"/>
                <w:sz w:val="21"/>
                <w:szCs w:val="21"/>
                <w:lang w:bidi="ar"/>
              </w:rPr>
              <w:t>m</w:t>
            </w:r>
            <w:r>
              <w:rPr>
                <w:kern w:val="0"/>
                <w:sz w:val="21"/>
                <w:szCs w:val="21"/>
                <w:vertAlign w:val="superscript"/>
                <w:lang w:bidi="ar"/>
              </w:rPr>
              <w:t>3</w:t>
            </w:r>
            <w:r>
              <w:rPr>
                <w:kern w:val="0"/>
                <w:sz w:val="21"/>
                <w:szCs w:val="21"/>
                <w:lang w:bidi="ar"/>
              </w:rPr>
              <w:t>）</w:t>
            </w:r>
          </w:p>
        </w:tc>
        <w:tc>
          <w:tcPr>
            <w:tcW w:w="1613" w:type="pct"/>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填</w:t>
            </w:r>
            <w:r>
              <w:rPr>
                <w:kern w:val="0"/>
                <w:sz w:val="21"/>
                <w:szCs w:val="21"/>
                <w:lang w:bidi="ar"/>
              </w:rPr>
              <w:t xml:space="preserve"> </w:t>
            </w:r>
            <w:r>
              <w:rPr>
                <w:kern w:val="0"/>
                <w:sz w:val="21"/>
                <w:szCs w:val="21"/>
                <w:lang w:bidi="ar"/>
              </w:rPr>
              <w:t>方（</w:t>
            </w:r>
            <w:r>
              <w:rPr>
                <w:kern w:val="0"/>
                <w:sz w:val="21"/>
                <w:szCs w:val="21"/>
                <w:lang w:bidi="ar"/>
              </w:rPr>
              <w:t>m</w:t>
            </w:r>
            <w:r>
              <w:rPr>
                <w:kern w:val="0"/>
                <w:sz w:val="21"/>
                <w:szCs w:val="21"/>
                <w:vertAlign w:val="superscript"/>
                <w:lang w:bidi="ar"/>
              </w:rPr>
              <w:t>3</w:t>
            </w:r>
            <w:r>
              <w:rPr>
                <w:kern w:val="0"/>
                <w:sz w:val="21"/>
                <w:szCs w:val="21"/>
                <w:lang w:bidi="ar"/>
              </w:rPr>
              <w:t>）</w:t>
            </w:r>
          </w:p>
        </w:tc>
        <w:tc>
          <w:tcPr>
            <w:tcW w:w="996"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废弃土石方（</w:t>
            </w:r>
            <w:r>
              <w:rPr>
                <w:kern w:val="0"/>
                <w:sz w:val="21"/>
                <w:szCs w:val="21"/>
                <w:lang w:bidi="ar"/>
              </w:rPr>
              <w:t>m</w:t>
            </w:r>
            <w:r>
              <w:rPr>
                <w:kern w:val="0"/>
                <w:sz w:val="21"/>
                <w:szCs w:val="21"/>
                <w:vertAlign w:val="superscript"/>
                <w:lang w:bidi="ar"/>
              </w:rPr>
              <w:t>3</w:t>
            </w:r>
            <w:r>
              <w:rPr>
                <w:kern w:val="0"/>
                <w:sz w:val="21"/>
                <w:szCs w:val="21"/>
                <w:lang w:bidi="ar"/>
              </w:rPr>
              <w:t>）</w:t>
            </w:r>
          </w:p>
        </w:tc>
      </w:tr>
      <w:tr w:rsidR="008E4D92">
        <w:trPr>
          <w:trHeight w:val="270"/>
        </w:trPr>
        <w:tc>
          <w:tcPr>
            <w:tcW w:w="777"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小计</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土方</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石方</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表土</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小计</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土方</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石方</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表土</w:t>
            </w:r>
          </w:p>
        </w:tc>
        <w:tc>
          <w:tcPr>
            <w:tcW w:w="99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r>
      <w:tr w:rsidR="008E4D92">
        <w:trPr>
          <w:trHeight w:val="270"/>
        </w:trPr>
        <w:tc>
          <w:tcPr>
            <w:tcW w:w="77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建构筑物区</w:t>
            </w: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4</w:t>
            </w:r>
            <w:r>
              <w:rPr>
                <w:kern w:val="0"/>
                <w:sz w:val="21"/>
                <w:szCs w:val="21"/>
                <w:lang w:bidi="ar"/>
              </w:rPr>
              <w:t>320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w:t>
            </w:r>
            <w:r>
              <w:rPr>
                <w:kern w:val="0"/>
                <w:sz w:val="21"/>
                <w:szCs w:val="21"/>
                <w:lang w:bidi="ar"/>
              </w:rPr>
              <w:t>592</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648</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1080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4</w:t>
            </w:r>
            <w:r>
              <w:rPr>
                <w:kern w:val="0"/>
                <w:sz w:val="21"/>
                <w:szCs w:val="21"/>
                <w:lang w:bidi="ar"/>
              </w:rPr>
              <w:t>320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w:t>
            </w:r>
            <w:r>
              <w:rPr>
                <w:kern w:val="0"/>
                <w:sz w:val="21"/>
                <w:szCs w:val="21"/>
                <w:lang w:bidi="ar"/>
              </w:rPr>
              <w:t>592</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648</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1080</w:t>
            </w:r>
          </w:p>
        </w:tc>
        <w:tc>
          <w:tcPr>
            <w:tcW w:w="996"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无废弃土石方</w:t>
            </w:r>
          </w:p>
        </w:tc>
      </w:tr>
      <w:tr w:rsidR="008E4D92">
        <w:trPr>
          <w:trHeight w:val="270"/>
        </w:trPr>
        <w:tc>
          <w:tcPr>
            <w:tcW w:w="77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bCs/>
                <w:kern w:val="0"/>
                <w:sz w:val="21"/>
                <w:szCs w:val="21"/>
              </w:rPr>
              <w:t>附属设施区</w:t>
            </w: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w:t>
            </w:r>
            <w:r>
              <w:rPr>
                <w:kern w:val="0"/>
                <w:sz w:val="21"/>
                <w:szCs w:val="21"/>
                <w:lang w:bidi="ar"/>
              </w:rPr>
              <w:t>296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211</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w:t>
            </w:r>
            <w:r>
              <w:rPr>
                <w:kern w:val="0"/>
                <w:sz w:val="21"/>
                <w:szCs w:val="21"/>
                <w:lang w:bidi="ar"/>
              </w:rPr>
              <w:t>65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8</w:t>
            </w:r>
            <w:r>
              <w:rPr>
                <w:kern w:val="0"/>
                <w:sz w:val="21"/>
                <w:szCs w:val="21"/>
                <w:lang w:bidi="ar"/>
              </w:rPr>
              <w:t>20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w:t>
            </w:r>
            <w:r>
              <w:rPr>
                <w:kern w:val="0"/>
                <w:sz w:val="21"/>
                <w:szCs w:val="21"/>
                <w:lang w:bidi="ar"/>
              </w:rPr>
              <w:t>296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211</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w:t>
            </w:r>
            <w:r>
              <w:rPr>
                <w:kern w:val="0"/>
                <w:sz w:val="21"/>
                <w:szCs w:val="21"/>
                <w:lang w:bidi="ar"/>
              </w:rPr>
              <w:t>65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8</w:t>
            </w:r>
            <w:r>
              <w:rPr>
                <w:kern w:val="0"/>
                <w:sz w:val="21"/>
                <w:szCs w:val="21"/>
                <w:lang w:bidi="ar"/>
              </w:rPr>
              <w:t>20</w:t>
            </w:r>
          </w:p>
        </w:tc>
        <w:tc>
          <w:tcPr>
            <w:tcW w:w="99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r>
      <w:tr w:rsidR="008E4D92">
        <w:trPr>
          <w:trHeight w:val="270"/>
        </w:trPr>
        <w:tc>
          <w:tcPr>
            <w:tcW w:w="77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合计</w:t>
            </w: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6</w:t>
            </w:r>
            <w:r>
              <w:rPr>
                <w:kern w:val="0"/>
                <w:sz w:val="21"/>
                <w:szCs w:val="21"/>
                <w:lang w:bidi="ar"/>
              </w:rPr>
              <w:t>616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3</w:t>
            </w:r>
            <w:r>
              <w:rPr>
                <w:kern w:val="0"/>
                <w:sz w:val="21"/>
                <w:szCs w:val="21"/>
                <w:lang w:bidi="ar"/>
              </w:rPr>
              <w:t>803</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9</w:t>
            </w:r>
            <w:r>
              <w:rPr>
                <w:kern w:val="0"/>
                <w:sz w:val="21"/>
                <w:szCs w:val="21"/>
                <w:lang w:bidi="ar"/>
              </w:rPr>
              <w:t>13</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1900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6</w:t>
            </w:r>
            <w:r>
              <w:rPr>
                <w:kern w:val="0"/>
                <w:sz w:val="21"/>
                <w:szCs w:val="21"/>
                <w:lang w:bidi="ar"/>
              </w:rPr>
              <w:t>616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3</w:t>
            </w:r>
            <w:r>
              <w:rPr>
                <w:kern w:val="0"/>
                <w:sz w:val="21"/>
                <w:szCs w:val="21"/>
                <w:lang w:bidi="ar"/>
              </w:rPr>
              <w:t>803</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9</w:t>
            </w:r>
            <w:r>
              <w:rPr>
                <w:kern w:val="0"/>
                <w:sz w:val="21"/>
                <w:szCs w:val="21"/>
                <w:lang w:bidi="ar"/>
              </w:rPr>
              <w:t>13</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1900</w:t>
            </w:r>
          </w:p>
        </w:tc>
        <w:tc>
          <w:tcPr>
            <w:tcW w:w="99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r>
    </w:tbl>
    <w:p w:rsidR="008E4D92" w:rsidRDefault="008E4D92">
      <w:pPr>
        <w:pStyle w:val="08522"/>
        <w:rPr>
          <w:lang w:bidi="ar"/>
        </w:rPr>
      </w:pPr>
    </w:p>
    <w:p w:rsidR="008E4D92" w:rsidRDefault="008B068A">
      <w:pPr>
        <w:pStyle w:val="2"/>
        <w:spacing w:beforeLines="50" w:before="120"/>
      </w:pPr>
      <w:bookmarkStart w:id="22" w:name="_Toc11990"/>
      <w:r>
        <w:t>1.</w:t>
      </w:r>
      <w:r>
        <w:rPr>
          <w:rFonts w:hint="eastAsia"/>
        </w:rPr>
        <w:t>6</w:t>
      </w:r>
      <w:r>
        <w:rPr>
          <w:rFonts w:hint="eastAsia"/>
        </w:rPr>
        <w:t>主体设计分析与评价</w:t>
      </w:r>
      <w:bookmarkEnd w:id="19"/>
      <w:bookmarkEnd w:id="22"/>
    </w:p>
    <w:p w:rsidR="008E4D92" w:rsidRDefault="008B068A">
      <w:pPr>
        <w:adjustRightInd/>
        <w:snapToGrid/>
        <w:spacing w:line="360" w:lineRule="auto"/>
        <w:ind w:firstLine="560"/>
        <w:rPr>
          <w:szCs w:val="24"/>
        </w:rPr>
      </w:pPr>
      <w:r>
        <w:rPr>
          <w:szCs w:val="24"/>
        </w:rPr>
        <w:t>本项目位于</w:t>
      </w:r>
      <w:r>
        <w:rPr>
          <w:rFonts w:hint="eastAsia"/>
          <w:szCs w:val="24"/>
        </w:rPr>
        <w:t>仪陇县新政镇</w:t>
      </w:r>
      <w:r>
        <w:rPr>
          <w:szCs w:val="24"/>
        </w:rPr>
        <w:t>，</w:t>
      </w:r>
      <w:r>
        <w:rPr>
          <w:rFonts w:hint="eastAsia"/>
          <w:szCs w:val="24"/>
        </w:rPr>
        <w:t>根据《仪陇省发展和改革局关于仪陇县老年服务中心老年养护楼建设项目可行性研究报告的批复》（仪发改社会</w:t>
      </w:r>
      <w:r>
        <w:rPr>
          <w:rFonts w:hint="eastAsia"/>
          <w:szCs w:val="24"/>
        </w:rPr>
        <w:t xml:space="preserve"> [ 2014 ] 94</w:t>
      </w:r>
      <w:r>
        <w:rPr>
          <w:rFonts w:hint="eastAsia"/>
          <w:szCs w:val="24"/>
        </w:rPr>
        <w:t>号）</w:t>
      </w:r>
      <w:r>
        <w:rPr>
          <w:szCs w:val="24"/>
        </w:rPr>
        <w:t>，本项目</w:t>
      </w:r>
      <w:r>
        <w:rPr>
          <w:rFonts w:hint="eastAsia"/>
          <w:szCs w:val="24"/>
        </w:rPr>
        <w:t>已</w:t>
      </w:r>
      <w:r>
        <w:rPr>
          <w:szCs w:val="24"/>
        </w:rPr>
        <w:t>建设，选址唯一，不存在</w:t>
      </w:r>
      <w:r>
        <w:rPr>
          <w:rFonts w:hint="eastAsia"/>
          <w:szCs w:val="24"/>
        </w:rPr>
        <w:t>比</w:t>
      </w:r>
      <w:r>
        <w:rPr>
          <w:szCs w:val="24"/>
        </w:rPr>
        <w:t>选方案。因此，主体设计项目建设没有场址比选，本方案也无场址比选。</w:t>
      </w:r>
    </w:p>
    <w:p w:rsidR="008E4D92" w:rsidRDefault="008B068A">
      <w:pPr>
        <w:adjustRightInd/>
        <w:snapToGrid/>
        <w:spacing w:line="360" w:lineRule="auto"/>
        <w:ind w:firstLine="560"/>
        <w:rPr>
          <w:szCs w:val="24"/>
        </w:rPr>
      </w:pPr>
      <w:r>
        <w:rPr>
          <w:szCs w:val="24"/>
        </w:rPr>
        <w:t>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本项目存在的制约性因素主要为：</w:t>
      </w:r>
    </w:p>
    <w:p w:rsidR="008E4D92" w:rsidRDefault="008B068A">
      <w:pPr>
        <w:adjustRightInd/>
        <w:snapToGrid/>
        <w:spacing w:line="360" w:lineRule="auto"/>
        <w:ind w:firstLine="560"/>
        <w:rPr>
          <w:szCs w:val="24"/>
        </w:rPr>
      </w:pPr>
      <w:r>
        <w:rPr>
          <w:szCs w:val="24"/>
        </w:rPr>
        <w:t>本项目所在地</w:t>
      </w:r>
      <w:r>
        <w:rPr>
          <w:rFonts w:hint="eastAsia"/>
          <w:szCs w:val="24"/>
        </w:rPr>
        <w:t>仪陇县</w:t>
      </w:r>
      <w:r>
        <w:rPr>
          <w:szCs w:val="24"/>
        </w:rPr>
        <w:t>属于嘉陵江及沱江中下游国家级水土流失重点治理区，客观上无法避让，但不属于绝对限制类和严格限制类行为，通过实施完善的水土保持措施，可有效防治项目区的水土流失。</w:t>
      </w:r>
    </w:p>
    <w:p w:rsidR="008E4D92" w:rsidRDefault="008B068A">
      <w:pPr>
        <w:adjustRightInd/>
        <w:snapToGrid/>
        <w:spacing w:line="360" w:lineRule="auto"/>
        <w:ind w:firstLine="560"/>
        <w:rPr>
          <w:szCs w:val="24"/>
        </w:rPr>
      </w:pPr>
      <w:r>
        <w:rPr>
          <w:szCs w:val="24"/>
        </w:rPr>
        <w:t>本项目属于未批先建项目，违反水土保持法，本方案为补报方案，建设单位后续建设中必须确保三同时后续的环节能得到落实。</w:t>
      </w:r>
    </w:p>
    <w:p w:rsidR="008E4D92" w:rsidRDefault="008B068A">
      <w:pPr>
        <w:adjustRightInd/>
        <w:snapToGrid/>
        <w:spacing w:line="360" w:lineRule="auto"/>
        <w:ind w:firstLine="560"/>
        <w:rPr>
          <w:szCs w:val="24"/>
        </w:rPr>
      </w:pPr>
      <w:r>
        <w:rPr>
          <w:szCs w:val="24"/>
        </w:rPr>
        <w:t>从水土保持角度分析，本工程项目区属于嘉陵江及沱江中下游国家级水土流失重点治理区，同时本项目已建设完成，未按建设项目</w:t>
      </w:r>
      <w:r>
        <w:rPr>
          <w:szCs w:val="24"/>
        </w:rPr>
        <w:t>“</w:t>
      </w:r>
      <w:r>
        <w:rPr>
          <w:szCs w:val="24"/>
        </w:rPr>
        <w:t>三同时</w:t>
      </w:r>
      <w:r>
        <w:rPr>
          <w:szCs w:val="24"/>
        </w:rPr>
        <w:t>”</w:t>
      </w:r>
      <w:r>
        <w:rPr>
          <w:szCs w:val="24"/>
        </w:rPr>
        <w:t>的制度进行施工，因此，需要做好水土流失防治工作，优化实施工艺，及时落实水土保持措施、减少地表扰动和植被破坏范围、严格保护植物等措施，可有效控制可能造成的水土流失。本项目不存在其</w:t>
      </w:r>
      <w:r>
        <w:rPr>
          <w:szCs w:val="24"/>
        </w:rPr>
        <w:lastRenderedPageBreak/>
        <w:t>它的水土保持绝对制约因素，从水土保持的角度分析，主体工程建设方案可行。</w:t>
      </w:r>
    </w:p>
    <w:p w:rsidR="008E4D92" w:rsidRDefault="008B068A">
      <w:pPr>
        <w:pStyle w:val="2"/>
      </w:pPr>
      <w:bookmarkStart w:id="23" w:name="_Toc15639"/>
      <w:bookmarkStart w:id="24" w:name="_Toc17943"/>
      <w:bookmarkStart w:id="25" w:name="_Toc371412978"/>
      <w:bookmarkStart w:id="26" w:name="_Toc21765"/>
      <w:r>
        <w:t>1.</w:t>
      </w:r>
      <w:r>
        <w:rPr>
          <w:rFonts w:hint="eastAsia"/>
        </w:rPr>
        <w:t>7</w:t>
      </w:r>
      <w:r>
        <w:t>移民拆迁安置</w:t>
      </w:r>
      <w:bookmarkEnd w:id="23"/>
      <w:bookmarkEnd w:id="24"/>
      <w:bookmarkEnd w:id="25"/>
      <w:bookmarkEnd w:id="26"/>
    </w:p>
    <w:p w:rsidR="008E4D92" w:rsidRDefault="008B068A">
      <w:pPr>
        <w:adjustRightInd/>
        <w:snapToGrid/>
        <w:spacing w:line="360" w:lineRule="auto"/>
        <w:ind w:firstLine="560"/>
        <w:rPr>
          <w:szCs w:val="24"/>
        </w:rPr>
      </w:pPr>
      <w:r>
        <w:rPr>
          <w:szCs w:val="24"/>
        </w:rPr>
        <w:t>本项目工程建设占地为耕地</w:t>
      </w:r>
      <w:r>
        <w:rPr>
          <w:rFonts w:hint="eastAsia"/>
          <w:szCs w:val="24"/>
        </w:rPr>
        <w:t>、其他土地及交通运输用地</w:t>
      </w:r>
      <w:r>
        <w:rPr>
          <w:szCs w:val="24"/>
        </w:rPr>
        <w:t>，且建设区范围内无建筑物，不涉及拆迁安置问题</w:t>
      </w:r>
      <w:r>
        <w:rPr>
          <w:rFonts w:hint="eastAsia"/>
          <w:szCs w:val="24"/>
        </w:rPr>
        <w:t>。</w:t>
      </w:r>
    </w:p>
    <w:p w:rsidR="008E4D92" w:rsidRDefault="008B068A">
      <w:pPr>
        <w:pStyle w:val="2"/>
      </w:pPr>
      <w:bookmarkStart w:id="27" w:name="_Toc371412979"/>
      <w:bookmarkStart w:id="28" w:name="_Toc27439"/>
      <w:bookmarkStart w:id="29" w:name="_Toc30897"/>
      <w:bookmarkStart w:id="30" w:name="_Toc14244"/>
      <w:r>
        <w:t>1.</w:t>
      </w:r>
      <w:r>
        <w:rPr>
          <w:rFonts w:hint="eastAsia"/>
        </w:rPr>
        <w:t>8</w:t>
      </w:r>
      <w:r>
        <w:t>施工组织</w:t>
      </w:r>
      <w:bookmarkEnd w:id="27"/>
      <w:bookmarkEnd w:id="28"/>
      <w:bookmarkEnd w:id="29"/>
      <w:bookmarkEnd w:id="30"/>
    </w:p>
    <w:p w:rsidR="008E4D92" w:rsidRDefault="008B068A">
      <w:pPr>
        <w:pStyle w:val="3"/>
      </w:pPr>
      <w:r>
        <w:rPr>
          <w:rFonts w:hint="eastAsia"/>
        </w:rPr>
        <w:t xml:space="preserve">1.8.1 </w:t>
      </w:r>
      <w:r>
        <w:rPr>
          <w:rFonts w:hint="eastAsia"/>
        </w:rPr>
        <w:t>施工布置</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施工便道</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本项目位于仪陇县，有乡镇公路相通，交通便利，场内平整，满足施工交通，项目建设不新增施工便道。</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施工材料</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本项目建设所需砂石料、碎石、水泥、钢筋等均在仪陇县合法料场购买，施工原材料供应过程中产生的水土流失防治责任由供应商负责。本方案以下章节不再提及。</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施工临时设施规划</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、施工生产、生活营地</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本项目施工强度小，土建工程较少，不设置生活营地。本项目施工场地位置在场地中部，施工场地占地面积</w:t>
      </w:r>
      <w:r>
        <w:rPr>
          <w:rFonts w:ascii="Times New Roman" w:hint="eastAsia"/>
          <w:sz w:val="24"/>
          <w:szCs w:val="16"/>
        </w:rPr>
        <w:t>0.01hm2</w:t>
      </w:r>
      <w:r>
        <w:rPr>
          <w:rFonts w:ascii="Times New Roman" w:hint="eastAsia"/>
          <w:sz w:val="24"/>
          <w:szCs w:val="16"/>
        </w:rPr>
        <w:t>，位于项目永久占地范围内，不新增临时占地。</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、临时堆土场</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施工过程中土石方挖填方量较少，污水管线区开挖的土石方，沿线堆放，分段施工，未设置集中的临时堆土场。临时堆土场位置在场地中部，临时堆土场占地面积</w:t>
      </w:r>
      <w:r>
        <w:rPr>
          <w:rFonts w:ascii="Times New Roman" w:hint="eastAsia"/>
          <w:sz w:val="24"/>
          <w:szCs w:val="16"/>
        </w:rPr>
        <w:t>0.01hm2</w:t>
      </w:r>
      <w:r>
        <w:rPr>
          <w:rFonts w:ascii="Times New Roman" w:hint="eastAsia"/>
          <w:sz w:val="24"/>
          <w:szCs w:val="16"/>
        </w:rPr>
        <w:t>，位于项目永久占地范围内，不新增临时占地。</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3</w:t>
      </w:r>
      <w:r>
        <w:rPr>
          <w:rFonts w:ascii="Times New Roman" w:hint="eastAsia"/>
          <w:sz w:val="24"/>
          <w:szCs w:val="16"/>
        </w:rPr>
        <w:t>、弃渣场</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本项目土石方挖填平衡，无弃渣产生，未设置弃渣场。</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施工用水、电及通讯</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1</w:t>
      </w:r>
      <w:r>
        <w:rPr>
          <w:rFonts w:ascii="Times New Roman" w:hint="eastAsia"/>
          <w:sz w:val="24"/>
          <w:szCs w:val="16"/>
        </w:rPr>
        <w:t>）施工用电：本项目施工用电选择就近从项目地内搭接取用。</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2</w:t>
      </w:r>
      <w:r>
        <w:rPr>
          <w:rFonts w:ascii="Times New Roman" w:hint="eastAsia"/>
          <w:sz w:val="24"/>
          <w:szCs w:val="16"/>
        </w:rPr>
        <w:t>）工程及生活用水：项目区施工用水通过厂内自来水满足给水需要。</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3</w:t>
      </w:r>
      <w:r>
        <w:rPr>
          <w:rFonts w:ascii="Times New Roman" w:hint="eastAsia"/>
          <w:sz w:val="24"/>
          <w:szCs w:val="16"/>
        </w:rPr>
        <w:t>）工程区已有通讯信号全面覆盖，可采用移动或联通通讯联系。</w:t>
      </w:r>
    </w:p>
    <w:p w:rsidR="008E4D92" w:rsidRDefault="008B068A">
      <w:pPr>
        <w:pStyle w:val="3"/>
      </w:pPr>
      <w:r>
        <w:rPr>
          <w:rFonts w:hint="eastAsia"/>
        </w:rPr>
        <w:t xml:space="preserve">1.8.2 </w:t>
      </w:r>
      <w:r>
        <w:rPr>
          <w:rFonts w:hint="eastAsia"/>
        </w:rPr>
        <w:t>施工管理</w:t>
      </w:r>
    </w:p>
    <w:p w:rsidR="008E4D92" w:rsidRDefault="008B068A">
      <w:pPr>
        <w:pStyle w:val="a0"/>
      </w:pPr>
      <w:r>
        <w:rPr>
          <w:rFonts w:hint="eastAsia"/>
          <w:sz w:val="24"/>
          <w:szCs w:val="16"/>
        </w:rPr>
        <w:t>为确保工程质量和工期，建设单位组建了精干有效的管理机构，严格控制施工进度和质量。项目根据工程数量、施工难易、工期安排等划分施工单元，施工单位采用公开招标方式确定，选择具有相应资质、信誉良好的施工队伍，保证工程质量、进度，顺利完成工程投资。工程实施中认真贯彻“百年大计，质量第一”的方针和国家有关质量法规，</w:t>
      </w:r>
      <w:r>
        <w:rPr>
          <w:rFonts w:hint="eastAsia"/>
          <w:sz w:val="24"/>
          <w:szCs w:val="16"/>
        </w:rPr>
        <w:lastRenderedPageBreak/>
        <w:t>实行项目法人责任制、工程招投标制、监理制和合同管理制，强化质量管理，形成一套行之有效的质量管理体系</w:t>
      </w:r>
    </w:p>
    <w:p w:rsidR="008E4D92" w:rsidRDefault="008B068A">
      <w:pPr>
        <w:pStyle w:val="2"/>
      </w:pPr>
      <w:bookmarkStart w:id="31" w:name="_Toc2419"/>
      <w:r>
        <w:t>1.</w:t>
      </w:r>
      <w:r>
        <w:rPr>
          <w:rFonts w:hint="eastAsia"/>
        </w:rPr>
        <w:t>9</w:t>
      </w:r>
      <w:r>
        <w:t>编制依据</w:t>
      </w:r>
      <w:bookmarkEnd w:id="13"/>
      <w:bookmarkEnd w:id="31"/>
    </w:p>
    <w:p w:rsidR="008E4D92" w:rsidRDefault="008B068A">
      <w:pPr>
        <w:pStyle w:val="3"/>
      </w:pPr>
      <w:bookmarkStart w:id="32" w:name="_Toc197241244"/>
      <w:bookmarkStart w:id="33" w:name="_Toc171827815"/>
      <w:bookmarkStart w:id="34" w:name="_Toc171826979"/>
      <w:bookmarkStart w:id="35" w:name="_Toc178223208"/>
      <w:bookmarkStart w:id="36" w:name="_Toc192120386"/>
      <w:bookmarkStart w:id="37" w:name="_Toc177489038"/>
      <w:bookmarkStart w:id="38" w:name="_Toc178790356"/>
      <w:bookmarkStart w:id="39" w:name="_Toc178342477"/>
      <w:bookmarkStart w:id="40" w:name="_Toc171827710"/>
      <w:bookmarkStart w:id="41" w:name="_Toc158454339"/>
      <w:bookmarkStart w:id="42" w:name="_Toc192944256"/>
      <w:bookmarkStart w:id="43" w:name="_Toc171826783"/>
      <w:r>
        <w:t>1.</w:t>
      </w:r>
      <w:r>
        <w:rPr>
          <w:rFonts w:hint="eastAsia"/>
        </w:rPr>
        <w:t>9</w:t>
      </w:r>
      <w:r>
        <w:t>.1</w:t>
      </w:r>
      <w:r>
        <w:t>法律法规</w:t>
      </w:r>
      <w:bookmarkEnd w:id="32"/>
      <w:bookmarkEnd w:id="33"/>
      <w:bookmarkEnd w:id="34"/>
      <w:bookmarkEnd w:id="35"/>
      <w:bookmarkEnd w:id="36"/>
      <w:bookmarkEnd w:id="37"/>
      <w:bookmarkEnd w:id="38"/>
      <w:bookmarkEnd w:id="39"/>
      <w:bookmarkEnd w:id="40"/>
      <w:bookmarkEnd w:id="41"/>
      <w:bookmarkEnd w:id="42"/>
      <w:bookmarkEnd w:id="43"/>
    </w:p>
    <w:p w:rsidR="008E4D92" w:rsidRDefault="008B068A">
      <w:pPr>
        <w:adjustRightInd/>
        <w:snapToGrid/>
        <w:spacing w:line="360" w:lineRule="auto"/>
        <w:ind w:firstLine="560"/>
        <w:rPr>
          <w:szCs w:val="24"/>
        </w:rPr>
      </w:pPr>
      <w:r>
        <w:rPr>
          <w:szCs w:val="24"/>
        </w:rPr>
        <w:t>（</w:t>
      </w:r>
      <w:r>
        <w:rPr>
          <w:szCs w:val="24"/>
        </w:rPr>
        <w:t>1</w:t>
      </w:r>
      <w:r>
        <w:rPr>
          <w:szCs w:val="24"/>
        </w:rPr>
        <w:t>）《中华人民共和国水土保持法》（</w:t>
      </w:r>
      <w:r>
        <w:rPr>
          <w:szCs w:val="24"/>
        </w:rPr>
        <w:t>2011</w:t>
      </w:r>
      <w:r>
        <w:rPr>
          <w:szCs w:val="24"/>
        </w:rPr>
        <w:t>的</w:t>
      </w:r>
      <w:r>
        <w:rPr>
          <w:szCs w:val="24"/>
        </w:rPr>
        <w:t>3</w:t>
      </w:r>
      <w:r>
        <w:rPr>
          <w:szCs w:val="24"/>
        </w:rPr>
        <w:t>月</w:t>
      </w:r>
      <w:r>
        <w:rPr>
          <w:szCs w:val="24"/>
        </w:rPr>
        <w:t>1</w:t>
      </w:r>
      <w:r>
        <w:rPr>
          <w:szCs w:val="24"/>
        </w:rPr>
        <w:t>日实施）；</w:t>
      </w:r>
    </w:p>
    <w:p w:rsidR="008E4D92" w:rsidRDefault="008B068A">
      <w:pPr>
        <w:adjustRightInd/>
        <w:snapToGrid/>
        <w:spacing w:line="360" w:lineRule="auto"/>
        <w:ind w:firstLine="560"/>
        <w:rPr>
          <w:szCs w:val="24"/>
        </w:rPr>
      </w:pPr>
      <w:bookmarkStart w:id="44" w:name="_Toc191756757"/>
      <w:r>
        <w:rPr>
          <w:szCs w:val="24"/>
        </w:rPr>
        <w:t>（</w:t>
      </w:r>
      <w:r>
        <w:rPr>
          <w:szCs w:val="24"/>
        </w:rPr>
        <w:t>2</w:t>
      </w:r>
      <w:r>
        <w:rPr>
          <w:szCs w:val="24"/>
        </w:rPr>
        <w:t>）《中华人民共和国水法》（</w:t>
      </w:r>
      <w:r>
        <w:rPr>
          <w:szCs w:val="24"/>
        </w:rPr>
        <w:t>2016</w:t>
      </w:r>
      <w:r>
        <w:rPr>
          <w:szCs w:val="24"/>
        </w:rPr>
        <w:t>年</w:t>
      </w:r>
      <w:r>
        <w:rPr>
          <w:szCs w:val="24"/>
        </w:rPr>
        <w:t>7</w:t>
      </w:r>
      <w:r>
        <w:rPr>
          <w:szCs w:val="24"/>
        </w:rPr>
        <w:t>月</w:t>
      </w:r>
      <w:r>
        <w:rPr>
          <w:szCs w:val="24"/>
        </w:rPr>
        <w:t>2</w:t>
      </w:r>
      <w:r>
        <w:rPr>
          <w:szCs w:val="24"/>
        </w:rPr>
        <w:t>日修改）；</w:t>
      </w:r>
      <w:bookmarkEnd w:id="44"/>
    </w:p>
    <w:p w:rsidR="008E4D92" w:rsidRDefault="008B068A">
      <w:pPr>
        <w:adjustRightInd/>
        <w:snapToGrid/>
        <w:spacing w:line="360" w:lineRule="auto"/>
        <w:ind w:firstLine="560"/>
        <w:rPr>
          <w:szCs w:val="24"/>
        </w:rPr>
      </w:pPr>
      <w:r>
        <w:rPr>
          <w:szCs w:val="24"/>
        </w:rPr>
        <w:t>（</w:t>
      </w:r>
      <w:r>
        <w:rPr>
          <w:szCs w:val="24"/>
        </w:rPr>
        <w:t>3</w:t>
      </w:r>
      <w:r>
        <w:rPr>
          <w:szCs w:val="24"/>
        </w:rPr>
        <w:t>）《中华人民共和国环境保护法》（</w:t>
      </w:r>
      <w:r>
        <w:rPr>
          <w:szCs w:val="24"/>
        </w:rPr>
        <w:t>2015</w:t>
      </w:r>
      <w:r>
        <w:rPr>
          <w:szCs w:val="24"/>
        </w:rPr>
        <w:t>年</w:t>
      </w:r>
      <w:r>
        <w:rPr>
          <w:szCs w:val="24"/>
        </w:rPr>
        <w:t>1</w:t>
      </w:r>
      <w:r>
        <w:rPr>
          <w:szCs w:val="24"/>
        </w:rPr>
        <w:t>月</w:t>
      </w:r>
      <w:r>
        <w:rPr>
          <w:szCs w:val="24"/>
        </w:rPr>
        <w:t>1</w:t>
      </w:r>
      <w:r>
        <w:rPr>
          <w:szCs w:val="24"/>
        </w:rPr>
        <w:t>日施行）；</w:t>
      </w:r>
    </w:p>
    <w:p w:rsidR="008E4D92" w:rsidRDefault="008B068A">
      <w:pPr>
        <w:adjustRightInd/>
        <w:snapToGrid/>
        <w:spacing w:line="360" w:lineRule="auto"/>
        <w:ind w:firstLine="560"/>
        <w:rPr>
          <w:szCs w:val="24"/>
        </w:rPr>
      </w:pPr>
      <w:r>
        <w:rPr>
          <w:szCs w:val="24"/>
        </w:rPr>
        <w:t>（</w:t>
      </w:r>
      <w:r>
        <w:rPr>
          <w:szCs w:val="24"/>
        </w:rPr>
        <w:t>4</w:t>
      </w:r>
      <w:r>
        <w:rPr>
          <w:szCs w:val="24"/>
        </w:rPr>
        <w:t>）《中华人民共和国土地管理法》（</w:t>
      </w:r>
      <w:r>
        <w:rPr>
          <w:szCs w:val="24"/>
        </w:rPr>
        <w:t>2004</w:t>
      </w:r>
      <w:r>
        <w:rPr>
          <w:szCs w:val="24"/>
        </w:rPr>
        <w:t>年</w:t>
      </w:r>
      <w:r>
        <w:rPr>
          <w:szCs w:val="24"/>
        </w:rPr>
        <w:t>8</w:t>
      </w:r>
      <w:r>
        <w:rPr>
          <w:szCs w:val="24"/>
        </w:rPr>
        <w:t>月</w:t>
      </w:r>
      <w:r>
        <w:rPr>
          <w:szCs w:val="24"/>
        </w:rPr>
        <w:t>28</w:t>
      </w:r>
      <w:r>
        <w:rPr>
          <w:szCs w:val="24"/>
        </w:rPr>
        <w:t>日实施）；</w:t>
      </w:r>
    </w:p>
    <w:p w:rsidR="008E4D92" w:rsidRDefault="008B068A">
      <w:pPr>
        <w:adjustRightInd/>
        <w:snapToGrid/>
        <w:spacing w:line="360" w:lineRule="auto"/>
        <w:ind w:firstLine="560"/>
        <w:rPr>
          <w:szCs w:val="24"/>
        </w:rPr>
      </w:pPr>
      <w:r>
        <w:rPr>
          <w:szCs w:val="24"/>
        </w:rPr>
        <w:t>（</w:t>
      </w:r>
      <w:r>
        <w:rPr>
          <w:szCs w:val="24"/>
        </w:rPr>
        <w:t>5</w:t>
      </w:r>
      <w:r>
        <w:rPr>
          <w:szCs w:val="24"/>
        </w:rPr>
        <w:t>）《中华人民共和国防洪法》（</w:t>
      </w:r>
      <w:r>
        <w:rPr>
          <w:szCs w:val="24"/>
        </w:rPr>
        <w:t>2016</w:t>
      </w:r>
      <w:r>
        <w:rPr>
          <w:szCs w:val="24"/>
        </w:rPr>
        <w:t>年</w:t>
      </w:r>
      <w:r>
        <w:rPr>
          <w:szCs w:val="24"/>
        </w:rPr>
        <w:t>7</w:t>
      </w:r>
      <w:r>
        <w:rPr>
          <w:szCs w:val="24"/>
        </w:rPr>
        <w:t>月</w:t>
      </w:r>
      <w:r>
        <w:rPr>
          <w:szCs w:val="24"/>
        </w:rPr>
        <w:t>2</w:t>
      </w:r>
      <w:r>
        <w:rPr>
          <w:szCs w:val="24"/>
        </w:rPr>
        <w:t>日施行）；</w:t>
      </w:r>
    </w:p>
    <w:p w:rsidR="008E4D92" w:rsidRDefault="008B068A">
      <w:pPr>
        <w:adjustRightInd/>
        <w:snapToGrid/>
        <w:spacing w:line="360" w:lineRule="auto"/>
        <w:ind w:firstLine="560"/>
        <w:rPr>
          <w:szCs w:val="24"/>
        </w:rPr>
      </w:pPr>
      <w:r>
        <w:rPr>
          <w:szCs w:val="24"/>
        </w:rPr>
        <w:t>（</w:t>
      </w:r>
      <w:r>
        <w:rPr>
          <w:szCs w:val="24"/>
        </w:rPr>
        <w:t>6</w:t>
      </w:r>
      <w:r>
        <w:rPr>
          <w:szCs w:val="24"/>
        </w:rPr>
        <w:t>）</w:t>
      </w:r>
      <w:r>
        <w:t>《四川省〈中华人民共和国水土保持法〉实施办法（</w:t>
      </w:r>
      <w:r>
        <w:t>2012</w:t>
      </w:r>
      <w:r>
        <w:t>年修正本）》</w:t>
      </w:r>
      <w:r>
        <w:rPr>
          <w:rFonts w:hint="eastAsia"/>
        </w:rPr>
        <w:t>（</w:t>
      </w:r>
      <w:r>
        <w:t>2012</w:t>
      </w:r>
      <w:r>
        <w:t>年</w:t>
      </w:r>
      <w:r>
        <w:t>12</w:t>
      </w:r>
      <w:r>
        <w:t>月</w:t>
      </w:r>
      <w:r>
        <w:t>1</w:t>
      </w:r>
      <w:r>
        <w:t>日</w:t>
      </w:r>
      <w:r>
        <w:rPr>
          <w:rFonts w:hint="eastAsia"/>
        </w:rPr>
        <w:t>施行）</w:t>
      </w:r>
    </w:p>
    <w:p w:rsidR="008E4D92" w:rsidRDefault="008B068A">
      <w:pPr>
        <w:pStyle w:val="3"/>
      </w:pPr>
      <w:bookmarkStart w:id="45" w:name="_Toc135288512"/>
      <w:bookmarkStart w:id="46" w:name="_Toc178342480"/>
      <w:bookmarkStart w:id="47" w:name="_Toc178790359"/>
      <w:bookmarkStart w:id="48" w:name="_Toc260903559"/>
      <w:bookmarkStart w:id="49" w:name="_Toc171827822"/>
      <w:bookmarkStart w:id="50" w:name="_Toc171826790"/>
      <w:bookmarkStart w:id="51" w:name="_Toc256088280"/>
      <w:bookmarkStart w:id="52" w:name="_Toc254031421"/>
      <w:bookmarkStart w:id="53" w:name="_Toc192120389"/>
      <w:bookmarkStart w:id="54" w:name="_Toc198374111"/>
      <w:bookmarkStart w:id="55" w:name="_Toc171826986"/>
      <w:bookmarkStart w:id="56" w:name="_Toc259113252"/>
      <w:bookmarkStart w:id="57" w:name="_Toc158454342"/>
      <w:bookmarkStart w:id="58" w:name="_Toc171827713"/>
      <w:bookmarkStart w:id="59" w:name="_Toc178223211"/>
      <w:bookmarkStart w:id="60" w:name="_Toc177489041"/>
      <w:r>
        <w:t>1.</w:t>
      </w:r>
      <w:r>
        <w:rPr>
          <w:rFonts w:hint="eastAsia"/>
        </w:rPr>
        <w:t>9</w:t>
      </w:r>
      <w:r>
        <w:t>.</w:t>
      </w:r>
      <w:r>
        <w:rPr>
          <w:rFonts w:hint="eastAsia"/>
        </w:rPr>
        <w:t>2</w:t>
      </w:r>
      <w:r>
        <w:t>规范</w:t>
      </w:r>
      <w:r>
        <w:rPr>
          <w:rFonts w:hint="eastAsia"/>
        </w:rPr>
        <w:t>与</w:t>
      </w:r>
      <w:r>
        <w:t>标准</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rsidR="008E4D92" w:rsidRDefault="008B068A">
      <w:pPr>
        <w:adjustRightInd/>
        <w:snapToGrid/>
        <w:spacing w:line="360" w:lineRule="auto"/>
        <w:ind w:firstLine="560"/>
        <w:rPr>
          <w:szCs w:val="24"/>
        </w:rPr>
      </w:pPr>
      <w:r>
        <w:rPr>
          <w:szCs w:val="24"/>
        </w:rPr>
        <w:t>（</w:t>
      </w:r>
      <w:r>
        <w:rPr>
          <w:szCs w:val="24"/>
        </w:rPr>
        <w:t>1</w:t>
      </w:r>
      <w:r>
        <w:rPr>
          <w:szCs w:val="24"/>
        </w:rPr>
        <w:t>）</w:t>
      </w:r>
      <w:r>
        <w:rPr>
          <w:rFonts w:hint="eastAsia"/>
          <w:szCs w:val="24"/>
        </w:rPr>
        <w:t>《生产建设项目水土保持技术标准》</w:t>
      </w:r>
      <w:r>
        <w:rPr>
          <w:rFonts w:hint="eastAsia"/>
          <w:szCs w:val="24"/>
        </w:rPr>
        <w:t>(GB50433-2018)</w:t>
      </w:r>
      <w:r>
        <w:rPr>
          <w:rFonts w:hint="eastAsia"/>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2</w:t>
      </w:r>
      <w:r>
        <w:rPr>
          <w:rFonts w:hint="eastAsia"/>
          <w:szCs w:val="24"/>
        </w:rPr>
        <w:t>）《生产建设项目水土流失防治标准》（</w:t>
      </w:r>
      <w:r>
        <w:rPr>
          <w:rFonts w:hint="eastAsia"/>
          <w:szCs w:val="24"/>
        </w:rPr>
        <w:t>GB50434-2018</w:t>
      </w:r>
      <w:r>
        <w:rPr>
          <w:rFonts w:hint="eastAsia"/>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3</w:t>
      </w:r>
      <w:r>
        <w:rPr>
          <w:rFonts w:hint="eastAsia"/>
          <w:szCs w:val="24"/>
        </w:rPr>
        <w:t>）《水土保持工程调查与勘测标准》（</w:t>
      </w:r>
      <w:r>
        <w:rPr>
          <w:rFonts w:hint="eastAsia"/>
          <w:szCs w:val="24"/>
        </w:rPr>
        <w:t>GB/T521297-2018</w:t>
      </w:r>
      <w:r>
        <w:rPr>
          <w:rFonts w:hint="eastAsia"/>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4</w:t>
      </w:r>
      <w:r>
        <w:rPr>
          <w:rFonts w:hint="eastAsia"/>
          <w:szCs w:val="24"/>
        </w:rPr>
        <w:t>）《生产建设项目水土保持监测与评价标准》（</w:t>
      </w:r>
      <w:r>
        <w:rPr>
          <w:rFonts w:hint="eastAsia"/>
          <w:szCs w:val="24"/>
        </w:rPr>
        <w:t>GBT 51240-2018</w:t>
      </w:r>
      <w:r>
        <w:rPr>
          <w:rFonts w:hint="eastAsia"/>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5</w:t>
      </w:r>
      <w:r>
        <w:rPr>
          <w:rFonts w:hint="eastAsia"/>
          <w:szCs w:val="24"/>
        </w:rPr>
        <w:t>）</w:t>
      </w:r>
      <w:r>
        <w:rPr>
          <w:szCs w:val="24"/>
        </w:rPr>
        <w:t>《土壤侵蚀分类分级标准》（</w:t>
      </w:r>
      <w:r>
        <w:rPr>
          <w:szCs w:val="24"/>
        </w:rPr>
        <w:t>SLl90-2007</w:t>
      </w:r>
      <w:r>
        <w:rPr>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6</w:t>
      </w:r>
      <w:r>
        <w:rPr>
          <w:rFonts w:hint="eastAsia"/>
          <w:szCs w:val="24"/>
        </w:rPr>
        <w:t>）</w:t>
      </w:r>
      <w:r>
        <w:rPr>
          <w:szCs w:val="24"/>
        </w:rPr>
        <w:t>《防洪标准》（</w:t>
      </w:r>
      <w:r>
        <w:rPr>
          <w:szCs w:val="24"/>
        </w:rPr>
        <w:t>GB86201-2014</w:t>
      </w:r>
      <w:r>
        <w:rPr>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7</w:t>
      </w:r>
      <w:r>
        <w:rPr>
          <w:rFonts w:hint="eastAsia"/>
          <w:szCs w:val="24"/>
        </w:rPr>
        <w:t>）</w:t>
      </w:r>
      <w:r>
        <w:rPr>
          <w:szCs w:val="24"/>
        </w:rPr>
        <w:t>《公路工程技术标准》（</w:t>
      </w:r>
      <w:r>
        <w:rPr>
          <w:szCs w:val="24"/>
        </w:rPr>
        <w:t>JTG B01-2014</w:t>
      </w:r>
      <w:r>
        <w:rPr>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8</w:t>
      </w:r>
      <w:r>
        <w:rPr>
          <w:rFonts w:hint="eastAsia"/>
          <w:szCs w:val="24"/>
        </w:rPr>
        <w:t>）</w:t>
      </w:r>
      <w:r>
        <w:rPr>
          <w:szCs w:val="24"/>
        </w:rPr>
        <w:t>《公路路基设计规范》（</w:t>
      </w:r>
      <w:r>
        <w:rPr>
          <w:szCs w:val="24"/>
        </w:rPr>
        <w:t>JTG D30-2015</w:t>
      </w:r>
      <w:r>
        <w:rPr>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9</w:t>
      </w:r>
      <w:r>
        <w:rPr>
          <w:rFonts w:hint="eastAsia"/>
          <w:szCs w:val="24"/>
        </w:rPr>
        <w:t>）</w:t>
      </w:r>
      <w:r>
        <w:rPr>
          <w:szCs w:val="24"/>
        </w:rPr>
        <w:t>《中国地震动参数区划图》（</w:t>
      </w:r>
      <w:r>
        <w:rPr>
          <w:szCs w:val="24"/>
        </w:rPr>
        <w:t>GB18306-2015</w:t>
      </w:r>
      <w:r>
        <w:rPr>
          <w:szCs w:val="24"/>
        </w:rPr>
        <w:t>）；</w:t>
      </w:r>
    </w:p>
    <w:p w:rsidR="008E4D92" w:rsidRDefault="008B068A">
      <w:pPr>
        <w:adjustRightInd/>
        <w:snapToGrid/>
        <w:spacing w:line="360" w:lineRule="auto"/>
        <w:ind w:firstLine="560"/>
        <w:rPr>
          <w:szCs w:val="24"/>
        </w:rPr>
      </w:pPr>
      <w:r>
        <w:rPr>
          <w:rFonts w:hint="eastAsia"/>
          <w:szCs w:val="24"/>
        </w:rPr>
        <w:t>（</w:t>
      </w:r>
      <w:r>
        <w:rPr>
          <w:szCs w:val="24"/>
        </w:rPr>
        <w:t>10</w:t>
      </w:r>
      <w:r>
        <w:rPr>
          <w:rFonts w:hint="eastAsia"/>
          <w:szCs w:val="24"/>
        </w:rPr>
        <w:t>）</w:t>
      </w:r>
      <w:r>
        <w:rPr>
          <w:szCs w:val="24"/>
        </w:rPr>
        <w:t>《土地利用现状分类》（</w:t>
      </w:r>
      <w:r>
        <w:rPr>
          <w:szCs w:val="24"/>
        </w:rPr>
        <w:t>GB/T 21010-2017</w:t>
      </w:r>
      <w:r>
        <w:rPr>
          <w:szCs w:val="24"/>
        </w:rPr>
        <w:t>）；</w:t>
      </w:r>
    </w:p>
    <w:p w:rsidR="008E4D92" w:rsidRDefault="008B068A">
      <w:pPr>
        <w:adjustRightInd/>
        <w:snapToGrid/>
        <w:spacing w:line="360" w:lineRule="auto"/>
        <w:ind w:firstLine="560"/>
        <w:rPr>
          <w:szCs w:val="24"/>
        </w:rPr>
      </w:pPr>
      <w:r>
        <w:rPr>
          <w:rFonts w:hint="eastAsia"/>
          <w:szCs w:val="24"/>
        </w:rPr>
        <w:t>（</w:t>
      </w:r>
      <w:r>
        <w:rPr>
          <w:rFonts w:hint="eastAsia"/>
          <w:szCs w:val="24"/>
        </w:rPr>
        <w:t>1</w:t>
      </w:r>
      <w:r>
        <w:rPr>
          <w:szCs w:val="24"/>
        </w:rPr>
        <w:t>1</w:t>
      </w:r>
      <w:r>
        <w:rPr>
          <w:rFonts w:hint="eastAsia"/>
          <w:szCs w:val="24"/>
        </w:rPr>
        <w:t>）</w:t>
      </w:r>
      <w:r>
        <w:rPr>
          <w:szCs w:val="24"/>
        </w:rPr>
        <w:t>《</w:t>
      </w:r>
      <w:r>
        <w:rPr>
          <w:rFonts w:hint="eastAsia"/>
          <w:szCs w:val="24"/>
        </w:rPr>
        <w:t>水土保持工程设计规范</w:t>
      </w:r>
      <w:r>
        <w:rPr>
          <w:szCs w:val="24"/>
        </w:rPr>
        <w:t>》</w:t>
      </w:r>
      <w:r>
        <w:rPr>
          <w:szCs w:val="24"/>
        </w:rPr>
        <w:t>(GB 51018-2014)</w:t>
      </w:r>
      <w:r>
        <w:rPr>
          <w:szCs w:val="24"/>
        </w:rPr>
        <w:t>。</w:t>
      </w:r>
    </w:p>
    <w:p w:rsidR="008E4D92" w:rsidRDefault="008B068A">
      <w:pPr>
        <w:pStyle w:val="3"/>
      </w:pPr>
      <w:r>
        <w:t>1.</w:t>
      </w:r>
      <w:r>
        <w:rPr>
          <w:rFonts w:hint="eastAsia"/>
        </w:rPr>
        <w:t>9.3</w:t>
      </w:r>
      <w:r>
        <w:t>技术文件及资料</w:t>
      </w:r>
    </w:p>
    <w:p w:rsidR="008E4D92" w:rsidRDefault="008B068A">
      <w:pPr>
        <w:spacing w:line="360" w:lineRule="auto"/>
        <w:ind w:firstLineChars="200" w:firstLine="480"/>
      </w:pPr>
      <w:r>
        <w:t>（</w:t>
      </w:r>
      <w:r>
        <w:t>1</w:t>
      </w:r>
      <w:r>
        <w:t>）《关于印发〈生产建设项目水土保持方案技术审查要点〉的通知》（水保监〔</w:t>
      </w:r>
      <w:r>
        <w:t>2014</w:t>
      </w:r>
      <w:r>
        <w:t>〕</w:t>
      </w:r>
      <w:r>
        <w:t>58</w:t>
      </w:r>
      <w:r>
        <w:t>号）；</w:t>
      </w:r>
    </w:p>
    <w:p w:rsidR="008E4D92" w:rsidRDefault="008B068A">
      <w:pPr>
        <w:spacing w:line="360" w:lineRule="auto"/>
        <w:ind w:firstLineChars="200" w:firstLine="480"/>
      </w:pPr>
      <w:r>
        <w:t>（</w:t>
      </w:r>
      <w:r>
        <w:t>2</w:t>
      </w:r>
      <w:r>
        <w:t>）《水利部办公厅关于调整〈水利工程计价依据增值税计算标准〉的通知》（办财务函〔</w:t>
      </w:r>
      <w:r>
        <w:t>2019</w:t>
      </w:r>
      <w:r>
        <w:t>〕</w:t>
      </w:r>
      <w:r>
        <w:t>448</w:t>
      </w:r>
      <w:r>
        <w:t>号）；</w:t>
      </w:r>
    </w:p>
    <w:p w:rsidR="008E4D92" w:rsidRDefault="008B068A">
      <w:pPr>
        <w:spacing w:line="360" w:lineRule="auto"/>
        <w:ind w:firstLineChars="200" w:firstLine="480"/>
      </w:pPr>
      <w:r>
        <w:t>（</w:t>
      </w:r>
      <w:r>
        <w:t>5</w:t>
      </w:r>
      <w:r>
        <w:t>）</w:t>
      </w:r>
      <w:r>
        <w:rPr>
          <w:rFonts w:hint="eastAsia"/>
        </w:rPr>
        <w:t>《仪陇县水土保持规划》（</w:t>
      </w:r>
      <w:r>
        <w:rPr>
          <w:rFonts w:hint="eastAsia"/>
        </w:rPr>
        <w:t>2015-2030</w:t>
      </w:r>
      <w:r>
        <w:rPr>
          <w:rFonts w:hint="eastAsia"/>
        </w:rPr>
        <w:t>）；</w:t>
      </w:r>
    </w:p>
    <w:p w:rsidR="008E4D92" w:rsidRDefault="008B068A">
      <w:pPr>
        <w:spacing w:line="360" w:lineRule="auto"/>
        <w:ind w:firstLineChars="200" w:firstLine="480"/>
      </w:pPr>
      <w:r>
        <w:t>（</w:t>
      </w:r>
      <w:r>
        <w:t>7</w:t>
      </w:r>
      <w:r>
        <w:t>）</w:t>
      </w:r>
      <w:bookmarkStart w:id="61" w:name="_Hlk57302107"/>
      <w:bookmarkStart w:id="62" w:name="_Hlk57389273"/>
      <w:r>
        <w:t>《</w:t>
      </w:r>
      <w:r>
        <w:rPr>
          <w:rFonts w:hint="eastAsia"/>
        </w:rPr>
        <w:t>仪陇省发展和改革局关于</w:t>
      </w:r>
      <w:r>
        <w:rPr>
          <w:rFonts w:hint="eastAsia"/>
          <w:szCs w:val="16"/>
        </w:rPr>
        <w:t>仪陇县老年服务中心老年养护楼建设项目可行性</w:t>
      </w:r>
      <w:r>
        <w:rPr>
          <w:rFonts w:hint="eastAsia"/>
          <w:szCs w:val="16"/>
        </w:rPr>
        <w:lastRenderedPageBreak/>
        <w:t>研究报告的批复</w:t>
      </w:r>
      <w:r>
        <w:t>》（</w:t>
      </w:r>
      <w:r>
        <w:rPr>
          <w:rFonts w:hint="eastAsia"/>
        </w:rPr>
        <w:t>仪发改社会</w:t>
      </w:r>
      <w:r>
        <w:rPr>
          <w:rFonts w:hint="eastAsia"/>
        </w:rPr>
        <w:t xml:space="preserve"> [</w:t>
      </w:r>
      <w:r>
        <w:t xml:space="preserve"> 2014 ] 94</w:t>
      </w:r>
      <w:r>
        <w:t>号）</w:t>
      </w:r>
      <w:bookmarkEnd w:id="61"/>
      <w:r>
        <w:rPr>
          <w:rFonts w:hint="eastAsia"/>
        </w:rPr>
        <w:t>；</w:t>
      </w:r>
    </w:p>
    <w:bookmarkEnd w:id="62"/>
    <w:p w:rsidR="008E4D92" w:rsidRDefault="008B068A">
      <w:pPr>
        <w:pStyle w:val="af1"/>
        <w:ind w:firstLine="480"/>
      </w:pPr>
      <w:r>
        <w:rPr>
          <w:rFonts w:hint="eastAsia"/>
        </w:rPr>
        <w:t>（</w:t>
      </w:r>
      <w:r>
        <w:rPr>
          <w:rFonts w:hint="eastAsia"/>
        </w:rPr>
        <w:t>8</w:t>
      </w:r>
      <w:r>
        <w:rPr>
          <w:rFonts w:hint="eastAsia"/>
        </w:rPr>
        <w:t>）</w:t>
      </w:r>
      <w:r>
        <w:t>建设单位提供的其它资料</w:t>
      </w:r>
      <w:r>
        <w:rPr>
          <w:rFonts w:hint="eastAsia"/>
        </w:rPr>
        <w:t>；</w:t>
      </w:r>
    </w:p>
    <w:p w:rsidR="008E4D92" w:rsidRDefault="008B068A">
      <w:pPr>
        <w:pStyle w:val="2"/>
      </w:pPr>
      <w:bookmarkStart w:id="63" w:name="_Toc31606"/>
      <w:bookmarkStart w:id="64" w:name="_Toc61601205"/>
      <w:bookmarkStart w:id="65" w:name="_Toc30885"/>
      <w:bookmarkStart w:id="66" w:name="_Toc23284"/>
      <w:bookmarkStart w:id="67" w:name="_Toc24167"/>
      <w:bookmarkStart w:id="68" w:name="_Toc9160"/>
      <w:bookmarkStart w:id="69" w:name="_Toc11529"/>
      <w:bookmarkStart w:id="70" w:name="_Toc9130450"/>
      <w:bookmarkEnd w:id="14"/>
      <w:r>
        <w:t>1.</w:t>
      </w:r>
      <w:r>
        <w:rPr>
          <w:rFonts w:hint="eastAsia"/>
        </w:rPr>
        <w:t>10</w:t>
      </w:r>
      <w:r>
        <w:rPr>
          <w:rFonts w:hint="eastAsia"/>
        </w:rPr>
        <w:t>安全、文明生产措施</w:t>
      </w:r>
      <w:bookmarkEnd w:id="63"/>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坚持</w:t>
      </w:r>
      <w:r>
        <w:rPr>
          <w:rFonts w:ascii="Times New Roman"/>
          <w:sz w:val="24"/>
          <w:szCs w:val="16"/>
        </w:rPr>
        <w:t>“</w:t>
      </w:r>
      <w:r>
        <w:rPr>
          <w:rFonts w:ascii="Times New Roman"/>
          <w:sz w:val="24"/>
          <w:szCs w:val="16"/>
        </w:rPr>
        <w:t>安全生产，预防为主</w:t>
      </w:r>
      <w:r>
        <w:rPr>
          <w:rFonts w:ascii="Times New Roman"/>
          <w:sz w:val="24"/>
          <w:szCs w:val="16"/>
        </w:rPr>
        <w:t>”</w:t>
      </w:r>
      <w:r>
        <w:rPr>
          <w:rFonts w:ascii="Times New Roman"/>
          <w:sz w:val="24"/>
          <w:szCs w:val="16"/>
        </w:rPr>
        <w:t>的方针，加强班组管理，夯实安全工作基础，加大违章操作整治力度，消灭重大事故，尽量减少一般事故。坚持以安全文明生产为基础，各级领导为安全第一责任人，安全防护思想到位，坚持各级控制事故的逐级责任制，使安全工作</w:t>
      </w:r>
      <w:r>
        <w:rPr>
          <w:rFonts w:ascii="Times New Roman"/>
          <w:sz w:val="24"/>
          <w:szCs w:val="16"/>
        </w:rPr>
        <w:t>“</w:t>
      </w:r>
      <w:r>
        <w:rPr>
          <w:rFonts w:ascii="Times New Roman"/>
          <w:sz w:val="24"/>
          <w:szCs w:val="16"/>
        </w:rPr>
        <w:t>纵向到底，横向到边</w:t>
      </w:r>
      <w:r>
        <w:rPr>
          <w:rFonts w:ascii="Times New Roman"/>
          <w:sz w:val="24"/>
          <w:szCs w:val="16"/>
        </w:rPr>
        <w:t>”</w:t>
      </w:r>
      <w:r>
        <w:rPr>
          <w:rFonts w:ascii="Times New Roman"/>
          <w:sz w:val="24"/>
          <w:szCs w:val="16"/>
        </w:rPr>
        <w:t>。确保必要的安全投入，购置必备的劳动保护用品和安全设备，以满足安全生产的需要。</w:t>
      </w:r>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施工单位在施工过程中要严格执行施工作业的规章制度和安全过程控制，并对施工人员进行了必要的安全教育和宣传工作，进入施工场地的人员均按规定配戴了安全帽；施工现场可能会出现施工安全隐患的区域或地段也设有防护设施或示警标志。同时，工程施工期加强了施工安全检查，险要地段设有专职人员进行巡视。</w:t>
      </w:r>
    </w:p>
    <w:p w:rsidR="008E4D92" w:rsidRDefault="008B068A">
      <w:pPr>
        <w:pStyle w:val="2"/>
      </w:pPr>
      <w:bookmarkStart w:id="71" w:name="_Toc12747"/>
      <w:r>
        <w:t>1.</w:t>
      </w:r>
      <w:r>
        <w:rPr>
          <w:rFonts w:hint="eastAsia"/>
        </w:rPr>
        <w:t>11</w:t>
      </w:r>
      <w:r>
        <w:rPr>
          <w:rFonts w:hint="eastAsia"/>
        </w:rPr>
        <w:t>工程投资及进度安排</w:t>
      </w:r>
      <w:bookmarkEnd w:id="71"/>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建设工期：</w:t>
      </w:r>
      <w:r>
        <w:rPr>
          <w:rFonts w:ascii="Times New Roman" w:hint="eastAsia"/>
          <w:sz w:val="24"/>
          <w:szCs w:val="16"/>
        </w:rPr>
        <w:t>本项目已于</w:t>
      </w:r>
      <w:r>
        <w:rPr>
          <w:rFonts w:ascii="Times New Roman" w:hint="eastAsia"/>
          <w:sz w:val="24"/>
          <w:szCs w:val="16"/>
        </w:rPr>
        <w:t>2014</w:t>
      </w:r>
      <w:r>
        <w:rPr>
          <w:rFonts w:ascii="Times New Roman" w:hint="eastAsia"/>
          <w:sz w:val="24"/>
          <w:szCs w:val="16"/>
        </w:rPr>
        <w:t>年</w:t>
      </w:r>
      <w:r>
        <w:rPr>
          <w:rFonts w:ascii="Times New Roman" w:hint="eastAsia"/>
          <w:sz w:val="24"/>
          <w:szCs w:val="16"/>
        </w:rPr>
        <w:t>4</w:t>
      </w:r>
      <w:r>
        <w:rPr>
          <w:rFonts w:ascii="Times New Roman" w:hint="eastAsia"/>
          <w:sz w:val="24"/>
          <w:szCs w:val="16"/>
        </w:rPr>
        <w:t>月开工建设，</w:t>
      </w:r>
      <w:r>
        <w:rPr>
          <w:rFonts w:ascii="Times New Roman" w:hint="eastAsia"/>
          <w:sz w:val="24"/>
          <w:szCs w:val="16"/>
        </w:rPr>
        <w:t>2015</w:t>
      </w:r>
      <w:r>
        <w:rPr>
          <w:rFonts w:ascii="Times New Roman" w:hint="eastAsia"/>
          <w:sz w:val="24"/>
          <w:szCs w:val="16"/>
        </w:rPr>
        <w:t>年</w:t>
      </w:r>
      <w:r>
        <w:rPr>
          <w:rFonts w:ascii="Times New Roman" w:hint="eastAsia"/>
          <w:sz w:val="24"/>
          <w:szCs w:val="16"/>
        </w:rPr>
        <w:t>3</w:t>
      </w:r>
      <w:r>
        <w:rPr>
          <w:rFonts w:ascii="Times New Roman" w:hint="eastAsia"/>
          <w:sz w:val="24"/>
          <w:szCs w:val="16"/>
        </w:rPr>
        <w:t>月竣工，建设总工期为</w:t>
      </w:r>
      <w:r>
        <w:rPr>
          <w:rFonts w:ascii="Times New Roman" w:hint="eastAsia"/>
          <w:sz w:val="24"/>
          <w:szCs w:val="16"/>
        </w:rPr>
        <w:t>12</w:t>
      </w:r>
      <w:r>
        <w:rPr>
          <w:rFonts w:ascii="Times New Roman" w:hint="eastAsia"/>
          <w:sz w:val="24"/>
          <w:szCs w:val="16"/>
        </w:rPr>
        <w:t>个月</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建设投资：总投资</w:t>
      </w:r>
      <w:r>
        <w:rPr>
          <w:rFonts w:ascii="Times New Roman" w:hint="eastAsia"/>
          <w:sz w:val="24"/>
          <w:szCs w:val="16"/>
        </w:rPr>
        <w:t>3150</w:t>
      </w:r>
      <w:r>
        <w:rPr>
          <w:rFonts w:ascii="Times New Roman" w:hint="eastAsia"/>
          <w:sz w:val="24"/>
          <w:szCs w:val="16"/>
        </w:rPr>
        <w:t>万元，其中土建投资</w:t>
      </w:r>
      <w:r>
        <w:rPr>
          <w:rFonts w:ascii="Times New Roman" w:hint="eastAsia"/>
          <w:sz w:val="24"/>
          <w:szCs w:val="16"/>
        </w:rPr>
        <w:t>1436</w:t>
      </w:r>
      <w:r>
        <w:rPr>
          <w:rFonts w:ascii="Times New Roman" w:hint="eastAsia"/>
          <w:sz w:val="24"/>
          <w:szCs w:val="16"/>
        </w:rPr>
        <w:t>万元。</w:t>
      </w:r>
    </w:p>
    <w:p w:rsidR="008E4D92" w:rsidRDefault="008B068A">
      <w:pPr>
        <w:pStyle w:val="2"/>
      </w:pPr>
      <w:bookmarkStart w:id="72" w:name="_Toc24995"/>
      <w:r>
        <w:t>1.1</w:t>
      </w:r>
      <w:r>
        <w:rPr>
          <w:rFonts w:hint="eastAsia"/>
        </w:rPr>
        <w:t>2</w:t>
      </w:r>
      <w:r>
        <w:t>水土流失防治的执行标准</w:t>
      </w:r>
      <w:bookmarkEnd w:id="72"/>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根据《全国水土保持规划国家级水土流失重点预防区和重点治理区复核划分成果》（办水保</w:t>
      </w:r>
      <w:r>
        <w:rPr>
          <w:rFonts w:ascii="Times New Roman"/>
          <w:sz w:val="24"/>
          <w:szCs w:val="16"/>
        </w:rPr>
        <w:t>[2013]188</w:t>
      </w:r>
      <w:r>
        <w:rPr>
          <w:rFonts w:ascii="Times New Roman"/>
          <w:sz w:val="24"/>
          <w:szCs w:val="16"/>
        </w:rPr>
        <w:t>号），本项目</w:t>
      </w:r>
      <w:r>
        <w:rPr>
          <w:rFonts w:ascii="Times New Roman" w:hint="eastAsia"/>
          <w:sz w:val="24"/>
          <w:szCs w:val="16"/>
        </w:rPr>
        <w:t>所在的仪陇县</w:t>
      </w:r>
      <w:r>
        <w:rPr>
          <w:rFonts w:ascii="Times New Roman"/>
          <w:sz w:val="24"/>
          <w:szCs w:val="16"/>
        </w:rPr>
        <w:t>属于嘉陵江及沱江中下游国家级水土流失重点治理区。按照《生产建设项目水土流失防治标准》（</w:t>
      </w:r>
      <w:r>
        <w:rPr>
          <w:rFonts w:ascii="Times New Roman"/>
          <w:sz w:val="24"/>
          <w:szCs w:val="16"/>
        </w:rPr>
        <w:t>GB</w:t>
      </w:r>
      <w:r>
        <w:rPr>
          <w:rFonts w:ascii="Times New Roman" w:hint="eastAsia"/>
          <w:sz w:val="24"/>
          <w:szCs w:val="16"/>
        </w:rPr>
        <w:t xml:space="preserve">/T </w:t>
      </w:r>
      <w:r>
        <w:rPr>
          <w:rFonts w:ascii="Times New Roman"/>
          <w:sz w:val="24"/>
          <w:szCs w:val="16"/>
        </w:rPr>
        <w:t>50434-2018</w:t>
      </w:r>
      <w:r>
        <w:rPr>
          <w:rFonts w:ascii="Times New Roman"/>
          <w:sz w:val="24"/>
          <w:szCs w:val="16"/>
        </w:rPr>
        <w:t>），确定本项目执行西南紫色土区水土流失防治一级标准。</w:t>
      </w:r>
    </w:p>
    <w:p w:rsidR="008E4D92" w:rsidRDefault="008B068A">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由于地貌类型、干旱程度、土壤侵蚀强度</w:t>
      </w:r>
      <w:r>
        <w:rPr>
          <w:rFonts w:ascii="Times New Roman" w:hint="eastAsia"/>
          <w:color w:val="0000FF"/>
          <w:sz w:val="24"/>
          <w:szCs w:val="16"/>
        </w:rPr>
        <w:t>及项目所在地区（城区和非城区）</w:t>
      </w:r>
      <w:r>
        <w:rPr>
          <w:rFonts w:ascii="Times New Roman"/>
          <w:color w:val="0000FF"/>
          <w:sz w:val="24"/>
          <w:szCs w:val="16"/>
        </w:rPr>
        <w:t>等的差异，对表</w:t>
      </w:r>
      <w:r>
        <w:rPr>
          <w:rFonts w:ascii="Times New Roman"/>
          <w:color w:val="0000FF"/>
          <w:sz w:val="24"/>
          <w:szCs w:val="16"/>
        </w:rPr>
        <w:t>5-1</w:t>
      </w:r>
      <w:r>
        <w:rPr>
          <w:rFonts w:ascii="Times New Roman"/>
          <w:color w:val="0000FF"/>
          <w:sz w:val="24"/>
          <w:szCs w:val="16"/>
        </w:rPr>
        <w:t>中的基准值需作适当修正，修正值按照《生产建设项目水土流失防治标准》（</w:t>
      </w:r>
      <w:r>
        <w:rPr>
          <w:rFonts w:ascii="Times New Roman"/>
          <w:color w:val="0000FF"/>
          <w:sz w:val="24"/>
          <w:szCs w:val="16"/>
        </w:rPr>
        <w:t>GB</w:t>
      </w:r>
      <w:r>
        <w:rPr>
          <w:rFonts w:ascii="Times New Roman" w:hint="eastAsia"/>
          <w:color w:val="0000FF"/>
          <w:sz w:val="24"/>
          <w:szCs w:val="16"/>
        </w:rPr>
        <w:t>/T</w:t>
      </w:r>
      <w:r>
        <w:rPr>
          <w:rFonts w:ascii="Times New Roman"/>
          <w:color w:val="0000FF"/>
          <w:sz w:val="24"/>
          <w:szCs w:val="16"/>
        </w:rPr>
        <w:t>50434-2018</w:t>
      </w:r>
      <w:r>
        <w:rPr>
          <w:rFonts w:ascii="Times New Roman"/>
          <w:color w:val="0000FF"/>
          <w:sz w:val="24"/>
          <w:szCs w:val="16"/>
        </w:rPr>
        <w:t>）的规定进行合理取值</w:t>
      </w:r>
      <w:r>
        <w:rPr>
          <w:rFonts w:ascii="Times New Roman" w:hint="eastAsia"/>
          <w:color w:val="0000FF"/>
          <w:sz w:val="24"/>
          <w:szCs w:val="16"/>
        </w:rPr>
        <w:t>。详见表。</w:t>
      </w:r>
    </w:p>
    <w:p w:rsidR="008E4D92" w:rsidRDefault="008B068A">
      <w:pPr>
        <w:jc w:val="center"/>
        <w:rPr>
          <w:b/>
          <w:color w:val="0000FF"/>
          <w:sz w:val="22"/>
          <w:szCs w:val="22"/>
        </w:rPr>
      </w:pPr>
      <w:r>
        <w:rPr>
          <w:b/>
          <w:color w:val="0000FF"/>
          <w:sz w:val="22"/>
          <w:szCs w:val="22"/>
        </w:rPr>
        <w:t>表</w:t>
      </w:r>
      <w:r>
        <w:rPr>
          <w:rFonts w:hint="eastAsia"/>
          <w:b/>
          <w:color w:val="0000FF"/>
          <w:sz w:val="22"/>
          <w:szCs w:val="22"/>
        </w:rPr>
        <w:t>1</w:t>
      </w:r>
      <w:r>
        <w:rPr>
          <w:b/>
          <w:color w:val="0000FF"/>
          <w:sz w:val="22"/>
          <w:szCs w:val="22"/>
        </w:rPr>
        <w:t>-</w:t>
      </w:r>
      <w:r>
        <w:rPr>
          <w:rFonts w:hint="eastAsia"/>
          <w:b/>
          <w:color w:val="0000FF"/>
          <w:sz w:val="22"/>
          <w:szCs w:val="22"/>
        </w:rPr>
        <w:t xml:space="preserve">5 </w:t>
      </w:r>
      <w:r>
        <w:rPr>
          <w:rFonts w:hint="eastAsia"/>
          <w:b/>
          <w:color w:val="0000FF"/>
          <w:sz w:val="22"/>
          <w:szCs w:val="22"/>
        </w:rPr>
        <w:t>水土流失防治目标计算表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537"/>
        <w:gridCol w:w="764"/>
        <w:gridCol w:w="917"/>
        <w:gridCol w:w="976"/>
        <w:gridCol w:w="898"/>
        <w:gridCol w:w="790"/>
        <w:gridCol w:w="813"/>
        <w:gridCol w:w="650"/>
        <w:gridCol w:w="730"/>
      </w:tblGrid>
      <w:tr w:rsidR="008E4D92">
        <w:trPr>
          <w:trHeight w:val="340"/>
          <w:tblHeader/>
          <w:jc w:val="center"/>
        </w:trPr>
        <w:tc>
          <w:tcPr>
            <w:tcW w:w="1093" w:type="pct"/>
            <w:vMerge w:val="restar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防治指标</w:t>
            </w:r>
          </w:p>
        </w:tc>
        <w:tc>
          <w:tcPr>
            <w:tcW w:w="717" w:type="pct"/>
            <w:gridSpan w:val="2"/>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规定标准值</w:t>
            </w:r>
          </w:p>
        </w:tc>
        <w:tc>
          <w:tcPr>
            <w:tcW w:w="2426" w:type="pct"/>
            <w:gridSpan w:val="5"/>
            <w:vAlign w:val="center"/>
          </w:tcPr>
          <w:p w:rsidR="008E4D92" w:rsidRDefault="008B068A">
            <w:pPr>
              <w:widowControl/>
              <w:jc w:val="center"/>
              <w:textAlignment w:val="center"/>
              <w:rPr>
                <w:color w:val="0000FF"/>
                <w:kern w:val="0"/>
                <w:sz w:val="21"/>
                <w:szCs w:val="21"/>
                <w:u w:color="000000"/>
                <w:lang w:bidi="ar"/>
              </w:rPr>
            </w:pPr>
            <w:r>
              <w:rPr>
                <w:color w:val="0000FF"/>
                <w:kern w:val="0"/>
                <w:sz w:val="21"/>
                <w:szCs w:val="21"/>
                <w:u w:color="000000"/>
                <w:lang w:bidi="ar"/>
              </w:rPr>
              <w:t>修正值</w:t>
            </w:r>
          </w:p>
        </w:tc>
        <w:tc>
          <w:tcPr>
            <w:tcW w:w="762" w:type="pct"/>
            <w:gridSpan w:val="2"/>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采用标准值</w:t>
            </w:r>
          </w:p>
        </w:tc>
      </w:tr>
      <w:tr w:rsidR="008E4D92">
        <w:trPr>
          <w:trHeight w:val="340"/>
          <w:tblHeader/>
          <w:jc w:val="center"/>
        </w:trPr>
        <w:tc>
          <w:tcPr>
            <w:tcW w:w="1093" w:type="pct"/>
            <w:vMerge/>
            <w:vAlign w:val="center"/>
          </w:tcPr>
          <w:p w:rsidR="008E4D92" w:rsidRDefault="008E4D92">
            <w:pPr>
              <w:jc w:val="center"/>
              <w:rPr>
                <w:color w:val="0000FF"/>
                <w:sz w:val="21"/>
                <w:szCs w:val="21"/>
                <w:u w:color="000000"/>
              </w:rPr>
            </w:pPr>
          </w:p>
        </w:tc>
        <w:tc>
          <w:tcPr>
            <w:tcW w:w="296"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施工期</w:t>
            </w:r>
          </w:p>
        </w:tc>
        <w:tc>
          <w:tcPr>
            <w:tcW w:w="421"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设计水平年</w:t>
            </w:r>
          </w:p>
        </w:tc>
        <w:tc>
          <w:tcPr>
            <w:tcW w:w="506"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干旱程度修正值</w:t>
            </w:r>
          </w:p>
        </w:tc>
        <w:tc>
          <w:tcPr>
            <w:tcW w:w="539"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土壤侵蚀强度修正值</w:t>
            </w:r>
          </w:p>
        </w:tc>
        <w:tc>
          <w:tcPr>
            <w:tcW w:w="496"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地形地貌修正值</w:t>
            </w:r>
          </w:p>
        </w:tc>
        <w:tc>
          <w:tcPr>
            <w:tcW w:w="436" w:type="pct"/>
            <w:vAlign w:val="center"/>
          </w:tcPr>
          <w:p w:rsidR="008E4D92" w:rsidRDefault="008B068A">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其他修正值</w:t>
            </w:r>
          </w:p>
        </w:tc>
        <w:tc>
          <w:tcPr>
            <w:tcW w:w="447" w:type="pct"/>
            <w:vAlign w:val="center"/>
          </w:tcPr>
          <w:p w:rsidR="008E4D92" w:rsidRDefault="008B068A">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约束性规定修正值</w:t>
            </w:r>
          </w:p>
        </w:tc>
        <w:tc>
          <w:tcPr>
            <w:tcW w:w="359"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施工期</w:t>
            </w:r>
          </w:p>
        </w:tc>
        <w:tc>
          <w:tcPr>
            <w:tcW w:w="402"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设计水平年</w:t>
            </w:r>
          </w:p>
        </w:tc>
      </w:tr>
      <w:tr w:rsidR="008E4D92">
        <w:trPr>
          <w:trHeight w:val="340"/>
          <w:jc w:val="center"/>
        </w:trPr>
        <w:tc>
          <w:tcPr>
            <w:tcW w:w="1093"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1</w:t>
            </w:r>
            <w:r>
              <w:rPr>
                <w:color w:val="0000FF"/>
                <w:kern w:val="0"/>
                <w:sz w:val="21"/>
                <w:szCs w:val="21"/>
                <w:u w:color="000000"/>
                <w:lang w:bidi="ar"/>
              </w:rPr>
              <w:t>、水土流失治理度（</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97</w:t>
            </w:r>
          </w:p>
        </w:tc>
        <w:tc>
          <w:tcPr>
            <w:tcW w:w="506" w:type="pct"/>
            <w:vAlign w:val="center"/>
          </w:tcPr>
          <w:p w:rsidR="008E4D92" w:rsidRDefault="008E4D92">
            <w:pPr>
              <w:jc w:val="center"/>
              <w:rPr>
                <w:color w:val="0000FF"/>
                <w:sz w:val="21"/>
                <w:szCs w:val="21"/>
                <w:u w:color="000000"/>
              </w:rPr>
            </w:pPr>
          </w:p>
        </w:tc>
        <w:tc>
          <w:tcPr>
            <w:tcW w:w="539" w:type="pct"/>
            <w:vAlign w:val="center"/>
          </w:tcPr>
          <w:p w:rsidR="008E4D92" w:rsidRDefault="008E4D92">
            <w:pPr>
              <w:jc w:val="center"/>
              <w:rPr>
                <w:color w:val="0000FF"/>
                <w:sz w:val="21"/>
                <w:szCs w:val="21"/>
                <w:u w:color="000000"/>
              </w:rPr>
            </w:pPr>
          </w:p>
        </w:tc>
        <w:tc>
          <w:tcPr>
            <w:tcW w:w="496" w:type="pct"/>
            <w:vAlign w:val="center"/>
          </w:tcPr>
          <w:p w:rsidR="008E4D92" w:rsidRDefault="008E4D92">
            <w:pPr>
              <w:jc w:val="center"/>
              <w:rPr>
                <w:color w:val="0000FF"/>
                <w:sz w:val="21"/>
                <w:szCs w:val="21"/>
                <w:u w:color="000000"/>
              </w:rPr>
            </w:pPr>
          </w:p>
        </w:tc>
        <w:tc>
          <w:tcPr>
            <w:tcW w:w="436" w:type="pct"/>
            <w:vAlign w:val="center"/>
          </w:tcPr>
          <w:p w:rsidR="008E4D92" w:rsidRDefault="008E4D92">
            <w:pPr>
              <w:widowControl/>
              <w:jc w:val="center"/>
              <w:textAlignment w:val="center"/>
              <w:rPr>
                <w:color w:val="0000FF"/>
                <w:kern w:val="0"/>
                <w:sz w:val="21"/>
                <w:szCs w:val="21"/>
                <w:u w:color="000000"/>
                <w:lang w:bidi="ar"/>
              </w:rPr>
            </w:pPr>
          </w:p>
        </w:tc>
        <w:tc>
          <w:tcPr>
            <w:tcW w:w="447" w:type="pct"/>
            <w:vAlign w:val="center"/>
          </w:tcPr>
          <w:p w:rsidR="008E4D92" w:rsidRDefault="008E4D92">
            <w:pPr>
              <w:widowControl/>
              <w:jc w:val="center"/>
              <w:textAlignment w:val="center"/>
              <w:rPr>
                <w:color w:val="0000FF"/>
                <w:kern w:val="0"/>
                <w:sz w:val="21"/>
                <w:szCs w:val="21"/>
                <w:u w:color="000000"/>
                <w:lang w:bidi="ar"/>
              </w:rPr>
            </w:pPr>
          </w:p>
        </w:tc>
        <w:tc>
          <w:tcPr>
            <w:tcW w:w="359"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97</w:t>
            </w:r>
          </w:p>
        </w:tc>
      </w:tr>
      <w:tr w:rsidR="008E4D92">
        <w:trPr>
          <w:trHeight w:val="340"/>
          <w:jc w:val="center"/>
        </w:trPr>
        <w:tc>
          <w:tcPr>
            <w:tcW w:w="1093"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2</w:t>
            </w:r>
            <w:r>
              <w:rPr>
                <w:color w:val="0000FF"/>
                <w:kern w:val="0"/>
                <w:sz w:val="21"/>
                <w:szCs w:val="21"/>
                <w:u w:color="000000"/>
                <w:lang w:bidi="ar"/>
              </w:rPr>
              <w:t>、土壤流失控制比</w:t>
            </w:r>
          </w:p>
        </w:tc>
        <w:tc>
          <w:tcPr>
            <w:tcW w:w="296"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0.85</w:t>
            </w:r>
          </w:p>
        </w:tc>
        <w:tc>
          <w:tcPr>
            <w:tcW w:w="506" w:type="pct"/>
            <w:vAlign w:val="center"/>
          </w:tcPr>
          <w:p w:rsidR="008E4D92" w:rsidRDefault="008E4D92">
            <w:pPr>
              <w:jc w:val="center"/>
              <w:rPr>
                <w:color w:val="0000FF"/>
                <w:sz w:val="21"/>
                <w:szCs w:val="21"/>
                <w:u w:color="000000"/>
              </w:rPr>
            </w:pPr>
          </w:p>
        </w:tc>
        <w:tc>
          <w:tcPr>
            <w:tcW w:w="539"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0.15</w:t>
            </w:r>
          </w:p>
        </w:tc>
        <w:tc>
          <w:tcPr>
            <w:tcW w:w="496" w:type="pct"/>
            <w:vAlign w:val="center"/>
          </w:tcPr>
          <w:p w:rsidR="008E4D92" w:rsidRDefault="008E4D92">
            <w:pPr>
              <w:jc w:val="center"/>
              <w:rPr>
                <w:color w:val="0000FF"/>
                <w:sz w:val="21"/>
                <w:szCs w:val="21"/>
                <w:u w:color="000000"/>
              </w:rPr>
            </w:pPr>
          </w:p>
        </w:tc>
        <w:tc>
          <w:tcPr>
            <w:tcW w:w="436" w:type="pct"/>
            <w:vAlign w:val="center"/>
          </w:tcPr>
          <w:p w:rsidR="008E4D92" w:rsidRDefault="008E4D92">
            <w:pPr>
              <w:widowControl/>
              <w:jc w:val="center"/>
              <w:textAlignment w:val="center"/>
              <w:rPr>
                <w:color w:val="0000FF"/>
                <w:kern w:val="0"/>
                <w:sz w:val="21"/>
                <w:szCs w:val="21"/>
                <w:u w:color="000000"/>
                <w:lang w:bidi="ar"/>
              </w:rPr>
            </w:pPr>
          </w:p>
        </w:tc>
        <w:tc>
          <w:tcPr>
            <w:tcW w:w="447" w:type="pct"/>
            <w:vAlign w:val="center"/>
          </w:tcPr>
          <w:p w:rsidR="008E4D92" w:rsidRDefault="008E4D92">
            <w:pPr>
              <w:widowControl/>
              <w:jc w:val="center"/>
              <w:textAlignment w:val="center"/>
              <w:rPr>
                <w:color w:val="0000FF"/>
                <w:kern w:val="0"/>
                <w:sz w:val="21"/>
                <w:szCs w:val="21"/>
                <w:u w:color="000000"/>
                <w:lang w:bidi="ar"/>
              </w:rPr>
            </w:pPr>
          </w:p>
        </w:tc>
        <w:tc>
          <w:tcPr>
            <w:tcW w:w="359"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1.00</w:t>
            </w:r>
          </w:p>
        </w:tc>
      </w:tr>
      <w:tr w:rsidR="008E4D92">
        <w:trPr>
          <w:trHeight w:val="340"/>
          <w:jc w:val="center"/>
        </w:trPr>
        <w:tc>
          <w:tcPr>
            <w:tcW w:w="1093"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3</w:t>
            </w:r>
            <w:r>
              <w:rPr>
                <w:color w:val="0000FF"/>
                <w:kern w:val="0"/>
                <w:sz w:val="21"/>
                <w:szCs w:val="21"/>
                <w:u w:color="000000"/>
                <w:lang w:bidi="ar"/>
              </w:rPr>
              <w:t>、渣土防护率（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90</w:t>
            </w:r>
          </w:p>
        </w:tc>
        <w:tc>
          <w:tcPr>
            <w:tcW w:w="421"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92</w:t>
            </w:r>
          </w:p>
        </w:tc>
        <w:tc>
          <w:tcPr>
            <w:tcW w:w="506" w:type="pct"/>
            <w:vAlign w:val="center"/>
          </w:tcPr>
          <w:p w:rsidR="008E4D92" w:rsidRDefault="008E4D92">
            <w:pPr>
              <w:jc w:val="center"/>
              <w:rPr>
                <w:color w:val="0000FF"/>
                <w:sz w:val="21"/>
                <w:szCs w:val="21"/>
                <w:u w:color="000000"/>
              </w:rPr>
            </w:pPr>
          </w:p>
        </w:tc>
        <w:tc>
          <w:tcPr>
            <w:tcW w:w="539" w:type="pct"/>
            <w:vAlign w:val="center"/>
          </w:tcPr>
          <w:p w:rsidR="008E4D92" w:rsidRDefault="008E4D92">
            <w:pPr>
              <w:jc w:val="center"/>
              <w:rPr>
                <w:color w:val="0000FF"/>
                <w:sz w:val="21"/>
                <w:szCs w:val="21"/>
                <w:u w:color="000000"/>
              </w:rPr>
            </w:pPr>
          </w:p>
        </w:tc>
        <w:tc>
          <w:tcPr>
            <w:tcW w:w="496" w:type="pct"/>
            <w:vAlign w:val="center"/>
          </w:tcPr>
          <w:p w:rsidR="008E4D92" w:rsidRDefault="008E4D92">
            <w:pPr>
              <w:jc w:val="center"/>
              <w:rPr>
                <w:color w:val="0000FF"/>
                <w:sz w:val="21"/>
                <w:szCs w:val="21"/>
                <w:u w:color="000000"/>
              </w:rPr>
            </w:pPr>
          </w:p>
        </w:tc>
        <w:tc>
          <w:tcPr>
            <w:tcW w:w="436" w:type="pct"/>
            <w:vAlign w:val="center"/>
          </w:tcPr>
          <w:p w:rsidR="008E4D92" w:rsidRDefault="008E4D92">
            <w:pPr>
              <w:widowControl/>
              <w:jc w:val="center"/>
              <w:textAlignment w:val="center"/>
              <w:rPr>
                <w:color w:val="0000FF"/>
                <w:sz w:val="21"/>
                <w:szCs w:val="21"/>
                <w:u w:color="000000"/>
              </w:rPr>
            </w:pPr>
          </w:p>
        </w:tc>
        <w:tc>
          <w:tcPr>
            <w:tcW w:w="447" w:type="pct"/>
            <w:vAlign w:val="center"/>
          </w:tcPr>
          <w:p w:rsidR="008E4D92" w:rsidRDefault="008E4D92">
            <w:pPr>
              <w:widowControl/>
              <w:jc w:val="center"/>
              <w:textAlignment w:val="center"/>
              <w:rPr>
                <w:color w:val="0000FF"/>
                <w:sz w:val="21"/>
                <w:szCs w:val="21"/>
                <w:u w:color="000000"/>
              </w:rPr>
            </w:pPr>
          </w:p>
        </w:tc>
        <w:tc>
          <w:tcPr>
            <w:tcW w:w="359"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90</w:t>
            </w:r>
          </w:p>
        </w:tc>
        <w:tc>
          <w:tcPr>
            <w:tcW w:w="402" w:type="pct"/>
            <w:vAlign w:val="center"/>
          </w:tcPr>
          <w:p w:rsidR="008E4D92" w:rsidRDefault="008B068A">
            <w:pPr>
              <w:widowControl/>
              <w:jc w:val="center"/>
              <w:textAlignment w:val="center"/>
              <w:rPr>
                <w:color w:val="0000FF"/>
                <w:sz w:val="21"/>
                <w:szCs w:val="21"/>
                <w:u w:color="000000"/>
              </w:rPr>
            </w:pPr>
            <w:r>
              <w:rPr>
                <w:rFonts w:hint="eastAsia"/>
                <w:color w:val="0000FF"/>
                <w:sz w:val="21"/>
                <w:szCs w:val="21"/>
                <w:u w:color="000000"/>
              </w:rPr>
              <w:t>92</w:t>
            </w:r>
          </w:p>
        </w:tc>
      </w:tr>
      <w:tr w:rsidR="008E4D92">
        <w:trPr>
          <w:trHeight w:val="340"/>
          <w:jc w:val="center"/>
        </w:trPr>
        <w:tc>
          <w:tcPr>
            <w:tcW w:w="1093"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lastRenderedPageBreak/>
              <w:t>4</w:t>
            </w:r>
            <w:r>
              <w:rPr>
                <w:color w:val="0000FF"/>
                <w:kern w:val="0"/>
                <w:sz w:val="21"/>
                <w:szCs w:val="21"/>
                <w:u w:color="000000"/>
                <w:lang w:bidi="ar"/>
              </w:rPr>
              <w:t>、表土保护率（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92</w:t>
            </w:r>
          </w:p>
        </w:tc>
        <w:tc>
          <w:tcPr>
            <w:tcW w:w="421"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92</w:t>
            </w:r>
          </w:p>
        </w:tc>
        <w:tc>
          <w:tcPr>
            <w:tcW w:w="506" w:type="pct"/>
            <w:vAlign w:val="center"/>
          </w:tcPr>
          <w:p w:rsidR="008E4D92" w:rsidRDefault="008E4D92">
            <w:pPr>
              <w:jc w:val="center"/>
              <w:rPr>
                <w:color w:val="0000FF"/>
                <w:sz w:val="21"/>
                <w:szCs w:val="21"/>
                <w:u w:color="000000"/>
              </w:rPr>
            </w:pPr>
          </w:p>
        </w:tc>
        <w:tc>
          <w:tcPr>
            <w:tcW w:w="539" w:type="pct"/>
            <w:vAlign w:val="center"/>
          </w:tcPr>
          <w:p w:rsidR="008E4D92" w:rsidRDefault="008E4D92">
            <w:pPr>
              <w:jc w:val="center"/>
              <w:rPr>
                <w:color w:val="0000FF"/>
                <w:sz w:val="21"/>
                <w:szCs w:val="21"/>
                <w:u w:color="000000"/>
              </w:rPr>
            </w:pPr>
          </w:p>
        </w:tc>
        <w:tc>
          <w:tcPr>
            <w:tcW w:w="496" w:type="pct"/>
            <w:vAlign w:val="center"/>
          </w:tcPr>
          <w:p w:rsidR="008E4D92" w:rsidRDefault="008E4D92">
            <w:pPr>
              <w:jc w:val="center"/>
              <w:rPr>
                <w:color w:val="0000FF"/>
                <w:sz w:val="21"/>
                <w:szCs w:val="21"/>
                <w:u w:color="000000"/>
              </w:rPr>
            </w:pPr>
          </w:p>
        </w:tc>
        <w:tc>
          <w:tcPr>
            <w:tcW w:w="436" w:type="pct"/>
            <w:vAlign w:val="center"/>
          </w:tcPr>
          <w:p w:rsidR="008E4D92" w:rsidRDefault="008E4D92">
            <w:pPr>
              <w:widowControl/>
              <w:jc w:val="center"/>
              <w:textAlignment w:val="center"/>
              <w:rPr>
                <w:color w:val="0000FF"/>
                <w:sz w:val="21"/>
                <w:szCs w:val="21"/>
                <w:u w:color="000000"/>
              </w:rPr>
            </w:pPr>
          </w:p>
        </w:tc>
        <w:tc>
          <w:tcPr>
            <w:tcW w:w="447" w:type="pct"/>
            <w:vAlign w:val="center"/>
          </w:tcPr>
          <w:p w:rsidR="008E4D92" w:rsidRDefault="008E4D92">
            <w:pPr>
              <w:widowControl/>
              <w:jc w:val="center"/>
              <w:textAlignment w:val="center"/>
              <w:rPr>
                <w:color w:val="0000FF"/>
                <w:sz w:val="21"/>
                <w:szCs w:val="21"/>
                <w:u w:color="000000"/>
              </w:rPr>
            </w:pPr>
          </w:p>
        </w:tc>
        <w:tc>
          <w:tcPr>
            <w:tcW w:w="359"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92</w:t>
            </w:r>
          </w:p>
        </w:tc>
        <w:tc>
          <w:tcPr>
            <w:tcW w:w="402" w:type="pct"/>
            <w:vAlign w:val="center"/>
          </w:tcPr>
          <w:p w:rsidR="008E4D92" w:rsidRDefault="008B068A">
            <w:pPr>
              <w:widowControl/>
              <w:jc w:val="center"/>
              <w:textAlignment w:val="center"/>
              <w:rPr>
                <w:color w:val="0000FF"/>
                <w:sz w:val="21"/>
                <w:szCs w:val="21"/>
                <w:u w:color="000000"/>
              </w:rPr>
            </w:pPr>
            <w:r>
              <w:rPr>
                <w:color w:val="0000FF"/>
                <w:sz w:val="21"/>
                <w:szCs w:val="21"/>
                <w:u w:color="000000"/>
              </w:rPr>
              <w:t>92</w:t>
            </w:r>
          </w:p>
        </w:tc>
      </w:tr>
      <w:tr w:rsidR="008E4D92">
        <w:trPr>
          <w:trHeight w:val="340"/>
          <w:jc w:val="center"/>
        </w:trPr>
        <w:tc>
          <w:tcPr>
            <w:tcW w:w="1093"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5</w:t>
            </w:r>
            <w:r>
              <w:rPr>
                <w:color w:val="0000FF"/>
                <w:kern w:val="0"/>
                <w:sz w:val="21"/>
                <w:szCs w:val="21"/>
                <w:u w:color="000000"/>
                <w:lang w:bidi="ar"/>
              </w:rPr>
              <w:t>、林草植被恢复率（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97</w:t>
            </w:r>
          </w:p>
        </w:tc>
        <w:tc>
          <w:tcPr>
            <w:tcW w:w="506" w:type="pct"/>
            <w:vAlign w:val="center"/>
          </w:tcPr>
          <w:p w:rsidR="008E4D92" w:rsidRDefault="008E4D92">
            <w:pPr>
              <w:jc w:val="center"/>
              <w:rPr>
                <w:color w:val="0000FF"/>
                <w:sz w:val="21"/>
                <w:szCs w:val="21"/>
                <w:u w:color="000000"/>
              </w:rPr>
            </w:pPr>
          </w:p>
        </w:tc>
        <w:tc>
          <w:tcPr>
            <w:tcW w:w="539" w:type="pct"/>
            <w:vAlign w:val="center"/>
          </w:tcPr>
          <w:p w:rsidR="008E4D92" w:rsidRDefault="008E4D92">
            <w:pPr>
              <w:jc w:val="center"/>
              <w:rPr>
                <w:color w:val="0000FF"/>
                <w:sz w:val="21"/>
                <w:szCs w:val="21"/>
                <w:u w:color="000000"/>
              </w:rPr>
            </w:pPr>
          </w:p>
        </w:tc>
        <w:tc>
          <w:tcPr>
            <w:tcW w:w="496" w:type="pct"/>
            <w:vAlign w:val="center"/>
          </w:tcPr>
          <w:p w:rsidR="008E4D92" w:rsidRDefault="008E4D92">
            <w:pPr>
              <w:jc w:val="center"/>
              <w:rPr>
                <w:color w:val="0000FF"/>
                <w:sz w:val="21"/>
                <w:szCs w:val="21"/>
                <w:u w:color="000000"/>
              </w:rPr>
            </w:pPr>
          </w:p>
        </w:tc>
        <w:tc>
          <w:tcPr>
            <w:tcW w:w="436" w:type="pct"/>
            <w:vAlign w:val="center"/>
          </w:tcPr>
          <w:p w:rsidR="008E4D92" w:rsidRDefault="008E4D92">
            <w:pPr>
              <w:widowControl/>
              <w:jc w:val="center"/>
              <w:textAlignment w:val="center"/>
              <w:rPr>
                <w:color w:val="0000FF"/>
                <w:kern w:val="0"/>
                <w:sz w:val="21"/>
                <w:szCs w:val="21"/>
                <w:u w:color="000000"/>
                <w:lang w:bidi="ar"/>
              </w:rPr>
            </w:pPr>
          </w:p>
        </w:tc>
        <w:tc>
          <w:tcPr>
            <w:tcW w:w="447" w:type="pct"/>
            <w:vAlign w:val="center"/>
          </w:tcPr>
          <w:p w:rsidR="008E4D92" w:rsidRDefault="008E4D92">
            <w:pPr>
              <w:widowControl/>
              <w:jc w:val="center"/>
              <w:textAlignment w:val="center"/>
              <w:rPr>
                <w:color w:val="0000FF"/>
                <w:kern w:val="0"/>
                <w:sz w:val="21"/>
                <w:szCs w:val="21"/>
                <w:u w:color="000000"/>
                <w:lang w:bidi="ar"/>
              </w:rPr>
            </w:pPr>
          </w:p>
        </w:tc>
        <w:tc>
          <w:tcPr>
            <w:tcW w:w="359"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8E4D92" w:rsidRDefault="008B068A">
            <w:pPr>
              <w:widowControl/>
              <w:jc w:val="center"/>
              <w:textAlignment w:val="center"/>
              <w:rPr>
                <w:color w:val="0000FF"/>
                <w:sz w:val="21"/>
                <w:szCs w:val="21"/>
                <w:u w:color="000000"/>
              </w:rPr>
            </w:pPr>
            <w:r>
              <w:rPr>
                <w:color w:val="0000FF"/>
                <w:kern w:val="0"/>
                <w:sz w:val="21"/>
                <w:szCs w:val="21"/>
                <w:u w:color="000000"/>
                <w:lang w:bidi="ar"/>
              </w:rPr>
              <w:t>97</w:t>
            </w:r>
          </w:p>
        </w:tc>
      </w:tr>
      <w:tr w:rsidR="008E4D92">
        <w:trPr>
          <w:trHeight w:val="340"/>
          <w:jc w:val="center"/>
        </w:trPr>
        <w:tc>
          <w:tcPr>
            <w:tcW w:w="1093" w:type="pct"/>
            <w:vAlign w:val="center"/>
          </w:tcPr>
          <w:p w:rsidR="008E4D92" w:rsidRDefault="008B068A">
            <w:pPr>
              <w:widowControl/>
              <w:jc w:val="center"/>
              <w:textAlignment w:val="center"/>
              <w:rPr>
                <w:color w:val="0000FF"/>
                <w:kern w:val="0"/>
                <w:sz w:val="21"/>
                <w:szCs w:val="21"/>
                <w:u w:color="000000"/>
                <w:lang w:bidi="ar"/>
              </w:rPr>
            </w:pPr>
            <w:r>
              <w:rPr>
                <w:color w:val="0000FF"/>
                <w:kern w:val="0"/>
                <w:sz w:val="21"/>
                <w:szCs w:val="21"/>
                <w:u w:color="000000"/>
                <w:lang w:bidi="ar"/>
              </w:rPr>
              <w:t>6</w:t>
            </w:r>
            <w:r>
              <w:rPr>
                <w:color w:val="0000FF"/>
                <w:kern w:val="0"/>
                <w:sz w:val="21"/>
                <w:szCs w:val="21"/>
                <w:u w:color="000000"/>
                <w:lang w:bidi="ar"/>
              </w:rPr>
              <w:t>、林草覆盖率（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8E4D92" w:rsidRDefault="008B068A">
            <w:pPr>
              <w:widowControl/>
              <w:jc w:val="center"/>
              <w:textAlignment w:val="center"/>
              <w:rPr>
                <w:color w:val="0000FF"/>
                <w:kern w:val="0"/>
                <w:sz w:val="21"/>
                <w:szCs w:val="21"/>
                <w:u w:color="000000"/>
                <w:lang w:bidi="ar"/>
              </w:rPr>
            </w:pPr>
            <w:r>
              <w:rPr>
                <w:color w:val="0000FF"/>
                <w:kern w:val="0"/>
                <w:sz w:val="21"/>
                <w:szCs w:val="21"/>
                <w:u w:color="000000"/>
                <w:lang w:bidi="ar"/>
              </w:rPr>
              <w:t>—</w:t>
            </w:r>
          </w:p>
        </w:tc>
        <w:tc>
          <w:tcPr>
            <w:tcW w:w="421" w:type="pct"/>
            <w:vAlign w:val="center"/>
          </w:tcPr>
          <w:p w:rsidR="008E4D92" w:rsidRDefault="008B068A">
            <w:pPr>
              <w:widowControl/>
              <w:jc w:val="center"/>
              <w:textAlignment w:val="center"/>
              <w:rPr>
                <w:color w:val="0000FF"/>
                <w:kern w:val="0"/>
                <w:sz w:val="21"/>
                <w:szCs w:val="21"/>
                <w:u w:color="000000"/>
                <w:lang w:bidi="ar"/>
              </w:rPr>
            </w:pPr>
            <w:r>
              <w:rPr>
                <w:color w:val="0000FF"/>
                <w:kern w:val="0"/>
                <w:sz w:val="21"/>
                <w:szCs w:val="21"/>
                <w:u w:color="000000"/>
                <w:lang w:bidi="ar"/>
              </w:rPr>
              <w:t>23</w:t>
            </w:r>
          </w:p>
        </w:tc>
        <w:tc>
          <w:tcPr>
            <w:tcW w:w="506" w:type="pct"/>
            <w:vAlign w:val="center"/>
          </w:tcPr>
          <w:p w:rsidR="008E4D92" w:rsidRDefault="008E4D92">
            <w:pPr>
              <w:widowControl/>
              <w:jc w:val="center"/>
              <w:textAlignment w:val="center"/>
              <w:rPr>
                <w:color w:val="0000FF"/>
                <w:kern w:val="0"/>
                <w:sz w:val="21"/>
                <w:szCs w:val="21"/>
                <w:u w:color="000000"/>
                <w:lang w:bidi="ar"/>
              </w:rPr>
            </w:pPr>
          </w:p>
        </w:tc>
        <w:tc>
          <w:tcPr>
            <w:tcW w:w="539" w:type="pct"/>
            <w:vAlign w:val="center"/>
          </w:tcPr>
          <w:p w:rsidR="008E4D92" w:rsidRDefault="008E4D92">
            <w:pPr>
              <w:widowControl/>
              <w:jc w:val="center"/>
              <w:textAlignment w:val="center"/>
              <w:rPr>
                <w:color w:val="0000FF"/>
                <w:kern w:val="0"/>
                <w:sz w:val="21"/>
                <w:szCs w:val="21"/>
                <w:u w:color="000000"/>
                <w:lang w:bidi="ar"/>
              </w:rPr>
            </w:pPr>
          </w:p>
        </w:tc>
        <w:tc>
          <w:tcPr>
            <w:tcW w:w="496" w:type="pct"/>
            <w:vAlign w:val="center"/>
          </w:tcPr>
          <w:p w:rsidR="008E4D92" w:rsidRDefault="008E4D92">
            <w:pPr>
              <w:widowControl/>
              <w:jc w:val="center"/>
              <w:textAlignment w:val="center"/>
              <w:rPr>
                <w:color w:val="0000FF"/>
                <w:kern w:val="0"/>
                <w:sz w:val="21"/>
                <w:szCs w:val="21"/>
                <w:u w:color="000000"/>
                <w:lang w:bidi="ar"/>
              </w:rPr>
            </w:pPr>
          </w:p>
        </w:tc>
        <w:tc>
          <w:tcPr>
            <w:tcW w:w="436" w:type="pct"/>
            <w:vAlign w:val="center"/>
          </w:tcPr>
          <w:p w:rsidR="008E4D92" w:rsidRDefault="008E4D92">
            <w:pPr>
              <w:widowControl/>
              <w:jc w:val="center"/>
              <w:textAlignment w:val="center"/>
              <w:rPr>
                <w:color w:val="0000FF"/>
                <w:kern w:val="0"/>
                <w:sz w:val="21"/>
                <w:szCs w:val="21"/>
                <w:u w:color="000000"/>
                <w:lang w:bidi="ar"/>
              </w:rPr>
            </w:pPr>
          </w:p>
        </w:tc>
        <w:tc>
          <w:tcPr>
            <w:tcW w:w="447" w:type="pct"/>
            <w:vAlign w:val="center"/>
          </w:tcPr>
          <w:p w:rsidR="008E4D92" w:rsidRDefault="008E4D92">
            <w:pPr>
              <w:widowControl/>
              <w:jc w:val="center"/>
              <w:textAlignment w:val="center"/>
              <w:rPr>
                <w:color w:val="0000FF"/>
                <w:kern w:val="0"/>
                <w:sz w:val="21"/>
                <w:szCs w:val="21"/>
                <w:u w:color="000000"/>
                <w:lang w:bidi="ar"/>
              </w:rPr>
            </w:pPr>
          </w:p>
        </w:tc>
        <w:tc>
          <w:tcPr>
            <w:tcW w:w="359" w:type="pct"/>
            <w:vAlign w:val="center"/>
          </w:tcPr>
          <w:p w:rsidR="008E4D92" w:rsidRDefault="008B068A">
            <w:pPr>
              <w:widowControl/>
              <w:jc w:val="center"/>
              <w:textAlignment w:val="center"/>
              <w:rPr>
                <w:color w:val="0000FF"/>
                <w:kern w:val="0"/>
                <w:sz w:val="21"/>
                <w:szCs w:val="21"/>
                <w:u w:color="000000"/>
                <w:lang w:bidi="ar"/>
              </w:rPr>
            </w:pPr>
            <w:r>
              <w:rPr>
                <w:color w:val="0000FF"/>
                <w:kern w:val="0"/>
                <w:sz w:val="21"/>
                <w:szCs w:val="21"/>
                <w:u w:color="000000"/>
                <w:lang w:bidi="ar"/>
              </w:rPr>
              <w:t>—</w:t>
            </w:r>
          </w:p>
        </w:tc>
        <w:tc>
          <w:tcPr>
            <w:tcW w:w="402" w:type="pct"/>
            <w:vAlign w:val="center"/>
          </w:tcPr>
          <w:p w:rsidR="008E4D92" w:rsidRDefault="008B068A">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23</w:t>
            </w:r>
          </w:p>
        </w:tc>
      </w:tr>
    </w:tbl>
    <w:p w:rsidR="008E4D92" w:rsidRDefault="008B068A">
      <w:pPr>
        <w:pStyle w:val="BZDL1"/>
        <w:spacing w:beforeLines="0" w:before="0" w:afterLines="0" w:after="0" w:line="360" w:lineRule="auto"/>
        <w:ind w:firstLine="420"/>
        <w:rPr>
          <w:rFonts w:ascii="Times New Roman"/>
          <w:sz w:val="24"/>
          <w:szCs w:val="16"/>
        </w:rPr>
      </w:pPr>
      <w:r>
        <w:rPr>
          <w:color w:val="0000FF"/>
          <w:sz w:val="21"/>
          <w:szCs w:val="21"/>
          <w:u w:color="000000"/>
        </w:rPr>
        <w:t>注：1、根据《生产建设项目水土流失防治标准》（GB/T 50434</w:t>
      </w:r>
      <w:r>
        <w:rPr>
          <w:color w:val="0000FF"/>
          <w:sz w:val="21"/>
          <w:szCs w:val="21"/>
          <w:u w:color="000000"/>
        </w:rPr>
        <w:t>—</w:t>
      </w:r>
      <w:r>
        <w:rPr>
          <w:color w:val="0000FF"/>
          <w:sz w:val="21"/>
          <w:szCs w:val="21"/>
          <w:u w:color="000000"/>
        </w:rPr>
        <w:t>2018），</w:t>
      </w:r>
      <w:r>
        <w:rPr>
          <w:color w:val="0000FF"/>
          <w:sz w:val="21"/>
          <w:szCs w:val="21"/>
          <w:u w:color="000000"/>
        </w:rPr>
        <w:t>“</w:t>
      </w:r>
      <w:r>
        <w:rPr>
          <w:color w:val="0000FF"/>
          <w:sz w:val="21"/>
          <w:szCs w:val="21"/>
          <w:u w:color="000000"/>
        </w:rPr>
        <w:t>土壤流失控制比在轻度侵蚀为主的区域不应小于1</w:t>
      </w:r>
      <w:r>
        <w:rPr>
          <w:color w:val="0000FF"/>
          <w:sz w:val="21"/>
          <w:szCs w:val="21"/>
          <w:u w:color="000000"/>
        </w:rPr>
        <w:t>”</w:t>
      </w:r>
      <w:r>
        <w:rPr>
          <w:color w:val="0000FF"/>
          <w:sz w:val="21"/>
          <w:szCs w:val="21"/>
          <w:u w:color="000000"/>
        </w:rPr>
        <w:t>，项目区原生侵蚀程度以</w:t>
      </w:r>
      <w:r>
        <w:rPr>
          <w:rFonts w:hint="eastAsia"/>
          <w:color w:val="0000FF"/>
          <w:sz w:val="21"/>
          <w:szCs w:val="21"/>
          <w:u w:color="000000"/>
        </w:rPr>
        <w:t>轻</w:t>
      </w:r>
      <w:r>
        <w:rPr>
          <w:color w:val="0000FF"/>
          <w:sz w:val="21"/>
          <w:szCs w:val="21"/>
          <w:u w:color="000000"/>
        </w:rPr>
        <w:t>度为主，故目标值提高至1.00</w:t>
      </w:r>
      <w:r>
        <w:rPr>
          <w:rFonts w:ascii="Times New Roman" w:hint="eastAsia"/>
          <w:sz w:val="24"/>
          <w:szCs w:val="16"/>
        </w:rPr>
        <w:t>。</w:t>
      </w:r>
    </w:p>
    <w:p w:rsidR="008E4D92" w:rsidRDefault="008B068A">
      <w:pPr>
        <w:pStyle w:val="2"/>
      </w:pPr>
      <w:bookmarkStart w:id="73" w:name="_Toc24082"/>
      <w:bookmarkStart w:id="74" w:name="_Toc9831"/>
      <w:bookmarkStart w:id="75" w:name="_Toc511994341"/>
      <w:bookmarkStart w:id="76" w:name="_Toc513021502"/>
      <w:bookmarkStart w:id="77" w:name="_Toc12738"/>
      <w:r>
        <w:t>1.1</w:t>
      </w:r>
      <w:r>
        <w:rPr>
          <w:rFonts w:hint="eastAsia"/>
        </w:rPr>
        <w:t>3</w:t>
      </w:r>
      <w:r>
        <w:t>方案设计水平年</w:t>
      </w:r>
      <w:bookmarkEnd w:id="73"/>
      <w:bookmarkEnd w:id="74"/>
      <w:bookmarkEnd w:id="75"/>
      <w:bookmarkEnd w:id="76"/>
      <w:bookmarkEnd w:id="77"/>
    </w:p>
    <w:p w:rsidR="008E4D92" w:rsidRDefault="008B068A">
      <w:pPr>
        <w:pStyle w:val="BZDL1"/>
        <w:spacing w:beforeLines="0" w:before="0" w:afterLines="0" w:after="0" w:line="360" w:lineRule="auto"/>
        <w:ind w:firstLine="480"/>
        <w:rPr>
          <w:rFonts w:ascii="Times New Roman"/>
          <w:color w:val="0000FF"/>
          <w:sz w:val="24"/>
          <w:szCs w:val="16"/>
        </w:rPr>
      </w:pPr>
      <w:r>
        <w:rPr>
          <w:rFonts w:ascii="Times New Roman" w:hint="eastAsia"/>
          <w:color w:val="0000FF"/>
          <w:sz w:val="24"/>
          <w:szCs w:val="16"/>
        </w:rPr>
        <w:t>本</w:t>
      </w:r>
      <w:r>
        <w:rPr>
          <w:rFonts w:ascii="Times New Roman"/>
          <w:color w:val="0000FF"/>
          <w:sz w:val="24"/>
          <w:szCs w:val="16"/>
        </w:rPr>
        <w:t>项目为建设类项目，根据《</w:t>
      </w:r>
      <w:r>
        <w:rPr>
          <w:rFonts w:ascii="Times New Roman" w:hint="eastAsia"/>
          <w:color w:val="0000FF"/>
          <w:sz w:val="24"/>
          <w:szCs w:val="16"/>
        </w:rPr>
        <w:t>生产</w:t>
      </w:r>
      <w:r>
        <w:rPr>
          <w:rFonts w:ascii="Times New Roman"/>
          <w:color w:val="0000FF"/>
          <w:sz w:val="24"/>
          <w:szCs w:val="16"/>
        </w:rPr>
        <w:t>建设项目水土保持技术</w:t>
      </w:r>
      <w:r>
        <w:rPr>
          <w:rFonts w:ascii="Times New Roman" w:hint="eastAsia"/>
          <w:color w:val="0000FF"/>
          <w:sz w:val="24"/>
          <w:szCs w:val="16"/>
        </w:rPr>
        <w:t>标准</w:t>
      </w:r>
      <w:r>
        <w:rPr>
          <w:rFonts w:ascii="Times New Roman"/>
          <w:color w:val="0000FF"/>
          <w:sz w:val="24"/>
          <w:szCs w:val="16"/>
        </w:rPr>
        <w:t>》（</w:t>
      </w:r>
      <w:r>
        <w:rPr>
          <w:rFonts w:ascii="Times New Roman"/>
          <w:color w:val="0000FF"/>
          <w:sz w:val="24"/>
          <w:szCs w:val="16"/>
        </w:rPr>
        <w:t>GB50433-20</w:t>
      </w:r>
      <w:r>
        <w:rPr>
          <w:rFonts w:ascii="Times New Roman" w:hint="eastAsia"/>
          <w:color w:val="0000FF"/>
          <w:sz w:val="24"/>
          <w:szCs w:val="16"/>
        </w:rPr>
        <w:t>1</w:t>
      </w:r>
      <w:r>
        <w:rPr>
          <w:rFonts w:ascii="Times New Roman"/>
          <w:color w:val="0000FF"/>
          <w:sz w:val="24"/>
          <w:szCs w:val="16"/>
        </w:rPr>
        <w:t>8</w:t>
      </w:r>
      <w:r>
        <w:rPr>
          <w:rFonts w:ascii="Times New Roman"/>
          <w:color w:val="0000FF"/>
          <w:sz w:val="24"/>
          <w:szCs w:val="16"/>
        </w:rPr>
        <w:t>）中</w:t>
      </w:r>
      <w:r>
        <w:rPr>
          <w:rFonts w:ascii="Times New Roman"/>
          <w:color w:val="0000FF"/>
          <w:sz w:val="24"/>
          <w:szCs w:val="16"/>
        </w:rPr>
        <w:t>“</w:t>
      </w:r>
      <w:r>
        <w:rPr>
          <w:rFonts w:ascii="Times New Roman"/>
          <w:color w:val="0000FF"/>
          <w:sz w:val="24"/>
          <w:szCs w:val="16"/>
        </w:rPr>
        <w:t>设计水平年应为主体工程完工后的当年或后一年</w:t>
      </w:r>
      <w:r>
        <w:rPr>
          <w:rFonts w:ascii="Times New Roman"/>
          <w:color w:val="0000FF"/>
          <w:sz w:val="24"/>
          <w:szCs w:val="16"/>
        </w:rPr>
        <w:t>”</w:t>
      </w:r>
      <w:r>
        <w:rPr>
          <w:rFonts w:ascii="Times New Roman"/>
          <w:color w:val="0000FF"/>
          <w:sz w:val="24"/>
          <w:szCs w:val="16"/>
        </w:rPr>
        <w:t>的规定</w:t>
      </w:r>
      <w:r>
        <w:rPr>
          <w:rFonts w:ascii="Times New Roman" w:hint="eastAsia"/>
          <w:color w:val="0000FF"/>
          <w:sz w:val="24"/>
          <w:szCs w:val="16"/>
        </w:rPr>
        <w:t>。</w:t>
      </w:r>
      <w:r>
        <w:rPr>
          <w:rFonts w:ascii="Times New Roman"/>
          <w:color w:val="0000FF"/>
          <w:sz w:val="24"/>
          <w:szCs w:val="16"/>
        </w:rPr>
        <w:t>本项目于</w:t>
      </w:r>
      <w:r>
        <w:rPr>
          <w:rFonts w:ascii="Times New Roman"/>
          <w:color w:val="0000FF"/>
          <w:sz w:val="24"/>
          <w:szCs w:val="16"/>
        </w:rPr>
        <w:t>201</w:t>
      </w:r>
      <w:r>
        <w:rPr>
          <w:rFonts w:ascii="Times New Roman" w:hint="eastAsia"/>
          <w:color w:val="0000FF"/>
          <w:sz w:val="24"/>
          <w:szCs w:val="16"/>
        </w:rPr>
        <w:t>4</w:t>
      </w:r>
      <w:r>
        <w:rPr>
          <w:rFonts w:ascii="Times New Roman"/>
          <w:color w:val="0000FF"/>
          <w:sz w:val="24"/>
          <w:szCs w:val="16"/>
        </w:rPr>
        <w:t>年</w:t>
      </w:r>
      <w:r>
        <w:rPr>
          <w:rFonts w:ascii="Times New Roman" w:hint="eastAsia"/>
          <w:color w:val="0000FF"/>
          <w:sz w:val="24"/>
          <w:szCs w:val="16"/>
        </w:rPr>
        <w:t>4</w:t>
      </w:r>
      <w:r>
        <w:rPr>
          <w:rFonts w:ascii="Times New Roman"/>
          <w:color w:val="0000FF"/>
          <w:sz w:val="24"/>
          <w:szCs w:val="16"/>
        </w:rPr>
        <w:t>月动工修建，于</w:t>
      </w:r>
      <w:r>
        <w:rPr>
          <w:rFonts w:ascii="Times New Roman"/>
          <w:color w:val="0000FF"/>
          <w:sz w:val="24"/>
          <w:szCs w:val="16"/>
        </w:rPr>
        <w:t>20</w:t>
      </w:r>
      <w:r>
        <w:rPr>
          <w:rFonts w:ascii="Times New Roman" w:hint="eastAsia"/>
          <w:color w:val="0000FF"/>
          <w:sz w:val="24"/>
          <w:szCs w:val="16"/>
        </w:rPr>
        <w:t>15</w:t>
      </w:r>
      <w:r>
        <w:rPr>
          <w:rFonts w:ascii="Times New Roman"/>
          <w:color w:val="0000FF"/>
          <w:sz w:val="24"/>
          <w:szCs w:val="16"/>
        </w:rPr>
        <w:t>年</w:t>
      </w:r>
      <w:r>
        <w:rPr>
          <w:rFonts w:ascii="Times New Roman" w:hint="eastAsia"/>
          <w:color w:val="0000FF"/>
          <w:sz w:val="24"/>
          <w:szCs w:val="16"/>
        </w:rPr>
        <w:t>5</w:t>
      </w:r>
      <w:r>
        <w:rPr>
          <w:rFonts w:ascii="Times New Roman"/>
          <w:color w:val="0000FF"/>
          <w:sz w:val="24"/>
          <w:szCs w:val="16"/>
        </w:rPr>
        <w:t>月建设完成。</w:t>
      </w:r>
      <w:r>
        <w:rPr>
          <w:rFonts w:ascii="Times New Roman"/>
          <w:color w:val="0000FF"/>
          <w:sz w:val="24"/>
          <w:szCs w:val="16"/>
        </w:rPr>
        <w:t>20</w:t>
      </w:r>
      <w:r>
        <w:rPr>
          <w:rFonts w:ascii="Times New Roman" w:hint="eastAsia"/>
          <w:color w:val="0000FF"/>
          <w:sz w:val="24"/>
          <w:szCs w:val="16"/>
        </w:rPr>
        <w:t>20</w:t>
      </w:r>
      <w:r>
        <w:rPr>
          <w:rFonts w:ascii="Times New Roman" w:hint="eastAsia"/>
          <w:color w:val="0000FF"/>
          <w:sz w:val="24"/>
          <w:szCs w:val="16"/>
        </w:rPr>
        <w:t>年</w:t>
      </w:r>
      <w:r>
        <w:rPr>
          <w:rFonts w:ascii="Times New Roman"/>
          <w:color w:val="0000FF"/>
          <w:sz w:val="24"/>
          <w:szCs w:val="16"/>
        </w:rPr>
        <w:t>受业主委托，编报本工程水土保持方案报告</w:t>
      </w:r>
      <w:r>
        <w:rPr>
          <w:rFonts w:ascii="Times New Roman" w:hint="eastAsia"/>
          <w:color w:val="0000FF"/>
          <w:sz w:val="24"/>
          <w:szCs w:val="16"/>
        </w:rPr>
        <w:t>表</w:t>
      </w:r>
      <w:r>
        <w:rPr>
          <w:rFonts w:ascii="Times New Roman"/>
          <w:color w:val="0000FF"/>
          <w:sz w:val="24"/>
          <w:szCs w:val="16"/>
        </w:rPr>
        <w:t>，本方案为补报方案。</w:t>
      </w:r>
    </w:p>
    <w:p w:rsidR="008E4D92" w:rsidRDefault="008B068A">
      <w:pPr>
        <w:pStyle w:val="BZDL1"/>
        <w:spacing w:beforeLines="0" w:before="0" w:afterLines="0" w:after="0" w:line="360" w:lineRule="auto"/>
        <w:ind w:firstLine="480"/>
        <w:rPr>
          <w:rFonts w:ascii="Times New Roman"/>
          <w:sz w:val="24"/>
          <w:szCs w:val="16"/>
        </w:rPr>
      </w:pPr>
      <w:r>
        <w:rPr>
          <w:rFonts w:ascii="Times New Roman"/>
          <w:color w:val="0000FF"/>
          <w:sz w:val="24"/>
          <w:szCs w:val="16"/>
        </w:rPr>
        <w:t>因此，确定本方案的设计水平年为</w:t>
      </w:r>
      <w:r>
        <w:rPr>
          <w:rFonts w:ascii="Times New Roman"/>
          <w:color w:val="0000FF"/>
          <w:sz w:val="24"/>
          <w:szCs w:val="16"/>
        </w:rPr>
        <w:t>20</w:t>
      </w:r>
      <w:r>
        <w:rPr>
          <w:rFonts w:ascii="Times New Roman" w:hint="eastAsia"/>
          <w:color w:val="0000FF"/>
          <w:sz w:val="24"/>
          <w:szCs w:val="16"/>
        </w:rPr>
        <w:t>21</w:t>
      </w:r>
      <w:r>
        <w:rPr>
          <w:rFonts w:ascii="Times New Roman"/>
          <w:color w:val="0000FF"/>
          <w:sz w:val="24"/>
          <w:szCs w:val="16"/>
        </w:rPr>
        <w:t>年</w:t>
      </w:r>
      <w:r>
        <w:rPr>
          <w:rFonts w:ascii="Times New Roman"/>
          <w:sz w:val="24"/>
          <w:szCs w:val="16"/>
        </w:rPr>
        <w:t>。</w:t>
      </w:r>
    </w:p>
    <w:p w:rsidR="008E4D92" w:rsidRDefault="008E4D92">
      <w:pPr>
        <w:pStyle w:val="BZDL1"/>
        <w:spacing w:beforeLines="0" w:before="0" w:afterLines="0" w:after="0" w:line="360" w:lineRule="auto"/>
        <w:ind w:firstLine="480"/>
        <w:rPr>
          <w:rFonts w:ascii="Times New Roman"/>
          <w:sz w:val="24"/>
          <w:szCs w:val="16"/>
        </w:rPr>
      </w:pPr>
    </w:p>
    <w:p w:rsidR="008E4D92" w:rsidRDefault="008B068A">
      <w:pPr>
        <w:widowControl/>
        <w:adjustRightInd/>
        <w:snapToGrid/>
        <w:jc w:val="left"/>
        <w:rPr>
          <w:b/>
          <w:sz w:val="32"/>
        </w:rPr>
      </w:pPr>
      <w:bookmarkStart w:id="78" w:name="_Toc61602702"/>
      <w:r>
        <w:br w:type="page"/>
      </w:r>
    </w:p>
    <w:p w:rsidR="008E4D92" w:rsidRDefault="008B068A">
      <w:pPr>
        <w:pStyle w:val="1"/>
        <w:jc w:val="center"/>
      </w:pPr>
      <w:bookmarkStart w:id="79" w:name="_Toc23008"/>
      <w:r>
        <w:lastRenderedPageBreak/>
        <w:t>2</w:t>
      </w:r>
      <w:r>
        <w:t>项目区概况</w:t>
      </w:r>
      <w:bookmarkEnd w:id="64"/>
      <w:bookmarkEnd w:id="78"/>
      <w:bookmarkEnd w:id="79"/>
    </w:p>
    <w:p w:rsidR="008E4D92" w:rsidRDefault="008B068A">
      <w:pPr>
        <w:pStyle w:val="2"/>
      </w:pPr>
      <w:bookmarkStart w:id="80" w:name="_Toc12740"/>
      <w:r>
        <w:t>2.1</w:t>
      </w:r>
      <w:r>
        <w:rPr>
          <w:rFonts w:hint="eastAsia"/>
        </w:rPr>
        <w:t xml:space="preserve"> </w:t>
      </w:r>
      <w:r>
        <w:t>地形地貌</w:t>
      </w:r>
      <w:bookmarkEnd w:id="80"/>
    </w:p>
    <w:p w:rsidR="008E4D92" w:rsidRDefault="008B068A">
      <w:pPr>
        <w:spacing w:line="360" w:lineRule="auto"/>
        <w:ind w:firstLineChars="200" w:firstLine="480"/>
      </w:pPr>
      <w:bookmarkStart w:id="81" w:name="_Toc374371137"/>
      <w:bookmarkStart w:id="82" w:name="_Toc385426034"/>
      <w:bookmarkStart w:id="83" w:name="_Toc363658599"/>
      <w:bookmarkStart w:id="84" w:name="_Toc368056679"/>
      <w:bookmarkStart w:id="85" w:name="_Toc362252189"/>
      <w:r>
        <w:rPr>
          <w:rFonts w:hint="eastAsia"/>
        </w:rPr>
        <w:t>仪陇县位于四川盆地东北部、南充市北东部，为大巴山南麓低山与川中红层丘陵区过渡地段，县境东邻平昌，南与营山、蓬安接壤，西依南部、阆中，北与巴中市相邻。本项目全长</w:t>
      </w:r>
      <w:r>
        <w:t>450</w:t>
      </w:r>
      <w:r>
        <w:rPr>
          <w:rFonts w:hint="eastAsia"/>
        </w:rPr>
        <w:t>米，宽</w:t>
      </w:r>
      <w:r>
        <w:rPr>
          <w:rFonts w:hint="eastAsia"/>
        </w:rPr>
        <w:t>2</w:t>
      </w:r>
      <w:r>
        <w:t>3</w:t>
      </w:r>
      <w:r>
        <w:rPr>
          <w:rFonts w:hint="eastAsia"/>
        </w:rPr>
        <w:t>米；</w:t>
      </w:r>
      <w:r>
        <w:t>场地地形</w:t>
      </w:r>
      <w:r>
        <w:rPr>
          <w:rFonts w:hint="eastAsia"/>
        </w:rPr>
        <w:t>平稳</w:t>
      </w:r>
      <w:r>
        <w:t>，</w:t>
      </w:r>
      <w:r>
        <w:rPr>
          <w:rFonts w:hint="eastAsia"/>
        </w:rPr>
        <w:t>场地标高约</w:t>
      </w:r>
      <w:r>
        <w:t>495.04</w:t>
      </w:r>
      <w:r>
        <w:rPr>
          <w:rFonts w:hint="eastAsia"/>
        </w:rPr>
        <w:t>m</w:t>
      </w:r>
      <w:r>
        <w:rPr>
          <w:rFonts w:hint="eastAsia"/>
        </w:rPr>
        <w:t>～</w:t>
      </w:r>
      <w:r>
        <w:t>508.70</w:t>
      </w:r>
      <w:r>
        <w:rPr>
          <w:rFonts w:hint="eastAsia"/>
        </w:rPr>
        <w:t>m</w:t>
      </w:r>
      <w:r>
        <w:rPr>
          <w:rFonts w:hint="eastAsia"/>
        </w:rPr>
        <w:t>，最大高差</w:t>
      </w:r>
      <w:r>
        <w:t>13.66</w:t>
      </w:r>
      <w:r>
        <w:rPr>
          <w:rFonts w:hint="eastAsia"/>
        </w:rPr>
        <w:t>m</w:t>
      </w:r>
      <w:r>
        <w:rPr>
          <w:rFonts w:hint="eastAsia"/>
        </w:rPr>
        <w:t>。</w:t>
      </w:r>
    </w:p>
    <w:p w:rsidR="008E4D92" w:rsidRDefault="008B068A">
      <w:pPr>
        <w:pStyle w:val="2"/>
      </w:pPr>
      <w:bookmarkStart w:id="86" w:name="_Toc371412986"/>
      <w:bookmarkStart w:id="87" w:name="_Toc22594"/>
      <w:bookmarkStart w:id="88" w:name="_Toc13249"/>
      <w:bookmarkStart w:id="89" w:name="_Toc11337"/>
      <w:r>
        <w:t>2.2</w:t>
      </w:r>
      <w:r>
        <w:t>自然环境概况</w:t>
      </w:r>
      <w:bookmarkEnd w:id="86"/>
      <w:bookmarkEnd w:id="87"/>
      <w:bookmarkEnd w:id="88"/>
      <w:bookmarkEnd w:id="89"/>
    </w:p>
    <w:p w:rsidR="008E4D92" w:rsidRDefault="008B068A">
      <w:pPr>
        <w:pStyle w:val="3"/>
      </w:pPr>
      <w:bookmarkStart w:id="90" w:name="_Toc371412987"/>
      <w:r>
        <w:t>2.2.1</w:t>
      </w:r>
      <w:r>
        <w:t>地形、地貌、地质概况</w:t>
      </w:r>
      <w:bookmarkEnd w:id="90"/>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一、地形</w:t>
      </w:r>
      <w:r>
        <w:rPr>
          <w:rFonts w:ascii="Times New Roman" w:hint="eastAsia"/>
          <w:sz w:val="24"/>
          <w:szCs w:val="16"/>
        </w:rPr>
        <w:t>、地貌</w:t>
      </w:r>
    </w:p>
    <w:p w:rsidR="008E4D92" w:rsidRDefault="008B068A">
      <w:pPr>
        <w:pStyle w:val="BZDL1"/>
        <w:spacing w:beforeLines="0" w:before="0" w:afterLines="0" w:after="0" w:line="360" w:lineRule="auto"/>
        <w:ind w:firstLine="480"/>
        <w:rPr>
          <w:rFonts w:ascii="Times New Roman"/>
          <w:sz w:val="24"/>
          <w:szCs w:val="16"/>
        </w:rPr>
      </w:pPr>
      <w:bookmarkStart w:id="91" w:name="_Toc371412988"/>
      <w:r>
        <w:rPr>
          <w:rFonts w:ascii="Times New Roman" w:hint="eastAsia"/>
          <w:sz w:val="24"/>
          <w:szCs w:val="16"/>
        </w:rPr>
        <w:t>境内大部为深丘，地势略为西高东低、南高北低，地面高程一般在海拔</w:t>
      </w:r>
      <w:r>
        <w:rPr>
          <w:rFonts w:ascii="Times New Roman"/>
          <w:sz w:val="24"/>
          <w:szCs w:val="16"/>
        </w:rPr>
        <w:t>450</w:t>
      </w:r>
      <w:r>
        <w:rPr>
          <w:rFonts w:ascii="Times New Roman" w:hint="eastAsia"/>
          <w:sz w:val="24"/>
          <w:szCs w:val="16"/>
        </w:rPr>
        <w:t>～</w:t>
      </w:r>
      <w:r>
        <w:rPr>
          <w:rFonts w:ascii="Times New Roman"/>
          <w:sz w:val="24"/>
          <w:szCs w:val="16"/>
        </w:rPr>
        <w:t>550</w:t>
      </w:r>
      <w:r>
        <w:rPr>
          <w:rFonts w:ascii="Times New Roman" w:hint="eastAsia"/>
          <w:sz w:val="24"/>
          <w:szCs w:val="16"/>
        </w:rPr>
        <w:t>米，最高点迎春村摩天山顶海拔</w:t>
      </w:r>
      <w:r>
        <w:rPr>
          <w:rFonts w:ascii="Times New Roman"/>
          <w:sz w:val="24"/>
          <w:szCs w:val="16"/>
        </w:rPr>
        <w:t>650</w:t>
      </w:r>
      <w:r>
        <w:rPr>
          <w:rFonts w:ascii="Times New Roman" w:hint="eastAsia"/>
          <w:sz w:val="24"/>
          <w:szCs w:val="16"/>
        </w:rPr>
        <w:t>米，最低点明灯村八角庙海拔</w:t>
      </w:r>
      <w:r>
        <w:rPr>
          <w:rFonts w:ascii="Times New Roman"/>
          <w:sz w:val="24"/>
          <w:szCs w:val="16"/>
        </w:rPr>
        <w:t>450</w:t>
      </w:r>
      <w:r>
        <w:rPr>
          <w:rFonts w:ascii="Times New Roman" w:hint="eastAsia"/>
          <w:sz w:val="24"/>
          <w:szCs w:val="16"/>
        </w:rPr>
        <w:t>米。</w:t>
      </w:r>
      <w:r>
        <w:rPr>
          <w:rFonts w:ascii="Times New Roman" w:hint="eastAsia"/>
          <w:sz w:val="24"/>
          <w:szCs w:val="16"/>
        </w:rPr>
        <w:t xml:space="preserve"> </w:t>
      </w:r>
    </w:p>
    <w:p w:rsidR="008E4D92" w:rsidRDefault="008B068A">
      <w:pPr>
        <w:pStyle w:val="3"/>
      </w:pPr>
      <w:r>
        <w:t>2.1.</w:t>
      </w:r>
      <w:r>
        <w:rPr>
          <w:rFonts w:hint="eastAsia"/>
        </w:rPr>
        <w:t>4</w:t>
      </w:r>
      <w:r>
        <w:rPr>
          <w:rFonts w:hint="eastAsia"/>
        </w:rPr>
        <w:t>气候条件</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二</w:t>
      </w:r>
      <w:r>
        <w:rPr>
          <w:rFonts w:ascii="Times New Roman"/>
          <w:sz w:val="24"/>
          <w:szCs w:val="16"/>
        </w:rPr>
        <w:t>、地质构造</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工程区地层主要为不同成因第四系松散堆积层；基岩埋藏于第四系松散堆积层之下或零星出露于地表。在拟建场地勘探深度范围内的地层主要由第四系人工填土层（</w:t>
      </w:r>
      <w:r>
        <w:rPr>
          <w:rFonts w:ascii="Times New Roman" w:hint="eastAsia"/>
          <w:sz w:val="24"/>
          <w:szCs w:val="16"/>
        </w:rPr>
        <w:t>Q4ml</w:t>
      </w:r>
      <w:r>
        <w:rPr>
          <w:rFonts w:ascii="Times New Roman" w:hint="eastAsia"/>
          <w:sz w:val="24"/>
          <w:szCs w:val="16"/>
        </w:rPr>
        <w:t>）、第四系全新统冲洪积层（</w:t>
      </w:r>
      <w:r>
        <w:rPr>
          <w:rFonts w:ascii="Times New Roman" w:hint="eastAsia"/>
          <w:sz w:val="24"/>
          <w:szCs w:val="16"/>
        </w:rPr>
        <w:t xml:space="preserve">Q4al+dl </w:t>
      </w:r>
      <w:r>
        <w:rPr>
          <w:rFonts w:ascii="Times New Roman" w:hint="eastAsia"/>
          <w:sz w:val="24"/>
          <w:szCs w:val="16"/>
        </w:rPr>
        <w:t>）、第四系全新统坡残积堆积层（</w:t>
      </w:r>
      <w:r>
        <w:rPr>
          <w:rFonts w:ascii="Times New Roman" w:hint="eastAsia"/>
          <w:sz w:val="24"/>
          <w:szCs w:val="16"/>
        </w:rPr>
        <w:t>Q4dl+el</w:t>
      </w:r>
      <w:r>
        <w:rPr>
          <w:rFonts w:ascii="Times New Roman" w:hint="eastAsia"/>
          <w:sz w:val="24"/>
          <w:szCs w:val="16"/>
        </w:rPr>
        <w:t>）、白垩系下统城墙岩群（</w:t>
      </w:r>
      <w:r>
        <w:rPr>
          <w:rFonts w:ascii="Times New Roman" w:hint="eastAsia"/>
          <w:sz w:val="24"/>
          <w:szCs w:val="16"/>
        </w:rPr>
        <w:t>K1ch</w:t>
      </w:r>
      <w:r>
        <w:rPr>
          <w:rFonts w:ascii="Times New Roman" w:hint="eastAsia"/>
          <w:sz w:val="24"/>
          <w:szCs w:val="16"/>
        </w:rPr>
        <w:t>）、侏罗系上统蓬莱镇组（</w:t>
      </w:r>
      <w:r>
        <w:rPr>
          <w:rFonts w:ascii="Times New Roman" w:hint="eastAsia"/>
          <w:sz w:val="24"/>
          <w:szCs w:val="16"/>
        </w:rPr>
        <w:t>J3P</w:t>
      </w:r>
      <w:r>
        <w:rPr>
          <w:rFonts w:ascii="Times New Roman" w:hint="eastAsia"/>
          <w:sz w:val="24"/>
          <w:szCs w:val="16"/>
        </w:rPr>
        <w:t>）组成。</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三</w:t>
      </w:r>
      <w:r>
        <w:rPr>
          <w:rFonts w:ascii="Times New Roman"/>
          <w:sz w:val="24"/>
          <w:szCs w:val="16"/>
        </w:rPr>
        <w:t>、地震烈度</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仪陇县在地质构造上位于新华夏系四川沉降带川北台坳内，巴中</w:t>
      </w:r>
      <w:r>
        <w:rPr>
          <w:rFonts w:ascii="Times New Roman" w:hint="eastAsia"/>
          <w:sz w:val="24"/>
          <w:szCs w:val="16"/>
        </w:rPr>
        <w:t>-</w:t>
      </w:r>
      <w:r>
        <w:rPr>
          <w:rFonts w:ascii="Times New Roman" w:hint="eastAsia"/>
          <w:sz w:val="24"/>
          <w:szCs w:val="16"/>
        </w:rPr>
        <w:t>龙泉山断裂带与华蓥山断裂带之间，该两条断裂带呈北东</w:t>
      </w:r>
      <w:r>
        <w:rPr>
          <w:rFonts w:ascii="Times New Roman" w:hint="eastAsia"/>
          <w:sz w:val="24"/>
          <w:szCs w:val="16"/>
        </w:rPr>
        <w:t>-</w:t>
      </w:r>
      <w:r>
        <w:rPr>
          <w:rFonts w:ascii="Times New Roman" w:hint="eastAsia"/>
          <w:sz w:val="24"/>
          <w:szCs w:val="16"/>
        </w:rPr>
        <w:t>南西走向，延伸较长。工程区内构造变动微弱，岩层产状平缓，近于水平，区内晚近期构造活动微弱，无深大断裂与褶皱构造存在，区内构造简单，构造裂隙不发育，主要受外围地震波及的影响，影响烈度较小，未见破坏性地震。</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根据《中国地震动参数区划图》</w:t>
      </w:r>
      <w:r>
        <w:rPr>
          <w:rFonts w:ascii="Times New Roman" w:hint="eastAsia"/>
          <w:sz w:val="24"/>
          <w:szCs w:val="16"/>
        </w:rPr>
        <w:t>(GB18306-2015)</w:t>
      </w:r>
      <w:r>
        <w:rPr>
          <w:rFonts w:ascii="Times New Roman" w:hint="eastAsia"/>
          <w:sz w:val="24"/>
          <w:szCs w:val="16"/>
        </w:rPr>
        <w:t>，工程区地震动峰值加速度为</w:t>
      </w:r>
      <w:r>
        <w:rPr>
          <w:rFonts w:ascii="Times New Roman" w:hint="eastAsia"/>
          <w:sz w:val="24"/>
          <w:szCs w:val="16"/>
        </w:rPr>
        <w:t>0.05g</w:t>
      </w:r>
      <w:r>
        <w:rPr>
          <w:rFonts w:ascii="Times New Roman" w:hint="eastAsia"/>
          <w:sz w:val="24"/>
          <w:szCs w:val="16"/>
        </w:rPr>
        <w:t>，地震动反应谱特征周期为</w:t>
      </w:r>
      <w:r>
        <w:rPr>
          <w:rFonts w:ascii="Times New Roman" w:hint="eastAsia"/>
          <w:sz w:val="24"/>
          <w:szCs w:val="16"/>
        </w:rPr>
        <w:t>0.35s</w:t>
      </w:r>
      <w:r>
        <w:rPr>
          <w:rFonts w:ascii="Times New Roman" w:hint="eastAsia"/>
          <w:sz w:val="24"/>
          <w:szCs w:val="16"/>
        </w:rPr>
        <w:t>，地震基本烈度为Ⅵ度，场地稳定性较好，适宜本工程的建设。</w:t>
      </w:r>
    </w:p>
    <w:p w:rsidR="008E4D92" w:rsidRDefault="008B068A">
      <w:pPr>
        <w:pStyle w:val="3"/>
      </w:pPr>
      <w:r>
        <w:t>2.2.2</w:t>
      </w:r>
      <w:r>
        <w:t>气象</w:t>
      </w:r>
      <w:bookmarkEnd w:id="91"/>
    </w:p>
    <w:p w:rsidR="008E4D92" w:rsidRDefault="008B068A">
      <w:pPr>
        <w:pStyle w:val="BZDL1"/>
        <w:spacing w:beforeLines="0" w:before="0" w:afterLines="0" w:after="0" w:line="360" w:lineRule="auto"/>
        <w:ind w:firstLine="480"/>
        <w:rPr>
          <w:rFonts w:ascii="Times New Roman"/>
          <w:sz w:val="24"/>
          <w:szCs w:val="16"/>
        </w:rPr>
      </w:pPr>
      <w:bookmarkStart w:id="92" w:name="_Toc371412989"/>
      <w:r>
        <w:rPr>
          <w:rFonts w:ascii="Times New Roman" w:hint="eastAsia"/>
          <w:sz w:val="24"/>
          <w:szCs w:val="16"/>
        </w:rPr>
        <w:t>仪陇属亚热带湿润季风气候，夏热冬温，无霜期长，阴雾天多，年平均气温</w:t>
      </w:r>
      <w:r>
        <w:rPr>
          <w:rFonts w:ascii="Times New Roman" w:hint="eastAsia"/>
          <w:sz w:val="24"/>
          <w:szCs w:val="16"/>
        </w:rPr>
        <w:t>16</w:t>
      </w:r>
      <w:r>
        <w:rPr>
          <w:rFonts w:ascii="Times New Roman" w:hint="eastAsia"/>
          <w:sz w:val="24"/>
          <w:szCs w:val="16"/>
        </w:rPr>
        <w:t>℃左右，年降水量</w:t>
      </w:r>
      <w:r>
        <w:rPr>
          <w:rFonts w:ascii="Times New Roman" w:hint="eastAsia"/>
          <w:sz w:val="24"/>
          <w:szCs w:val="16"/>
        </w:rPr>
        <w:t>1173.8mm</w:t>
      </w:r>
      <w:r>
        <w:rPr>
          <w:rFonts w:ascii="Times New Roman" w:hint="eastAsia"/>
          <w:sz w:val="24"/>
          <w:szCs w:val="16"/>
        </w:rPr>
        <w:t>，干旱日趋严重。受四川盆地地形影响，仪陇多秋雨天气，云量</w:t>
      </w:r>
      <w:r>
        <w:rPr>
          <w:rFonts w:ascii="Times New Roman" w:hint="eastAsia"/>
          <w:sz w:val="24"/>
          <w:szCs w:val="16"/>
        </w:rPr>
        <w:lastRenderedPageBreak/>
        <w:t>大、日照少，加之冬季多雾，多年平均日照时数仅</w:t>
      </w:r>
      <w:r>
        <w:rPr>
          <w:rFonts w:ascii="Times New Roman" w:hint="eastAsia"/>
          <w:sz w:val="24"/>
          <w:szCs w:val="16"/>
        </w:rPr>
        <w:t>1200</w:t>
      </w:r>
      <w:r>
        <w:rPr>
          <w:rFonts w:ascii="Times New Roman" w:hint="eastAsia"/>
          <w:sz w:val="24"/>
          <w:szCs w:val="16"/>
        </w:rPr>
        <w:t>～</w:t>
      </w:r>
      <w:r>
        <w:rPr>
          <w:rFonts w:ascii="Times New Roman" w:hint="eastAsia"/>
          <w:sz w:val="24"/>
          <w:szCs w:val="16"/>
        </w:rPr>
        <w:t>1500</w:t>
      </w:r>
      <w:r>
        <w:rPr>
          <w:rFonts w:ascii="Times New Roman" w:hint="eastAsia"/>
          <w:sz w:val="24"/>
          <w:szCs w:val="16"/>
        </w:rPr>
        <w:t>小时，日照率为</w:t>
      </w:r>
      <w:r>
        <w:rPr>
          <w:rFonts w:ascii="Times New Roman" w:hint="eastAsia"/>
          <w:sz w:val="24"/>
          <w:szCs w:val="16"/>
        </w:rPr>
        <w:t>27%</w:t>
      </w:r>
      <w:r>
        <w:rPr>
          <w:rFonts w:ascii="Times New Roman" w:hint="eastAsia"/>
          <w:sz w:val="24"/>
          <w:szCs w:val="16"/>
        </w:rPr>
        <w:t>～</w:t>
      </w:r>
      <w:r>
        <w:rPr>
          <w:rFonts w:ascii="Times New Roman" w:hint="eastAsia"/>
          <w:sz w:val="24"/>
          <w:szCs w:val="16"/>
        </w:rPr>
        <w:t>35%</w:t>
      </w:r>
      <w:r>
        <w:rPr>
          <w:rFonts w:ascii="Times New Roman" w:hint="eastAsia"/>
          <w:sz w:val="24"/>
          <w:szCs w:val="16"/>
        </w:rPr>
        <w:t>，是全省日照较少的地区。降雨时空分布不均，降雨量集中在五至九月。全年有霜期甚短，一般在</w:t>
      </w:r>
      <w:r>
        <w:rPr>
          <w:rFonts w:ascii="Times New Roman" w:hint="eastAsia"/>
          <w:sz w:val="24"/>
          <w:szCs w:val="16"/>
        </w:rPr>
        <w:t>60</w:t>
      </w:r>
      <w:r>
        <w:rPr>
          <w:rFonts w:ascii="Times New Roman" w:hint="eastAsia"/>
          <w:sz w:val="24"/>
          <w:szCs w:val="16"/>
        </w:rPr>
        <w:t>天左右。春季花明，夏日风清，秋熟香溢，冬至温润，空气湿度大，阴天多。</w:t>
      </w:r>
    </w:p>
    <w:p w:rsidR="008E4D92" w:rsidRDefault="008B068A">
      <w:pPr>
        <w:pStyle w:val="3"/>
      </w:pPr>
      <w:r>
        <w:t>2.2.3</w:t>
      </w:r>
      <w:r>
        <w:t>水文</w:t>
      </w:r>
      <w:bookmarkEnd w:id="92"/>
    </w:p>
    <w:p w:rsidR="008E4D92" w:rsidRDefault="008B068A">
      <w:pPr>
        <w:pStyle w:val="BZDL1"/>
        <w:spacing w:beforeLines="0" w:before="0" w:afterLines="0" w:after="0" w:line="360" w:lineRule="auto"/>
        <w:ind w:firstLine="480"/>
        <w:rPr>
          <w:rFonts w:ascii="Times New Roman"/>
          <w:sz w:val="24"/>
          <w:szCs w:val="16"/>
        </w:rPr>
      </w:pPr>
      <w:bookmarkStart w:id="93" w:name="_Toc371412990"/>
      <w:r>
        <w:rPr>
          <w:rFonts w:ascii="Times New Roman"/>
          <w:sz w:val="24"/>
          <w:szCs w:val="16"/>
        </w:rPr>
        <w:t>仪陇县的水系简单，四条河流（</w:t>
      </w:r>
      <w:r>
        <w:rPr>
          <w:rFonts w:ascii="Times New Roman" w:hint="eastAsia"/>
          <w:sz w:val="24"/>
          <w:szCs w:val="16"/>
        </w:rPr>
        <w:t>流江</w:t>
      </w:r>
      <w:r>
        <w:rPr>
          <w:rFonts w:ascii="Times New Roman"/>
          <w:sz w:val="24"/>
          <w:szCs w:val="16"/>
        </w:rPr>
        <w:t>河、</w:t>
      </w:r>
      <w:r>
        <w:rPr>
          <w:rFonts w:ascii="Times New Roman" w:hint="eastAsia"/>
          <w:sz w:val="24"/>
          <w:szCs w:val="16"/>
        </w:rPr>
        <w:t>绿水</w:t>
      </w:r>
      <w:r>
        <w:rPr>
          <w:rFonts w:ascii="Times New Roman"/>
          <w:sz w:val="24"/>
          <w:szCs w:val="16"/>
        </w:rPr>
        <w:t>河、</w:t>
      </w:r>
      <w:r>
        <w:rPr>
          <w:rFonts w:ascii="Times New Roman" w:hint="eastAsia"/>
          <w:sz w:val="24"/>
          <w:szCs w:val="16"/>
        </w:rPr>
        <w:t>思凤溪</w:t>
      </w:r>
      <w:r>
        <w:rPr>
          <w:rFonts w:ascii="Times New Roman"/>
          <w:sz w:val="24"/>
          <w:szCs w:val="16"/>
        </w:rPr>
        <w:t>、</w:t>
      </w:r>
      <w:r>
        <w:rPr>
          <w:rFonts w:ascii="Times New Roman" w:hint="eastAsia"/>
          <w:sz w:val="24"/>
          <w:szCs w:val="16"/>
        </w:rPr>
        <w:t>环山</w:t>
      </w:r>
      <w:r>
        <w:rPr>
          <w:rFonts w:ascii="Times New Roman"/>
          <w:sz w:val="24"/>
          <w:szCs w:val="16"/>
        </w:rPr>
        <w:t>河）纵贯全境，以渠江水系为主，其面积占幅员面积的</w:t>
      </w:r>
      <w:r>
        <w:rPr>
          <w:rFonts w:ascii="Times New Roman"/>
          <w:sz w:val="24"/>
          <w:szCs w:val="16"/>
        </w:rPr>
        <w:t xml:space="preserve"> 90%</w:t>
      </w:r>
      <w:r>
        <w:rPr>
          <w:rFonts w:ascii="Times New Roman"/>
          <w:sz w:val="24"/>
          <w:szCs w:val="16"/>
        </w:rPr>
        <w:t>。渠江水系的河流有</w:t>
      </w:r>
      <w:r>
        <w:rPr>
          <w:rFonts w:ascii="Times New Roman" w:hint="eastAsia"/>
          <w:sz w:val="24"/>
          <w:szCs w:val="16"/>
        </w:rPr>
        <w:t>流江</w:t>
      </w:r>
      <w:r>
        <w:rPr>
          <w:rFonts w:ascii="Times New Roman"/>
          <w:sz w:val="24"/>
          <w:szCs w:val="16"/>
        </w:rPr>
        <w:t>河、</w:t>
      </w:r>
      <w:r>
        <w:rPr>
          <w:rFonts w:ascii="Times New Roman" w:hint="eastAsia"/>
          <w:sz w:val="24"/>
          <w:szCs w:val="16"/>
        </w:rPr>
        <w:t>绿水</w:t>
      </w:r>
      <w:r>
        <w:rPr>
          <w:rFonts w:ascii="Times New Roman"/>
          <w:sz w:val="24"/>
          <w:szCs w:val="16"/>
        </w:rPr>
        <w:t>河、</w:t>
      </w:r>
      <w:r>
        <w:rPr>
          <w:rFonts w:ascii="Times New Roman" w:hint="eastAsia"/>
          <w:sz w:val="24"/>
          <w:szCs w:val="16"/>
        </w:rPr>
        <w:t>思凤溪</w:t>
      </w:r>
      <w:r>
        <w:rPr>
          <w:rFonts w:ascii="Times New Roman"/>
          <w:sz w:val="24"/>
          <w:szCs w:val="16"/>
        </w:rPr>
        <w:t>，其中</w:t>
      </w:r>
      <w:r>
        <w:rPr>
          <w:rFonts w:ascii="Times New Roman" w:hint="eastAsia"/>
          <w:sz w:val="24"/>
          <w:szCs w:val="16"/>
        </w:rPr>
        <w:t>流江河</w:t>
      </w:r>
      <w:r>
        <w:rPr>
          <w:rFonts w:ascii="Times New Roman"/>
          <w:sz w:val="24"/>
          <w:szCs w:val="16"/>
        </w:rPr>
        <w:t>发源于仪陇与巴中县交界的檬垭，在仪陇县境又称绿水河，河源段又称中坝河。</w:t>
      </w:r>
      <w:r>
        <w:rPr>
          <w:rFonts w:ascii="Times New Roman" w:hint="eastAsia"/>
          <w:sz w:val="24"/>
          <w:szCs w:val="16"/>
        </w:rPr>
        <w:t>流江河</w:t>
      </w:r>
      <w:r>
        <w:rPr>
          <w:rFonts w:ascii="Times New Roman"/>
          <w:sz w:val="24"/>
          <w:szCs w:val="16"/>
        </w:rPr>
        <w:t>东南流经日兴、绿水、新店、骆市、小桥等地，于黄渡与</w:t>
      </w:r>
      <w:r>
        <w:rPr>
          <w:rFonts w:ascii="Times New Roman" w:hint="eastAsia"/>
          <w:sz w:val="24"/>
          <w:szCs w:val="16"/>
        </w:rPr>
        <w:t>思凤溪</w:t>
      </w:r>
      <w:r>
        <w:rPr>
          <w:rFonts w:ascii="Times New Roman"/>
          <w:sz w:val="24"/>
          <w:szCs w:val="16"/>
        </w:rPr>
        <w:t>汇合，流域面积</w:t>
      </w:r>
      <w:r>
        <w:rPr>
          <w:rFonts w:ascii="Times New Roman"/>
          <w:sz w:val="24"/>
          <w:szCs w:val="16"/>
        </w:rPr>
        <w:t xml:space="preserve"> 597 </w:t>
      </w:r>
      <w:r>
        <w:rPr>
          <w:rFonts w:ascii="Times New Roman"/>
          <w:sz w:val="24"/>
          <w:szCs w:val="16"/>
        </w:rPr>
        <w:t>平方公里，境内面积</w:t>
      </w:r>
      <w:r>
        <w:rPr>
          <w:rFonts w:ascii="Times New Roman"/>
          <w:sz w:val="24"/>
          <w:szCs w:val="16"/>
        </w:rPr>
        <w:t xml:space="preserve"> 543.9 </w:t>
      </w:r>
      <w:r>
        <w:rPr>
          <w:rFonts w:ascii="Times New Roman"/>
          <w:sz w:val="24"/>
          <w:szCs w:val="16"/>
        </w:rPr>
        <w:t>平方公里；</w:t>
      </w:r>
      <w:r>
        <w:rPr>
          <w:rFonts w:ascii="Times New Roman" w:hint="eastAsia"/>
          <w:sz w:val="24"/>
          <w:szCs w:val="16"/>
        </w:rPr>
        <w:t>绿水河</w:t>
      </w:r>
      <w:r>
        <w:rPr>
          <w:rFonts w:ascii="Times New Roman"/>
          <w:sz w:val="24"/>
          <w:szCs w:val="16"/>
        </w:rPr>
        <w:t>流域面积</w:t>
      </w:r>
      <w:r>
        <w:rPr>
          <w:rFonts w:ascii="Times New Roman"/>
          <w:sz w:val="24"/>
          <w:szCs w:val="16"/>
        </w:rPr>
        <w:t xml:space="preserve">335.6 </w:t>
      </w:r>
      <w:r>
        <w:rPr>
          <w:rFonts w:ascii="Times New Roman"/>
          <w:sz w:val="24"/>
          <w:szCs w:val="16"/>
        </w:rPr>
        <w:t>平方公里；</w:t>
      </w:r>
      <w:r>
        <w:rPr>
          <w:rFonts w:ascii="Times New Roman" w:hint="eastAsia"/>
          <w:sz w:val="24"/>
          <w:szCs w:val="16"/>
        </w:rPr>
        <w:t>思凤溪</w:t>
      </w:r>
      <w:r>
        <w:rPr>
          <w:rFonts w:ascii="Times New Roman"/>
          <w:sz w:val="24"/>
          <w:szCs w:val="16"/>
        </w:rPr>
        <w:t>发源于巴中县群乐乡大沙坪，在仪陇县境内又称梯子河，自北向南流，入仪陇县境后，至义路乡折向南流。穿思德水库，曲折南流。至行锋村，左纳玉桥河，至龙桥乡，左纳龙桥河，至三河乡右纳骑龙河、灯塔河，过板桥乡出仪陇入营山县境。过三元、消水、二龙，于黄渡与西来的</w:t>
      </w:r>
      <w:r>
        <w:rPr>
          <w:rFonts w:ascii="Times New Roman" w:hint="eastAsia"/>
          <w:sz w:val="24"/>
          <w:szCs w:val="16"/>
        </w:rPr>
        <w:t>流江河</w:t>
      </w:r>
      <w:r>
        <w:rPr>
          <w:rFonts w:ascii="Times New Roman"/>
          <w:sz w:val="24"/>
          <w:szCs w:val="16"/>
        </w:rPr>
        <w:t>汇合，流域面积</w:t>
      </w:r>
      <w:r>
        <w:rPr>
          <w:rFonts w:ascii="Times New Roman"/>
          <w:sz w:val="24"/>
          <w:szCs w:val="16"/>
        </w:rPr>
        <w:t xml:space="preserve">511.8 </w:t>
      </w:r>
      <w:r>
        <w:rPr>
          <w:rFonts w:ascii="Times New Roman"/>
          <w:sz w:val="24"/>
          <w:szCs w:val="16"/>
        </w:rPr>
        <w:t>平方公里，境内面积</w:t>
      </w:r>
      <w:r>
        <w:rPr>
          <w:rFonts w:ascii="Times New Roman"/>
          <w:sz w:val="24"/>
          <w:szCs w:val="16"/>
        </w:rPr>
        <w:t xml:space="preserve"> 457.1 </w:t>
      </w:r>
      <w:r>
        <w:rPr>
          <w:rFonts w:ascii="Times New Roman"/>
          <w:sz w:val="24"/>
          <w:szCs w:val="16"/>
        </w:rPr>
        <w:t>平方公里。嘉陵江水系的河流只有</w:t>
      </w:r>
      <w:r>
        <w:rPr>
          <w:rFonts w:ascii="Times New Roman" w:hint="eastAsia"/>
          <w:sz w:val="24"/>
          <w:szCs w:val="16"/>
        </w:rPr>
        <w:t>环山河</w:t>
      </w:r>
      <w:r>
        <w:rPr>
          <w:rFonts w:ascii="Times New Roman"/>
          <w:sz w:val="24"/>
          <w:szCs w:val="16"/>
        </w:rPr>
        <w:t>，该河贯穿于新政镇，其流域面积</w:t>
      </w:r>
      <w:r>
        <w:rPr>
          <w:rFonts w:ascii="Times New Roman"/>
          <w:sz w:val="24"/>
          <w:szCs w:val="16"/>
        </w:rPr>
        <w:t xml:space="preserve"> 246.6 </w:t>
      </w:r>
      <w:r>
        <w:rPr>
          <w:rFonts w:ascii="Times New Roman"/>
          <w:sz w:val="24"/>
          <w:szCs w:val="16"/>
        </w:rPr>
        <w:t>平方公里。</w:t>
      </w:r>
    </w:p>
    <w:p w:rsidR="008E4D92" w:rsidRDefault="008B068A">
      <w:pPr>
        <w:pStyle w:val="3"/>
      </w:pPr>
      <w:r>
        <w:t>2.2.4</w:t>
      </w:r>
      <w:r>
        <w:t>植被</w:t>
      </w:r>
      <w:bookmarkEnd w:id="93"/>
    </w:p>
    <w:p w:rsidR="008E4D92" w:rsidRDefault="008B068A">
      <w:pPr>
        <w:pStyle w:val="BZDL1"/>
        <w:spacing w:beforeLines="0" w:before="0" w:afterLines="0" w:after="0" w:line="360" w:lineRule="auto"/>
        <w:ind w:firstLine="480"/>
        <w:rPr>
          <w:rFonts w:ascii="Times New Roman"/>
          <w:sz w:val="24"/>
          <w:szCs w:val="16"/>
        </w:rPr>
      </w:pPr>
      <w:bookmarkStart w:id="94" w:name="_Toc371412991"/>
      <w:r>
        <w:rPr>
          <w:rFonts w:ascii="Times New Roman" w:hint="eastAsia"/>
          <w:sz w:val="24"/>
          <w:szCs w:val="16"/>
        </w:rPr>
        <w:t>仪陇县植被类型属于亚热带常绿阔叶林，</w:t>
      </w:r>
      <w:r>
        <w:rPr>
          <w:rFonts w:ascii="Times New Roman" w:hint="eastAsia"/>
          <w:sz w:val="24"/>
          <w:szCs w:val="16"/>
        </w:rPr>
        <w:t xml:space="preserve">50 </w:t>
      </w:r>
      <w:r>
        <w:rPr>
          <w:rFonts w:ascii="Times New Roman" w:hint="eastAsia"/>
          <w:sz w:val="24"/>
          <w:szCs w:val="16"/>
        </w:rPr>
        <w:t>年代初仪陇县人口稀少，山川秀美，林草覆盖率为</w:t>
      </w:r>
      <w:r>
        <w:rPr>
          <w:rFonts w:ascii="Times New Roman" w:hint="eastAsia"/>
          <w:sz w:val="24"/>
          <w:szCs w:val="16"/>
        </w:rPr>
        <w:t xml:space="preserve"> 30.3%</w:t>
      </w:r>
      <w:r>
        <w:rPr>
          <w:rFonts w:ascii="Times New Roman" w:hint="eastAsia"/>
          <w:sz w:val="24"/>
          <w:szCs w:val="16"/>
        </w:rPr>
        <w:t>，三河、板桥、立山、茶房乡等地森林茂密，覆盖率达</w:t>
      </w:r>
      <w:r>
        <w:rPr>
          <w:rFonts w:ascii="Times New Roman" w:hint="eastAsia"/>
          <w:sz w:val="24"/>
          <w:szCs w:val="16"/>
        </w:rPr>
        <w:t xml:space="preserve"> 40%</w:t>
      </w:r>
      <w:r>
        <w:rPr>
          <w:rFonts w:ascii="Times New Roman" w:hint="eastAsia"/>
          <w:sz w:val="24"/>
          <w:szCs w:val="16"/>
        </w:rPr>
        <w:t>。</w:t>
      </w:r>
      <w:r>
        <w:rPr>
          <w:rFonts w:ascii="Times New Roman" w:hint="eastAsia"/>
          <w:sz w:val="24"/>
          <w:szCs w:val="16"/>
        </w:rPr>
        <w:t xml:space="preserve"> </w:t>
      </w:r>
      <w:r>
        <w:rPr>
          <w:rFonts w:ascii="Times New Roman" w:hint="eastAsia"/>
          <w:sz w:val="24"/>
          <w:szCs w:val="16"/>
        </w:rPr>
        <w:t>目前，仪陇县的林草覆盖率为</w:t>
      </w:r>
      <w:r>
        <w:rPr>
          <w:rFonts w:ascii="Times New Roman" w:hint="eastAsia"/>
          <w:sz w:val="24"/>
          <w:szCs w:val="16"/>
        </w:rPr>
        <w:t xml:space="preserve"> 35%</w:t>
      </w:r>
      <w:r>
        <w:rPr>
          <w:rFonts w:ascii="Times New Roman" w:hint="eastAsia"/>
          <w:sz w:val="24"/>
          <w:szCs w:val="16"/>
        </w:rPr>
        <w:t>左右，主要用材林树种有松、柏、桤、桉、槐、柳树等，灌木树种主要有黄荆、马桑等，东部立山区一带的植被较好。</w:t>
      </w:r>
    </w:p>
    <w:p w:rsidR="008E4D92" w:rsidRDefault="008B068A">
      <w:pPr>
        <w:pStyle w:val="3"/>
      </w:pPr>
      <w:r>
        <w:t>2.2.5</w:t>
      </w:r>
      <w:r>
        <w:t>土壤</w:t>
      </w:r>
      <w:bookmarkEnd w:id="94"/>
    </w:p>
    <w:p w:rsidR="008E4D92" w:rsidRDefault="008B068A">
      <w:pPr>
        <w:pStyle w:val="BZDL1"/>
        <w:spacing w:beforeLines="0" w:before="0" w:afterLines="0" w:after="0" w:line="360" w:lineRule="auto"/>
        <w:ind w:firstLine="480"/>
        <w:rPr>
          <w:rFonts w:ascii="Times New Roman"/>
          <w:sz w:val="24"/>
          <w:szCs w:val="16"/>
        </w:rPr>
      </w:pPr>
      <w:bookmarkStart w:id="95" w:name="_Toc12564"/>
      <w:bookmarkStart w:id="96" w:name="_Toc7818"/>
      <w:bookmarkStart w:id="97" w:name="_Toc371412992"/>
      <w:r>
        <w:rPr>
          <w:rFonts w:ascii="Times New Roman" w:hint="eastAsia"/>
          <w:sz w:val="24"/>
          <w:szCs w:val="16"/>
        </w:rPr>
        <w:t>仪陇县境内土壤深受成土母岩影响。在特定的气候环境下，形成了以紫色土（石灰紫色土）、水稻土为主的土壤系列，紫色土约占全县耕地面积</w:t>
      </w:r>
      <w:r>
        <w:rPr>
          <w:rFonts w:ascii="Times New Roman" w:hint="eastAsia"/>
          <w:sz w:val="24"/>
          <w:szCs w:val="16"/>
        </w:rPr>
        <w:t>50%</w:t>
      </w:r>
      <w:r>
        <w:rPr>
          <w:rFonts w:ascii="Times New Roman" w:hint="eastAsia"/>
          <w:sz w:val="24"/>
          <w:szCs w:val="16"/>
        </w:rPr>
        <w:t>；水稻土约占全县耕地面积</w:t>
      </w:r>
      <w:r>
        <w:rPr>
          <w:rFonts w:ascii="Times New Roman" w:hint="eastAsia"/>
          <w:sz w:val="24"/>
          <w:szCs w:val="16"/>
        </w:rPr>
        <w:t>49.24%</w:t>
      </w:r>
      <w:r>
        <w:rPr>
          <w:rFonts w:ascii="Times New Roman" w:hint="eastAsia"/>
          <w:sz w:val="24"/>
          <w:szCs w:val="16"/>
        </w:rPr>
        <w:t>；潮土约占全县耕地面积</w:t>
      </w:r>
      <w:r>
        <w:rPr>
          <w:rFonts w:ascii="Times New Roman" w:hint="eastAsia"/>
          <w:sz w:val="24"/>
          <w:szCs w:val="16"/>
        </w:rPr>
        <w:t>0.2%</w:t>
      </w:r>
      <w:r>
        <w:rPr>
          <w:rFonts w:ascii="Times New Roman" w:hint="eastAsia"/>
          <w:sz w:val="24"/>
          <w:szCs w:val="16"/>
        </w:rPr>
        <w:t>；黄壤土约占全县耕地面积的</w:t>
      </w:r>
      <w:r>
        <w:rPr>
          <w:rFonts w:ascii="Times New Roman" w:hint="eastAsia"/>
          <w:sz w:val="24"/>
          <w:szCs w:val="16"/>
        </w:rPr>
        <w:t>0.56%</w:t>
      </w:r>
      <w:r>
        <w:rPr>
          <w:rFonts w:ascii="Times New Roman" w:hint="eastAsia"/>
          <w:sz w:val="24"/>
          <w:szCs w:val="16"/>
        </w:rPr>
        <w:t>。紫色土壤结构良好、疏松透气好、微生物多、宜种性广。</w:t>
      </w:r>
    </w:p>
    <w:p w:rsidR="008E4D92" w:rsidRDefault="008B068A">
      <w:pPr>
        <w:pStyle w:val="2"/>
      </w:pPr>
      <w:bookmarkStart w:id="98" w:name="_Toc7515"/>
      <w:r>
        <w:t>2.3</w:t>
      </w:r>
      <w:r>
        <w:t>社会经济概况</w:t>
      </w:r>
      <w:bookmarkEnd w:id="95"/>
      <w:bookmarkEnd w:id="96"/>
      <w:bookmarkEnd w:id="97"/>
      <w:bookmarkEnd w:id="98"/>
    </w:p>
    <w:p w:rsidR="008E4D92" w:rsidRDefault="008B068A">
      <w:pPr>
        <w:pStyle w:val="BZDL1"/>
        <w:spacing w:beforeLines="0" w:before="0" w:afterLines="0" w:after="0" w:line="360" w:lineRule="auto"/>
        <w:ind w:firstLine="480"/>
        <w:rPr>
          <w:rFonts w:ascii="Times New Roman"/>
          <w:sz w:val="24"/>
          <w:szCs w:val="16"/>
        </w:rPr>
      </w:pPr>
      <w:bookmarkStart w:id="99" w:name="_Toc371412995"/>
      <w:r>
        <w:rPr>
          <w:rFonts w:ascii="Times New Roman" w:hint="eastAsia"/>
          <w:sz w:val="24"/>
          <w:szCs w:val="16"/>
        </w:rPr>
        <w:t>仪陇县位于东经</w:t>
      </w:r>
      <w:r>
        <w:rPr>
          <w:rFonts w:ascii="Times New Roman"/>
          <w:sz w:val="24"/>
          <w:szCs w:val="16"/>
        </w:rPr>
        <w:t>106°13'</w:t>
      </w:r>
      <w:r>
        <w:rPr>
          <w:rFonts w:ascii="Times New Roman"/>
          <w:sz w:val="24"/>
          <w:szCs w:val="16"/>
        </w:rPr>
        <w:t>～</w:t>
      </w:r>
      <w:r>
        <w:rPr>
          <w:rFonts w:ascii="Times New Roman"/>
          <w:sz w:val="24"/>
          <w:szCs w:val="16"/>
        </w:rPr>
        <w:t>106°52'</w:t>
      </w:r>
      <w:r>
        <w:rPr>
          <w:rFonts w:ascii="Times New Roman"/>
          <w:sz w:val="24"/>
          <w:szCs w:val="16"/>
        </w:rPr>
        <w:t>，北纬</w:t>
      </w:r>
      <w:r>
        <w:rPr>
          <w:rFonts w:ascii="Times New Roman"/>
          <w:sz w:val="24"/>
          <w:szCs w:val="16"/>
        </w:rPr>
        <w:t>31°11'</w:t>
      </w:r>
      <w:r>
        <w:rPr>
          <w:rFonts w:ascii="Times New Roman"/>
          <w:sz w:val="24"/>
          <w:szCs w:val="16"/>
        </w:rPr>
        <w:t>～</w:t>
      </w:r>
      <w:r>
        <w:rPr>
          <w:rFonts w:ascii="Times New Roman"/>
          <w:sz w:val="24"/>
          <w:szCs w:val="16"/>
        </w:rPr>
        <w:t>31°39'</w:t>
      </w:r>
      <w:r>
        <w:rPr>
          <w:rFonts w:ascii="Times New Roman"/>
          <w:sz w:val="24"/>
          <w:szCs w:val="16"/>
        </w:rPr>
        <w:t>。地处四川省</w:t>
      </w:r>
      <w:r>
        <w:rPr>
          <w:rFonts w:ascii="Times New Roman" w:hint="eastAsia"/>
          <w:sz w:val="24"/>
          <w:szCs w:val="16"/>
        </w:rPr>
        <w:t>南充市</w:t>
      </w:r>
      <w:r>
        <w:rPr>
          <w:rFonts w:ascii="Times New Roman"/>
          <w:sz w:val="24"/>
          <w:szCs w:val="16"/>
        </w:rPr>
        <w:t>东北部，东与平昌县为邻，南与营山县、蓬安县接壤，西连南部县、阆中市，北与巴中市巴州区</w:t>
      </w:r>
      <w:r>
        <w:rPr>
          <w:rFonts w:ascii="Times New Roman"/>
          <w:sz w:val="24"/>
          <w:szCs w:val="16"/>
        </w:rPr>
        <w:lastRenderedPageBreak/>
        <w:t>毗连，南朝置县，</w:t>
      </w:r>
      <w:r>
        <w:rPr>
          <w:rFonts w:ascii="Times New Roman"/>
          <w:sz w:val="24"/>
          <w:szCs w:val="16"/>
        </w:rPr>
        <w:t>101</w:t>
      </w:r>
      <w:r>
        <w:rPr>
          <w:rFonts w:ascii="Times New Roman"/>
          <w:sz w:val="24"/>
          <w:szCs w:val="16"/>
        </w:rPr>
        <w:t>、</w:t>
      </w:r>
      <w:r>
        <w:rPr>
          <w:rFonts w:ascii="Times New Roman"/>
          <w:sz w:val="24"/>
          <w:szCs w:val="16"/>
        </w:rPr>
        <w:t>203</w:t>
      </w:r>
      <w:r>
        <w:rPr>
          <w:rFonts w:ascii="Times New Roman"/>
          <w:sz w:val="24"/>
          <w:szCs w:val="16"/>
        </w:rPr>
        <w:t>省道，</w:t>
      </w:r>
      <w:r>
        <w:rPr>
          <w:rFonts w:ascii="Times New Roman"/>
          <w:sz w:val="24"/>
          <w:szCs w:val="16"/>
        </w:rPr>
        <w:t>S2</w:t>
      </w:r>
      <w:hyperlink r:id="rId14" w:tgtFrame="https://baike.baidu.com/item/%E4%BB%AA%E9%99%87%E5%8E%BF/_blank" w:history="1">
        <w:r>
          <w:rPr>
            <w:rFonts w:ascii="Times New Roman"/>
            <w:sz w:val="24"/>
            <w:szCs w:val="16"/>
          </w:rPr>
          <w:t>成巴高速公路</w:t>
        </w:r>
      </w:hyperlink>
      <w:r>
        <w:rPr>
          <w:rFonts w:ascii="Times New Roman"/>
          <w:sz w:val="24"/>
          <w:szCs w:val="16"/>
        </w:rPr>
        <w:t>、</w:t>
      </w:r>
      <w:hyperlink r:id="rId15" w:tgtFrame="https://baike.baidu.com/item/%E4%BB%AA%E9%99%87%E5%8E%BF/_blank" w:history="1">
        <w:r>
          <w:rPr>
            <w:rFonts w:ascii="Times New Roman"/>
            <w:sz w:val="24"/>
            <w:szCs w:val="16"/>
          </w:rPr>
          <w:t>巴广渝高速公路</w:t>
        </w:r>
      </w:hyperlink>
      <w:r>
        <w:rPr>
          <w:rFonts w:ascii="Times New Roman"/>
          <w:sz w:val="24"/>
          <w:szCs w:val="16"/>
        </w:rPr>
        <w:t>和阆仪营高速公路贯穿仪陇县县境。县城距南充市区</w:t>
      </w:r>
      <w:r>
        <w:rPr>
          <w:rFonts w:ascii="Times New Roman"/>
          <w:sz w:val="24"/>
          <w:szCs w:val="16"/>
        </w:rPr>
        <w:t>69</w:t>
      </w:r>
      <w:r>
        <w:rPr>
          <w:rFonts w:ascii="Times New Roman"/>
          <w:sz w:val="24"/>
          <w:szCs w:val="16"/>
        </w:rPr>
        <w:t>公里，距省会成都市区</w:t>
      </w:r>
      <w:r>
        <w:rPr>
          <w:rFonts w:ascii="Times New Roman"/>
          <w:sz w:val="24"/>
          <w:szCs w:val="16"/>
        </w:rPr>
        <w:t>269</w:t>
      </w:r>
      <w:r>
        <w:rPr>
          <w:rFonts w:ascii="Times New Roman"/>
          <w:sz w:val="24"/>
          <w:szCs w:val="16"/>
        </w:rPr>
        <w:t>公里。</w:t>
      </w:r>
      <w:r>
        <w:rPr>
          <w:rFonts w:ascii="Times New Roman" w:hint="eastAsia"/>
          <w:sz w:val="24"/>
          <w:szCs w:val="16"/>
        </w:rPr>
        <w:t>2016</w:t>
      </w:r>
      <w:r>
        <w:rPr>
          <w:rFonts w:ascii="Times New Roman" w:hint="eastAsia"/>
          <w:sz w:val="24"/>
          <w:szCs w:val="16"/>
        </w:rPr>
        <w:t>年年末全县总人口</w:t>
      </w:r>
      <w:r>
        <w:rPr>
          <w:rFonts w:ascii="Times New Roman" w:hint="eastAsia"/>
          <w:sz w:val="24"/>
          <w:szCs w:val="16"/>
        </w:rPr>
        <w:t>1088665</w:t>
      </w:r>
      <w:r>
        <w:rPr>
          <w:rFonts w:ascii="Times New Roman" w:hint="eastAsia"/>
          <w:sz w:val="24"/>
          <w:szCs w:val="16"/>
        </w:rPr>
        <w:t>人，其中城镇常住人口</w:t>
      </w:r>
      <w:r>
        <w:rPr>
          <w:rFonts w:ascii="Times New Roman" w:hint="eastAsia"/>
          <w:sz w:val="24"/>
          <w:szCs w:val="16"/>
        </w:rPr>
        <w:t>35.92</w:t>
      </w:r>
      <w:r>
        <w:rPr>
          <w:rFonts w:ascii="Times New Roman" w:hint="eastAsia"/>
          <w:sz w:val="24"/>
          <w:szCs w:val="16"/>
        </w:rPr>
        <w:t>万人，全年出生人口</w:t>
      </w:r>
      <w:r>
        <w:rPr>
          <w:rFonts w:ascii="Times New Roman" w:hint="eastAsia"/>
          <w:sz w:val="24"/>
          <w:szCs w:val="16"/>
        </w:rPr>
        <w:t>10639</w:t>
      </w:r>
      <w:r>
        <w:rPr>
          <w:rFonts w:ascii="Times New Roman" w:hint="eastAsia"/>
          <w:sz w:val="24"/>
          <w:szCs w:val="16"/>
        </w:rPr>
        <w:t>人，出生率为</w:t>
      </w:r>
      <w:r>
        <w:rPr>
          <w:rFonts w:ascii="Times New Roman" w:hint="eastAsia"/>
          <w:sz w:val="24"/>
          <w:szCs w:val="16"/>
        </w:rPr>
        <w:t>9.67</w:t>
      </w:r>
      <w:r>
        <w:rPr>
          <w:rFonts w:ascii="Times New Roman" w:hint="eastAsia"/>
          <w:sz w:val="24"/>
          <w:szCs w:val="16"/>
        </w:rPr>
        <w:t>‰，死亡率为</w:t>
      </w:r>
      <w:r>
        <w:rPr>
          <w:rFonts w:ascii="Times New Roman" w:hint="eastAsia"/>
          <w:sz w:val="24"/>
          <w:szCs w:val="16"/>
        </w:rPr>
        <w:t>5.42</w:t>
      </w:r>
      <w:r>
        <w:rPr>
          <w:rFonts w:ascii="Times New Roman" w:hint="eastAsia"/>
          <w:sz w:val="24"/>
          <w:szCs w:val="16"/>
        </w:rPr>
        <w:t>‰；自然生长率为</w:t>
      </w:r>
      <w:r>
        <w:rPr>
          <w:rFonts w:ascii="Times New Roman" w:hint="eastAsia"/>
          <w:sz w:val="24"/>
          <w:szCs w:val="16"/>
        </w:rPr>
        <w:t>4.25</w:t>
      </w:r>
      <w:r>
        <w:rPr>
          <w:rFonts w:ascii="Times New Roman" w:hint="eastAsia"/>
          <w:sz w:val="24"/>
          <w:szCs w:val="16"/>
        </w:rPr>
        <w:t>‰。</w:t>
      </w:r>
    </w:p>
    <w:p w:rsidR="008E4D92" w:rsidRDefault="008B068A">
      <w:pPr>
        <w:pStyle w:val="2"/>
      </w:pPr>
      <w:bookmarkStart w:id="100" w:name="_Toc15010"/>
      <w:bookmarkStart w:id="101" w:name="_Toc21403"/>
      <w:bookmarkStart w:id="102" w:name="_Toc12981"/>
      <w:r>
        <w:t>2.4</w:t>
      </w:r>
      <w:r>
        <w:t>土地利用现状</w:t>
      </w:r>
      <w:bookmarkEnd w:id="99"/>
      <w:bookmarkEnd w:id="100"/>
      <w:bookmarkEnd w:id="101"/>
      <w:bookmarkEnd w:id="102"/>
    </w:p>
    <w:p w:rsidR="008E4D92" w:rsidRDefault="008B068A">
      <w:pPr>
        <w:pStyle w:val="BZDL1"/>
        <w:spacing w:beforeLines="0" w:before="0" w:afterLines="0" w:after="0" w:line="360" w:lineRule="auto"/>
        <w:ind w:firstLine="480"/>
        <w:rPr>
          <w:rFonts w:ascii="Times New Roman"/>
          <w:sz w:val="24"/>
          <w:szCs w:val="16"/>
        </w:rPr>
      </w:pPr>
      <w:bookmarkStart w:id="103" w:name="_Toc371412996"/>
      <w:bookmarkStart w:id="104" w:name="_Toc13332"/>
      <w:bookmarkStart w:id="105" w:name="_Toc28252"/>
      <w:r>
        <w:rPr>
          <w:rFonts w:ascii="Times New Roman" w:hint="eastAsia"/>
          <w:sz w:val="24"/>
          <w:szCs w:val="16"/>
        </w:rPr>
        <w:t>根据仪陇县</w:t>
      </w:r>
      <w:r>
        <w:rPr>
          <w:rFonts w:ascii="Times New Roman" w:hint="eastAsia"/>
          <w:sz w:val="24"/>
          <w:szCs w:val="16"/>
        </w:rPr>
        <w:t xml:space="preserve"> 2014 </w:t>
      </w:r>
      <w:r>
        <w:rPr>
          <w:rFonts w:ascii="Times New Roman" w:hint="eastAsia"/>
          <w:sz w:val="24"/>
          <w:szCs w:val="16"/>
        </w:rPr>
        <w:t>年土地利用变更成果资料，全县土地总面积为</w:t>
      </w:r>
      <w:r>
        <w:rPr>
          <w:rFonts w:ascii="Times New Roman" w:hint="eastAsia"/>
          <w:sz w:val="24"/>
          <w:szCs w:val="16"/>
        </w:rPr>
        <w:t>179096.64  hm2</w:t>
      </w:r>
      <w:r>
        <w:rPr>
          <w:rFonts w:ascii="Times New Roman" w:hint="eastAsia"/>
          <w:sz w:val="24"/>
          <w:szCs w:val="16"/>
        </w:rPr>
        <w:t>。其中：耕地面积</w:t>
      </w:r>
      <w:r>
        <w:rPr>
          <w:rFonts w:ascii="Times New Roman" w:hint="eastAsia"/>
          <w:sz w:val="24"/>
          <w:szCs w:val="16"/>
        </w:rPr>
        <w:t xml:space="preserve"> 68894.04 hm2</w:t>
      </w:r>
      <w:r>
        <w:rPr>
          <w:rFonts w:ascii="Times New Roman" w:hint="eastAsia"/>
          <w:sz w:val="24"/>
          <w:szCs w:val="16"/>
        </w:rPr>
        <w:t>，占土地总面积的</w:t>
      </w:r>
      <w:r>
        <w:rPr>
          <w:rFonts w:ascii="Times New Roman" w:hint="eastAsia"/>
          <w:sz w:val="24"/>
          <w:szCs w:val="16"/>
        </w:rPr>
        <w:t>38.47%</w:t>
      </w:r>
      <w:r>
        <w:rPr>
          <w:rFonts w:ascii="Times New Roman" w:hint="eastAsia"/>
          <w:sz w:val="24"/>
          <w:szCs w:val="16"/>
        </w:rPr>
        <w:t>；园地面积</w:t>
      </w:r>
      <w:r>
        <w:rPr>
          <w:rFonts w:ascii="Times New Roman" w:hint="eastAsia"/>
          <w:sz w:val="24"/>
          <w:szCs w:val="16"/>
        </w:rPr>
        <w:t>10517.24  hm2</w:t>
      </w:r>
      <w:r>
        <w:rPr>
          <w:rFonts w:ascii="Times New Roman" w:hint="eastAsia"/>
          <w:sz w:val="24"/>
          <w:szCs w:val="16"/>
        </w:rPr>
        <w:t>，占土地总面积的</w:t>
      </w:r>
      <w:r>
        <w:rPr>
          <w:rFonts w:ascii="Times New Roman" w:hint="eastAsia"/>
          <w:sz w:val="24"/>
          <w:szCs w:val="16"/>
        </w:rPr>
        <w:t>5.87%</w:t>
      </w:r>
      <w:r>
        <w:rPr>
          <w:rFonts w:ascii="Times New Roman" w:hint="eastAsia"/>
          <w:sz w:val="24"/>
          <w:szCs w:val="16"/>
        </w:rPr>
        <w:t>；林地面积</w:t>
      </w:r>
      <w:r>
        <w:rPr>
          <w:rFonts w:ascii="Times New Roman" w:hint="eastAsia"/>
          <w:sz w:val="24"/>
          <w:szCs w:val="16"/>
        </w:rPr>
        <w:t>62066.75 hm2</w:t>
      </w:r>
      <w:r>
        <w:rPr>
          <w:rFonts w:ascii="Times New Roman" w:hint="eastAsia"/>
          <w:sz w:val="24"/>
          <w:szCs w:val="16"/>
        </w:rPr>
        <w:t>，占土地总面积的</w:t>
      </w:r>
      <w:r>
        <w:rPr>
          <w:rFonts w:ascii="Times New Roman" w:hint="eastAsia"/>
          <w:sz w:val="24"/>
          <w:szCs w:val="16"/>
        </w:rPr>
        <w:t>34.66%</w:t>
      </w:r>
      <w:r>
        <w:rPr>
          <w:rFonts w:ascii="Times New Roman" w:hint="eastAsia"/>
          <w:sz w:val="24"/>
          <w:szCs w:val="16"/>
        </w:rPr>
        <w:t>；草地面积</w:t>
      </w:r>
      <w:r>
        <w:rPr>
          <w:rFonts w:ascii="Times New Roman" w:hint="eastAsia"/>
          <w:sz w:val="24"/>
          <w:szCs w:val="16"/>
        </w:rPr>
        <w:t xml:space="preserve"> 438.18hm2</w:t>
      </w:r>
      <w:r>
        <w:rPr>
          <w:rFonts w:ascii="Times New Roman" w:hint="eastAsia"/>
          <w:sz w:val="24"/>
          <w:szCs w:val="16"/>
        </w:rPr>
        <w:t>，占土地总面积的</w:t>
      </w:r>
      <w:r>
        <w:rPr>
          <w:rFonts w:ascii="Times New Roman" w:hint="eastAsia"/>
          <w:sz w:val="24"/>
          <w:szCs w:val="16"/>
        </w:rPr>
        <w:t xml:space="preserve"> 0.24%</w:t>
      </w:r>
      <w:r>
        <w:rPr>
          <w:rFonts w:ascii="Times New Roman" w:hint="eastAsia"/>
          <w:sz w:val="24"/>
          <w:szCs w:val="16"/>
        </w:rPr>
        <w:t>；城镇村及工矿用地面积</w:t>
      </w:r>
      <w:r>
        <w:rPr>
          <w:rFonts w:ascii="Times New Roman" w:hint="eastAsia"/>
          <w:sz w:val="24"/>
          <w:szCs w:val="16"/>
        </w:rPr>
        <w:t xml:space="preserve"> 14755.53hm2</w:t>
      </w:r>
      <w:r>
        <w:rPr>
          <w:rFonts w:ascii="Times New Roman" w:hint="eastAsia"/>
          <w:sz w:val="24"/>
          <w:szCs w:val="16"/>
        </w:rPr>
        <w:t>，占土地总面积的</w:t>
      </w:r>
      <w:r>
        <w:rPr>
          <w:rFonts w:ascii="Times New Roman" w:hint="eastAsia"/>
          <w:sz w:val="24"/>
          <w:szCs w:val="16"/>
        </w:rPr>
        <w:t>8.24%</w:t>
      </w:r>
      <w:r>
        <w:rPr>
          <w:rFonts w:ascii="Times New Roman" w:hint="eastAsia"/>
          <w:sz w:val="24"/>
          <w:szCs w:val="16"/>
        </w:rPr>
        <w:t>；交通用地面积</w:t>
      </w:r>
      <w:r>
        <w:rPr>
          <w:rFonts w:ascii="Times New Roman" w:hint="eastAsia"/>
          <w:sz w:val="24"/>
          <w:szCs w:val="16"/>
        </w:rPr>
        <w:t>2645.35 hm2</w:t>
      </w:r>
      <w:r>
        <w:rPr>
          <w:rFonts w:ascii="Times New Roman" w:hint="eastAsia"/>
          <w:sz w:val="24"/>
          <w:szCs w:val="16"/>
        </w:rPr>
        <w:t>，占土地面积的</w:t>
      </w:r>
      <w:r>
        <w:rPr>
          <w:rFonts w:ascii="Times New Roman" w:hint="eastAsia"/>
          <w:sz w:val="24"/>
          <w:szCs w:val="16"/>
        </w:rPr>
        <w:t>1.48%</w:t>
      </w:r>
      <w:r>
        <w:rPr>
          <w:rFonts w:ascii="Times New Roman" w:hint="eastAsia"/>
          <w:sz w:val="24"/>
          <w:szCs w:val="16"/>
        </w:rPr>
        <w:t>；水域用地面积</w:t>
      </w:r>
      <w:r>
        <w:rPr>
          <w:rFonts w:ascii="Times New Roman" w:hint="eastAsia"/>
          <w:sz w:val="24"/>
          <w:szCs w:val="16"/>
        </w:rPr>
        <w:t>4727.18 hm2</w:t>
      </w:r>
      <w:r>
        <w:rPr>
          <w:rFonts w:ascii="Times New Roman" w:hint="eastAsia"/>
          <w:sz w:val="24"/>
          <w:szCs w:val="16"/>
        </w:rPr>
        <w:t>，占土地总面积的</w:t>
      </w:r>
      <w:r>
        <w:rPr>
          <w:rFonts w:ascii="Times New Roman" w:hint="eastAsia"/>
          <w:sz w:val="24"/>
          <w:szCs w:val="16"/>
        </w:rPr>
        <w:t xml:space="preserve"> 2.64</w:t>
      </w:r>
      <w:r>
        <w:rPr>
          <w:rFonts w:ascii="Times New Roman" w:hint="eastAsia"/>
          <w:sz w:val="24"/>
          <w:szCs w:val="16"/>
        </w:rPr>
        <w:t>％。其他土地</w:t>
      </w:r>
      <w:r>
        <w:rPr>
          <w:rFonts w:ascii="Times New Roman" w:hint="eastAsia"/>
          <w:sz w:val="24"/>
          <w:szCs w:val="16"/>
        </w:rPr>
        <w:t>150.52 hm2</w:t>
      </w:r>
      <w:r>
        <w:rPr>
          <w:rFonts w:ascii="Times New Roman" w:hint="eastAsia"/>
          <w:sz w:val="24"/>
          <w:szCs w:val="16"/>
        </w:rPr>
        <w:t>，占土地总面积的</w:t>
      </w:r>
      <w:r>
        <w:rPr>
          <w:rFonts w:ascii="Times New Roman" w:hint="eastAsia"/>
          <w:sz w:val="24"/>
          <w:szCs w:val="16"/>
        </w:rPr>
        <w:t>8.40%</w:t>
      </w:r>
      <w:r>
        <w:rPr>
          <w:rFonts w:ascii="Times New Roman" w:hint="eastAsia"/>
          <w:sz w:val="24"/>
          <w:szCs w:val="16"/>
        </w:rPr>
        <w:t>。</w:t>
      </w:r>
    </w:p>
    <w:p w:rsidR="008E4D92" w:rsidRDefault="008B068A">
      <w:pPr>
        <w:pStyle w:val="af8"/>
      </w:pPr>
      <w:r>
        <w:rPr>
          <w:rFonts w:hint="eastAsia"/>
        </w:rPr>
        <w:t>表</w:t>
      </w:r>
      <w:r>
        <w:rPr>
          <w:rFonts w:hint="eastAsia"/>
        </w:rPr>
        <w:t xml:space="preserve">2-1 </w:t>
      </w:r>
      <w:r>
        <w:rPr>
          <w:rFonts w:hint="eastAsia"/>
        </w:rPr>
        <w:t>土地利用现状表</w:t>
      </w:r>
      <w:r>
        <w:rPr>
          <w:rFonts w:hint="eastAsia"/>
        </w:rPr>
        <w:t xml:space="preserve">   </w:t>
      </w:r>
      <w:r>
        <w:rPr>
          <w:rFonts w:hint="eastAsia"/>
        </w:rPr>
        <w:t>单位：</w:t>
      </w:r>
      <w:r>
        <w:rPr>
          <w:rFonts w:hint="eastAsia"/>
        </w:rPr>
        <w:t>km</w:t>
      </w:r>
      <w:r>
        <w:rPr>
          <w:rFonts w:hint="eastAsia"/>
          <w:vertAlign w:val="superscript"/>
        </w:rPr>
        <w:t>2</w:t>
      </w:r>
    </w:p>
    <w:tbl>
      <w:tblPr>
        <w:tblStyle w:val="ab"/>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49"/>
        <w:gridCol w:w="738"/>
        <w:gridCol w:w="744"/>
        <w:gridCol w:w="588"/>
        <w:gridCol w:w="768"/>
        <w:gridCol w:w="642"/>
        <w:gridCol w:w="663"/>
        <w:gridCol w:w="1695"/>
        <w:gridCol w:w="900"/>
        <w:gridCol w:w="832"/>
      </w:tblGrid>
      <w:tr w:rsidR="008E4D92">
        <w:trPr>
          <w:trHeight w:val="340"/>
        </w:trPr>
        <w:tc>
          <w:tcPr>
            <w:tcW w:w="949" w:type="dxa"/>
            <w:tcBorders>
              <w:tl2br w:val="nil"/>
              <w:tr2bl w:val="nil"/>
            </w:tcBorders>
            <w:vAlign w:val="center"/>
          </w:tcPr>
          <w:p w:rsidR="008E4D92" w:rsidRDefault="008B068A">
            <w:pPr>
              <w:pStyle w:val="af9"/>
              <w:rPr>
                <w:sz w:val="18"/>
                <w:szCs w:val="18"/>
              </w:rPr>
            </w:pPr>
            <w:r>
              <w:rPr>
                <w:rFonts w:hint="eastAsia"/>
                <w:sz w:val="18"/>
                <w:szCs w:val="18"/>
              </w:rPr>
              <w:t>名称</w:t>
            </w:r>
          </w:p>
        </w:tc>
        <w:tc>
          <w:tcPr>
            <w:tcW w:w="738" w:type="dxa"/>
            <w:tcBorders>
              <w:tl2br w:val="nil"/>
              <w:tr2bl w:val="nil"/>
            </w:tcBorders>
            <w:vAlign w:val="center"/>
          </w:tcPr>
          <w:p w:rsidR="008E4D92" w:rsidRDefault="008B068A">
            <w:pPr>
              <w:pStyle w:val="af9"/>
              <w:rPr>
                <w:sz w:val="18"/>
                <w:szCs w:val="18"/>
              </w:rPr>
            </w:pPr>
            <w:r>
              <w:rPr>
                <w:rFonts w:hint="eastAsia"/>
                <w:sz w:val="18"/>
                <w:szCs w:val="18"/>
              </w:rPr>
              <w:t>耕地</w:t>
            </w:r>
          </w:p>
        </w:tc>
        <w:tc>
          <w:tcPr>
            <w:tcW w:w="744" w:type="dxa"/>
            <w:tcBorders>
              <w:tl2br w:val="nil"/>
              <w:tr2bl w:val="nil"/>
            </w:tcBorders>
            <w:vAlign w:val="center"/>
          </w:tcPr>
          <w:p w:rsidR="008E4D92" w:rsidRDefault="008B068A">
            <w:pPr>
              <w:pStyle w:val="af9"/>
              <w:rPr>
                <w:sz w:val="18"/>
                <w:szCs w:val="18"/>
              </w:rPr>
            </w:pPr>
            <w:r>
              <w:rPr>
                <w:rFonts w:hint="eastAsia"/>
                <w:sz w:val="18"/>
                <w:szCs w:val="18"/>
              </w:rPr>
              <w:t>林地</w:t>
            </w:r>
          </w:p>
        </w:tc>
        <w:tc>
          <w:tcPr>
            <w:tcW w:w="588" w:type="dxa"/>
            <w:tcBorders>
              <w:tl2br w:val="nil"/>
              <w:tr2bl w:val="nil"/>
            </w:tcBorders>
            <w:vAlign w:val="center"/>
          </w:tcPr>
          <w:p w:rsidR="008E4D92" w:rsidRDefault="008B068A">
            <w:pPr>
              <w:pStyle w:val="af9"/>
              <w:rPr>
                <w:sz w:val="18"/>
                <w:szCs w:val="18"/>
              </w:rPr>
            </w:pPr>
            <w:r>
              <w:rPr>
                <w:rFonts w:hint="eastAsia"/>
                <w:sz w:val="18"/>
                <w:szCs w:val="18"/>
              </w:rPr>
              <w:t>草地</w:t>
            </w:r>
          </w:p>
        </w:tc>
        <w:tc>
          <w:tcPr>
            <w:tcW w:w="768" w:type="dxa"/>
            <w:tcBorders>
              <w:tl2br w:val="nil"/>
              <w:tr2bl w:val="nil"/>
            </w:tcBorders>
            <w:vAlign w:val="center"/>
          </w:tcPr>
          <w:p w:rsidR="008E4D92" w:rsidRDefault="008B068A">
            <w:pPr>
              <w:pStyle w:val="af9"/>
              <w:rPr>
                <w:sz w:val="18"/>
                <w:szCs w:val="18"/>
              </w:rPr>
            </w:pPr>
            <w:r>
              <w:rPr>
                <w:rFonts w:hint="eastAsia"/>
                <w:sz w:val="18"/>
                <w:szCs w:val="18"/>
              </w:rPr>
              <w:t>园地</w:t>
            </w:r>
          </w:p>
        </w:tc>
        <w:tc>
          <w:tcPr>
            <w:tcW w:w="642" w:type="dxa"/>
            <w:tcBorders>
              <w:tl2br w:val="nil"/>
              <w:tr2bl w:val="nil"/>
            </w:tcBorders>
            <w:vAlign w:val="center"/>
          </w:tcPr>
          <w:p w:rsidR="008E4D92" w:rsidRDefault="008B068A">
            <w:pPr>
              <w:pStyle w:val="af9"/>
              <w:rPr>
                <w:sz w:val="18"/>
                <w:szCs w:val="18"/>
              </w:rPr>
            </w:pPr>
            <w:r>
              <w:rPr>
                <w:rFonts w:hint="eastAsia"/>
                <w:sz w:val="18"/>
                <w:szCs w:val="18"/>
              </w:rPr>
              <w:t>水域</w:t>
            </w:r>
          </w:p>
        </w:tc>
        <w:tc>
          <w:tcPr>
            <w:tcW w:w="663" w:type="dxa"/>
            <w:tcBorders>
              <w:tl2br w:val="nil"/>
              <w:tr2bl w:val="nil"/>
            </w:tcBorders>
            <w:vAlign w:val="center"/>
          </w:tcPr>
          <w:p w:rsidR="008E4D92" w:rsidRDefault="008B068A">
            <w:pPr>
              <w:pStyle w:val="af9"/>
              <w:rPr>
                <w:sz w:val="18"/>
                <w:szCs w:val="18"/>
              </w:rPr>
            </w:pPr>
            <w:r>
              <w:rPr>
                <w:rFonts w:hint="eastAsia"/>
                <w:sz w:val="18"/>
                <w:szCs w:val="18"/>
              </w:rPr>
              <w:t>交通</w:t>
            </w:r>
          </w:p>
        </w:tc>
        <w:tc>
          <w:tcPr>
            <w:tcW w:w="1695" w:type="dxa"/>
            <w:tcBorders>
              <w:tl2br w:val="nil"/>
              <w:tr2bl w:val="nil"/>
            </w:tcBorders>
            <w:vAlign w:val="center"/>
          </w:tcPr>
          <w:p w:rsidR="008E4D92" w:rsidRDefault="008B068A">
            <w:pPr>
              <w:pStyle w:val="af9"/>
              <w:rPr>
                <w:sz w:val="18"/>
                <w:szCs w:val="18"/>
              </w:rPr>
            </w:pPr>
            <w:r>
              <w:rPr>
                <w:rFonts w:hint="eastAsia"/>
                <w:sz w:val="18"/>
                <w:szCs w:val="18"/>
              </w:rPr>
              <w:t>城镇村及工矿用地</w:t>
            </w:r>
          </w:p>
        </w:tc>
        <w:tc>
          <w:tcPr>
            <w:tcW w:w="900" w:type="dxa"/>
            <w:tcBorders>
              <w:tl2br w:val="nil"/>
              <w:tr2bl w:val="nil"/>
            </w:tcBorders>
            <w:vAlign w:val="center"/>
          </w:tcPr>
          <w:p w:rsidR="008E4D92" w:rsidRDefault="008B068A">
            <w:pPr>
              <w:pStyle w:val="af9"/>
              <w:rPr>
                <w:sz w:val="18"/>
                <w:szCs w:val="18"/>
              </w:rPr>
            </w:pPr>
            <w:r>
              <w:rPr>
                <w:rFonts w:hint="eastAsia"/>
                <w:sz w:val="18"/>
                <w:szCs w:val="18"/>
              </w:rPr>
              <w:t>其他</w:t>
            </w:r>
          </w:p>
          <w:p w:rsidR="008E4D92" w:rsidRDefault="008B068A">
            <w:pPr>
              <w:pStyle w:val="af9"/>
              <w:rPr>
                <w:sz w:val="18"/>
                <w:szCs w:val="18"/>
              </w:rPr>
            </w:pPr>
            <w:r>
              <w:rPr>
                <w:rFonts w:hint="eastAsia"/>
                <w:sz w:val="18"/>
                <w:szCs w:val="18"/>
              </w:rPr>
              <w:t>土地</w:t>
            </w:r>
          </w:p>
        </w:tc>
        <w:tc>
          <w:tcPr>
            <w:tcW w:w="832" w:type="dxa"/>
            <w:tcBorders>
              <w:tl2br w:val="nil"/>
              <w:tr2bl w:val="nil"/>
            </w:tcBorders>
            <w:vAlign w:val="center"/>
          </w:tcPr>
          <w:p w:rsidR="008E4D92" w:rsidRDefault="008B068A">
            <w:pPr>
              <w:pStyle w:val="af9"/>
              <w:rPr>
                <w:sz w:val="18"/>
                <w:szCs w:val="18"/>
              </w:rPr>
            </w:pPr>
            <w:r>
              <w:rPr>
                <w:rFonts w:hint="eastAsia"/>
                <w:sz w:val="18"/>
                <w:szCs w:val="18"/>
              </w:rPr>
              <w:t>合计</w:t>
            </w:r>
          </w:p>
        </w:tc>
      </w:tr>
      <w:tr w:rsidR="008E4D92">
        <w:trPr>
          <w:trHeight w:val="340"/>
        </w:trPr>
        <w:tc>
          <w:tcPr>
            <w:tcW w:w="949" w:type="dxa"/>
            <w:tcBorders>
              <w:tl2br w:val="nil"/>
              <w:tr2bl w:val="nil"/>
            </w:tcBorders>
            <w:vAlign w:val="center"/>
          </w:tcPr>
          <w:p w:rsidR="008E4D92" w:rsidRDefault="008B068A">
            <w:pPr>
              <w:pStyle w:val="af9"/>
              <w:rPr>
                <w:sz w:val="18"/>
                <w:szCs w:val="18"/>
              </w:rPr>
            </w:pPr>
            <w:r>
              <w:rPr>
                <w:rFonts w:hint="eastAsia"/>
                <w:sz w:val="18"/>
                <w:szCs w:val="18"/>
              </w:rPr>
              <w:t>仪陇县</w:t>
            </w:r>
          </w:p>
        </w:tc>
        <w:tc>
          <w:tcPr>
            <w:tcW w:w="738" w:type="dxa"/>
            <w:tcBorders>
              <w:tl2br w:val="nil"/>
              <w:tr2bl w:val="nil"/>
            </w:tcBorders>
            <w:vAlign w:val="center"/>
          </w:tcPr>
          <w:p w:rsidR="008E4D92" w:rsidRDefault="008B068A">
            <w:pPr>
              <w:pStyle w:val="af9"/>
              <w:rPr>
                <w:sz w:val="18"/>
                <w:szCs w:val="18"/>
              </w:rPr>
            </w:pPr>
            <w:r>
              <w:rPr>
                <w:rFonts w:hint="eastAsia"/>
                <w:sz w:val="18"/>
                <w:szCs w:val="18"/>
              </w:rPr>
              <w:t>688.94</w:t>
            </w:r>
          </w:p>
        </w:tc>
        <w:tc>
          <w:tcPr>
            <w:tcW w:w="744" w:type="dxa"/>
            <w:tcBorders>
              <w:tl2br w:val="nil"/>
              <w:tr2bl w:val="nil"/>
            </w:tcBorders>
            <w:vAlign w:val="center"/>
          </w:tcPr>
          <w:p w:rsidR="008E4D92" w:rsidRDefault="008B068A">
            <w:pPr>
              <w:pStyle w:val="af9"/>
              <w:rPr>
                <w:sz w:val="18"/>
                <w:szCs w:val="18"/>
              </w:rPr>
            </w:pPr>
            <w:r>
              <w:rPr>
                <w:rFonts w:hint="eastAsia"/>
                <w:sz w:val="18"/>
                <w:szCs w:val="18"/>
              </w:rPr>
              <w:t>620.67</w:t>
            </w:r>
          </w:p>
        </w:tc>
        <w:tc>
          <w:tcPr>
            <w:tcW w:w="588" w:type="dxa"/>
            <w:tcBorders>
              <w:tl2br w:val="nil"/>
              <w:tr2bl w:val="nil"/>
            </w:tcBorders>
            <w:vAlign w:val="center"/>
          </w:tcPr>
          <w:p w:rsidR="008E4D92" w:rsidRDefault="008B068A">
            <w:pPr>
              <w:pStyle w:val="af9"/>
              <w:rPr>
                <w:sz w:val="18"/>
                <w:szCs w:val="18"/>
              </w:rPr>
            </w:pPr>
            <w:r>
              <w:rPr>
                <w:rFonts w:hint="eastAsia"/>
                <w:sz w:val="18"/>
                <w:szCs w:val="18"/>
              </w:rPr>
              <w:t>4.38</w:t>
            </w:r>
          </w:p>
        </w:tc>
        <w:tc>
          <w:tcPr>
            <w:tcW w:w="768" w:type="dxa"/>
            <w:tcBorders>
              <w:tl2br w:val="nil"/>
              <w:tr2bl w:val="nil"/>
            </w:tcBorders>
            <w:vAlign w:val="center"/>
          </w:tcPr>
          <w:p w:rsidR="008E4D92" w:rsidRDefault="008B068A">
            <w:pPr>
              <w:pStyle w:val="af9"/>
              <w:rPr>
                <w:sz w:val="18"/>
                <w:szCs w:val="18"/>
              </w:rPr>
            </w:pPr>
            <w:r>
              <w:rPr>
                <w:rFonts w:hint="eastAsia"/>
                <w:sz w:val="18"/>
                <w:szCs w:val="18"/>
              </w:rPr>
              <w:t>105.17</w:t>
            </w:r>
          </w:p>
        </w:tc>
        <w:tc>
          <w:tcPr>
            <w:tcW w:w="642" w:type="dxa"/>
            <w:tcBorders>
              <w:tl2br w:val="nil"/>
              <w:tr2bl w:val="nil"/>
            </w:tcBorders>
            <w:vAlign w:val="center"/>
          </w:tcPr>
          <w:p w:rsidR="008E4D92" w:rsidRDefault="008B068A">
            <w:pPr>
              <w:pStyle w:val="af9"/>
              <w:rPr>
                <w:sz w:val="18"/>
                <w:szCs w:val="18"/>
              </w:rPr>
            </w:pPr>
            <w:r>
              <w:rPr>
                <w:rFonts w:hint="eastAsia"/>
                <w:sz w:val="18"/>
                <w:szCs w:val="18"/>
              </w:rPr>
              <w:t>47.27</w:t>
            </w:r>
          </w:p>
        </w:tc>
        <w:tc>
          <w:tcPr>
            <w:tcW w:w="663" w:type="dxa"/>
            <w:tcBorders>
              <w:tl2br w:val="nil"/>
              <w:tr2bl w:val="nil"/>
            </w:tcBorders>
            <w:vAlign w:val="center"/>
          </w:tcPr>
          <w:p w:rsidR="008E4D92" w:rsidRDefault="008B068A">
            <w:pPr>
              <w:pStyle w:val="af9"/>
              <w:rPr>
                <w:sz w:val="18"/>
                <w:szCs w:val="18"/>
              </w:rPr>
            </w:pPr>
            <w:r>
              <w:rPr>
                <w:rFonts w:hint="eastAsia"/>
                <w:sz w:val="18"/>
                <w:szCs w:val="18"/>
              </w:rPr>
              <w:t>26.45</w:t>
            </w:r>
          </w:p>
        </w:tc>
        <w:tc>
          <w:tcPr>
            <w:tcW w:w="1695" w:type="dxa"/>
            <w:tcBorders>
              <w:tl2br w:val="nil"/>
              <w:tr2bl w:val="nil"/>
            </w:tcBorders>
            <w:vAlign w:val="center"/>
          </w:tcPr>
          <w:p w:rsidR="008E4D92" w:rsidRDefault="008B068A">
            <w:pPr>
              <w:pStyle w:val="af9"/>
              <w:rPr>
                <w:sz w:val="18"/>
                <w:szCs w:val="18"/>
              </w:rPr>
            </w:pPr>
            <w:r>
              <w:rPr>
                <w:rFonts w:hint="eastAsia"/>
                <w:sz w:val="18"/>
                <w:szCs w:val="18"/>
              </w:rPr>
              <w:t>147.56</w:t>
            </w:r>
          </w:p>
        </w:tc>
        <w:tc>
          <w:tcPr>
            <w:tcW w:w="900" w:type="dxa"/>
            <w:tcBorders>
              <w:tl2br w:val="nil"/>
              <w:tr2bl w:val="nil"/>
            </w:tcBorders>
            <w:vAlign w:val="center"/>
          </w:tcPr>
          <w:p w:rsidR="008E4D92" w:rsidRDefault="008B068A">
            <w:pPr>
              <w:pStyle w:val="af9"/>
              <w:rPr>
                <w:sz w:val="18"/>
                <w:szCs w:val="18"/>
              </w:rPr>
            </w:pPr>
            <w:r>
              <w:rPr>
                <w:rFonts w:hint="eastAsia"/>
                <w:sz w:val="18"/>
                <w:szCs w:val="18"/>
              </w:rPr>
              <w:t>150.52</w:t>
            </w:r>
          </w:p>
        </w:tc>
        <w:tc>
          <w:tcPr>
            <w:tcW w:w="832" w:type="dxa"/>
            <w:tcBorders>
              <w:tl2br w:val="nil"/>
              <w:tr2bl w:val="nil"/>
            </w:tcBorders>
            <w:vAlign w:val="center"/>
          </w:tcPr>
          <w:p w:rsidR="008E4D92" w:rsidRDefault="008B068A">
            <w:pPr>
              <w:pStyle w:val="af9"/>
              <w:rPr>
                <w:sz w:val="18"/>
                <w:szCs w:val="18"/>
              </w:rPr>
            </w:pPr>
            <w:r>
              <w:rPr>
                <w:rFonts w:hint="eastAsia"/>
                <w:sz w:val="18"/>
                <w:szCs w:val="18"/>
              </w:rPr>
              <w:t>1790.97</w:t>
            </w:r>
          </w:p>
        </w:tc>
      </w:tr>
      <w:tr w:rsidR="008E4D92">
        <w:trPr>
          <w:trHeight w:val="340"/>
        </w:trPr>
        <w:tc>
          <w:tcPr>
            <w:tcW w:w="949" w:type="dxa"/>
            <w:tcBorders>
              <w:tl2br w:val="nil"/>
              <w:tr2bl w:val="nil"/>
            </w:tcBorders>
            <w:vAlign w:val="center"/>
          </w:tcPr>
          <w:p w:rsidR="008E4D92" w:rsidRDefault="008B068A">
            <w:pPr>
              <w:pStyle w:val="af9"/>
              <w:rPr>
                <w:sz w:val="18"/>
                <w:szCs w:val="18"/>
              </w:rPr>
            </w:pPr>
            <w:r>
              <w:rPr>
                <w:rFonts w:hint="eastAsia"/>
                <w:sz w:val="18"/>
                <w:szCs w:val="18"/>
              </w:rPr>
              <w:t>占比（</w:t>
            </w:r>
            <w:r>
              <w:rPr>
                <w:rFonts w:hint="eastAsia"/>
                <w:sz w:val="18"/>
                <w:szCs w:val="18"/>
              </w:rPr>
              <w:t>%</w:t>
            </w:r>
            <w:r>
              <w:rPr>
                <w:rFonts w:hint="eastAsia"/>
                <w:sz w:val="18"/>
                <w:szCs w:val="18"/>
              </w:rPr>
              <w:t>）</w:t>
            </w:r>
          </w:p>
        </w:tc>
        <w:tc>
          <w:tcPr>
            <w:tcW w:w="738" w:type="dxa"/>
            <w:tcBorders>
              <w:tl2br w:val="nil"/>
              <w:tr2bl w:val="nil"/>
            </w:tcBorders>
            <w:vAlign w:val="center"/>
          </w:tcPr>
          <w:p w:rsidR="008E4D92" w:rsidRDefault="008B068A">
            <w:pPr>
              <w:pStyle w:val="af9"/>
              <w:rPr>
                <w:sz w:val="18"/>
                <w:szCs w:val="18"/>
              </w:rPr>
            </w:pPr>
            <w:r>
              <w:rPr>
                <w:rFonts w:hint="eastAsia"/>
                <w:sz w:val="18"/>
                <w:szCs w:val="18"/>
              </w:rPr>
              <w:t>38.47</w:t>
            </w:r>
          </w:p>
        </w:tc>
        <w:tc>
          <w:tcPr>
            <w:tcW w:w="744" w:type="dxa"/>
            <w:tcBorders>
              <w:tl2br w:val="nil"/>
              <w:tr2bl w:val="nil"/>
            </w:tcBorders>
            <w:vAlign w:val="center"/>
          </w:tcPr>
          <w:p w:rsidR="008E4D92" w:rsidRDefault="008B068A">
            <w:pPr>
              <w:pStyle w:val="af9"/>
              <w:rPr>
                <w:sz w:val="18"/>
                <w:szCs w:val="18"/>
              </w:rPr>
            </w:pPr>
            <w:r>
              <w:rPr>
                <w:rFonts w:hint="eastAsia"/>
                <w:sz w:val="18"/>
                <w:szCs w:val="18"/>
              </w:rPr>
              <w:t>34.66</w:t>
            </w:r>
          </w:p>
        </w:tc>
        <w:tc>
          <w:tcPr>
            <w:tcW w:w="588" w:type="dxa"/>
            <w:tcBorders>
              <w:tl2br w:val="nil"/>
              <w:tr2bl w:val="nil"/>
            </w:tcBorders>
            <w:vAlign w:val="center"/>
          </w:tcPr>
          <w:p w:rsidR="008E4D92" w:rsidRDefault="008B068A">
            <w:pPr>
              <w:pStyle w:val="af9"/>
              <w:rPr>
                <w:sz w:val="18"/>
                <w:szCs w:val="18"/>
              </w:rPr>
            </w:pPr>
            <w:r>
              <w:rPr>
                <w:rFonts w:hint="eastAsia"/>
                <w:sz w:val="18"/>
                <w:szCs w:val="18"/>
              </w:rPr>
              <w:t>0.24</w:t>
            </w:r>
          </w:p>
        </w:tc>
        <w:tc>
          <w:tcPr>
            <w:tcW w:w="768" w:type="dxa"/>
            <w:tcBorders>
              <w:tl2br w:val="nil"/>
              <w:tr2bl w:val="nil"/>
            </w:tcBorders>
            <w:vAlign w:val="center"/>
          </w:tcPr>
          <w:p w:rsidR="008E4D92" w:rsidRDefault="008B068A">
            <w:pPr>
              <w:pStyle w:val="af9"/>
              <w:rPr>
                <w:sz w:val="18"/>
                <w:szCs w:val="18"/>
              </w:rPr>
            </w:pPr>
            <w:r>
              <w:rPr>
                <w:rFonts w:hint="eastAsia"/>
                <w:sz w:val="18"/>
                <w:szCs w:val="18"/>
              </w:rPr>
              <w:t>5.87</w:t>
            </w:r>
          </w:p>
        </w:tc>
        <w:tc>
          <w:tcPr>
            <w:tcW w:w="642" w:type="dxa"/>
            <w:tcBorders>
              <w:tl2br w:val="nil"/>
              <w:tr2bl w:val="nil"/>
            </w:tcBorders>
            <w:vAlign w:val="center"/>
          </w:tcPr>
          <w:p w:rsidR="008E4D92" w:rsidRDefault="008B068A">
            <w:pPr>
              <w:pStyle w:val="af9"/>
              <w:rPr>
                <w:sz w:val="18"/>
                <w:szCs w:val="18"/>
              </w:rPr>
            </w:pPr>
            <w:r>
              <w:rPr>
                <w:rFonts w:hint="eastAsia"/>
                <w:sz w:val="18"/>
                <w:szCs w:val="18"/>
              </w:rPr>
              <w:t>2.64</w:t>
            </w:r>
          </w:p>
        </w:tc>
        <w:tc>
          <w:tcPr>
            <w:tcW w:w="663" w:type="dxa"/>
            <w:tcBorders>
              <w:tl2br w:val="nil"/>
              <w:tr2bl w:val="nil"/>
            </w:tcBorders>
            <w:vAlign w:val="center"/>
          </w:tcPr>
          <w:p w:rsidR="008E4D92" w:rsidRDefault="008B068A">
            <w:pPr>
              <w:pStyle w:val="af9"/>
              <w:rPr>
                <w:sz w:val="18"/>
                <w:szCs w:val="18"/>
              </w:rPr>
            </w:pPr>
            <w:r>
              <w:rPr>
                <w:rFonts w:hint="eastAsia"/>
                <w:sz w:val="18"/>
                <w:szCs w:val="18"/>
              </w:rPr>
              <w:t>1.48</w:t>
            </w:r>
          </w:p>
        </w:tc>
        <w:tc>
          <w:tcPr>
            <w:tcW w:w="1695" w:type="dxa"/>
            <w:tcBorders>
              <w:tl2br w:val="nil"/>
              <w:tr2bl w:val="nil"/>
            </w:tcBorders>
            <w:vAlign w:val="center"/>
          </w:tcPr>
          <w:p w:rsidR="008E4D92" w:rsidRDefault="008B068A">
            <w:pPr>
              <w:pStyle w:val="af9"/>
              <w:rPr>
                <w:sz w:val="18"/>
                <w:szCs w:val="18"/>
              </w:rPr>
            </w:pPr>
            <w:r>
              <w:rPr>
                <w:rFonts w:hint="eastAsia"/>
                <w:sz w:val="18"/>
                <w:szCs w:val="18"/>
              </w:rPr>
              <w:t>8.24</w:t>
            </w:r>
          </w:p>
        </w:tc>
        <w:tc>
          <w:tcPr>
            <w:tcW w:w="900" w:type="dxa"/>
            <w:tcBorders>
              <w:tl2br w:val="nil"/>
              <w:tr2bl w:val="nil"/>
            </w:tcBorders>
            <w:vAlign w:val="center"/>
          </w:tcPr>
          <w:p w:rsidR="008E4D92" w:rsidRDefault="008B068A">
            <w:pPr>
              <w:pStyle w:val="af9"/>
              <w:rPr>
                <w:sz w:val="18"/>
                <w:szCs w:val="18"/>
              </w:rPr>
            </w:pPr>
            <w:r>
              <w:rPr>
                <w:rFonts w:hint="eastAsia"/>
                <w:sz w:val="18"/>
                <w:szCs w:val="18"/>
              </w:rPr>
              <w:t>8.40</w:t>
            </w:r>
          </w:p>
        </w:tc>
        <w:tc>
          <w:tcPr>
            <w:tcW w:w="832" w:type="dxa"/>
            <w:tcBorders>
              <w:tl2br w:val="nil"/>
              <w:tr2bl w:val="nil"/>
            </w:tcBorders>
            <w:vAlign w:val="center"/>
          </w:tcPr>
          <w:p w:rsidR="008E4D92" w:rsidRDefault="008B068A">
            <w:pPr>
              <w:pStyle w:val="af9"/>
              <w:rPr>
                <w:sz w:val="18"/>
                <w:szCs w:val="18"/>
              </w:rPr>
            </w:pPr>
            <w:r>
              <w:rPr>
                <w:rFonts w:hint="eastAsia"/>
                <w:sz w:val="18"/>
                <w:szCs w:val="18"/>
              </w:rPr>
              <w:t>100</w:t>
            </w:r>
          </w:p>
        </w:tc>
      </w:tr>
    </w:tbl>
    <w:p w:rsidR="008E4D92" w:rsidRDefault="008B068A">
      <w:pPr>
        <w:pStyle w:val="2"/>
      </w:pPr>
      <w:bookmarkStart w:id="106" w:name="_Toc22950"/>
      <w:r>
        <w:t>2.5</w:t>
      </w:r>
      <w:r>
        <w:t>水土流失现状</w:t>
      </w:r>
      <w:bookmarkEnd w:id="103"/>
      <w:bookmarkEnd w:id="104"/>
      <w:bookmarkEnd w:id="105"/>
      <w:bookmarkEnd w:id="106"/>
    </w:p>
    <w:p w:rsidR="008E4D92" w:rsidRDefault="008B068A">
      <w:pPr>
        <w:pStyle w:val="3"/>
      </w:pPr>
      <w:bookmarkStart w:id="107" w:name="_Toc15143"/>
      <w:bookmarkStart w:id="108" w:name="_Toc371412997"/>
      <w:bookmarkStart w:id="109" w:name="_Toc30046"/>
      <w:r>
        <w:rPr>
          <w:rFonts w:hint="eastAsia"/>
        </w:rPr>
        <w:t>2.5.1</w:t>
      </w:r>
      <w:r>
        <w:rPr>
          <w:rFonts w:hint="eastAsia"/>
        </w:rPr>
        <w:t>项目区水土流失现状</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、仪陇县水土流失现状</w:t>
      </w:r>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根据《全国水土保持规划国家级水土流失重点预防区和重点治理区复核划分成果》（办水保</w:t>
      </w:r>
      <w:r>
        <w:rPr>
          <w:rFonts w:ascii="Times New Roman"/>
          <w:sz w:val="24"/>
          <w:szCs w:val="16"/>
        </w:rPr>
        <w:t>[2013]188</w:t>
      </w:r>
      <w:r>
        <w:rPr>
          <w:rFonts w:ascii="Times New Roman"/>
          <w:sz w:val="24"/>
          <w:szCs w:val="16"/>
        </w:rPr>
        <w:t>号）和《四川省水利厅关于印发四川省省级水土流失重点预防区和重点治理区划分成果的通知》（川水函</w:t>
      </w:r>
      <w:r>
        <w:rPr>
          <w:rFonts w:ascii="Times New Roman"/>
          <w:sz w:val="24"/>
          <w:szCs w:val="16"/>
        </w:rPr>
        <w:t>[2017]482</w:t>
      </w:r>
      <w:r>
        <w:rPr>
          <w:rFonts w:ascii="Times New Roman"/>
          <w:sz w:val="24"/>
          <w:szCs w:val="16"/>
        </w:rPr>
        <w:t>号）的规定，工程所在的</w:t>
      </w:r>
      <w:r>
        <w:rPr>
          <w:rFonts w:ascii="Times New Roman" w:hint="eastAsia"/>
          <w:sz w:val="24"/>
          <w:szCs w:val="16"/>
        </w:rPr>
        <w:t>南充市仪陇县属于嘉陵江及沱江中下游国家级水土流失重点治理区</w:t>
      </w:r>
      <w:r>
        <w:rPr>
          <w:rFonts w:ascii="Times New Roman"/>
          <w:sz w:val="24"/>
          <w:szCs w:val="16"/>
        </w:rPr>
        <w:t>，</w:t>
      </w:r>
      <w:r>
        <w:rPr>
          <w:rFonts w:ascii="Times New Roman" w:hint="eastAsia"/>
          <w:sz w:val="24"/>
          <w:szCs w:val="16"/>
        </w:rPr>
        <w:t>不属于</w:t>
      </w:r>
      <w:r>
        <w:rPr>
          <w:rFonts w:ascii="Times New Roman"/>
          <w:sz w:val="24"/>
          <w:szCs w:val="16"/>
        </w:rPr>
        <w:t>四川省省级水土流失重点预防区和重点治理区的范围内。水土流失主要以水力侵蚀为主，表现形式为面蚀、片蚀、沟蚀等，水土流失容许值为</w:t>
      </w:r>
      <w:r>
        <w:rPr>
          <w:rFonts w:ascii="Times New Roman"/>
          <w:sz w:val="24"/>
          <w:szCs w:val="16"/>
        </w:rPr>
        <w:t>500t/km²·a</w:t>
      </w:r>
      <w:r>
        <w:rPr>
          <w:rFonts w:ascii="Times New Roman"/>
          <w:sz w:val="24"/>
          <w:szCs w:val="16"/>
        </w:rPr>
        <w:t>。</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、仪陇县水土流失现状</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仪陇县的水土流失类型以水蚀中的面蚀和沟蚀为主，平均沟壑密度</w:t>
      </w:r>
      <w:r>
        <w:rPr>
          <w:rFonts w:ascii="Times New Roman" w:hint="eastAsia"/>
          <w:sz w:val="24"/>
          <w:szCs w:val="16"/>
        </w:rPr>
        <w:t>1.2km/</w:t>
      </w:r>
      <w:r>
        <w:rPr>
          <w:rFonts w:ascii="Times New Roman" w:hint="eastAsia"/>
          <w:sz w:val="24"/>
          <w:szCs w:val="16"/>
        </w:rPr>
        <w:t>平方公里，面蚀占流失面积的</w:t>
      </w:r>
      <w:r>
        <w:rPr>
          <w:rFonts w:ascii="Times New Roman" w:hint="eastAsia"/>
          <w:sz w:val="24"/>
          <w:szCs w:val="16"/>
        </w:rPr>
        <w:t>89%</w:t>
      </w:r>
      <w:r>
        <w:rPr>
          <w:rFonts w:ascii="Times New Roman" w:hint="eastAsia"/>
          <w:sz w:val="24"/>
          <w:szCs w:val="16"/>
        </w:rPr>
        <w:t>。水土流失面积为</w:t>
      </w:r>
      <w:r>
        <w:rPr>
          <w:rFonts w:ascii="Times New Roman" w:hint="eastAsia"/>
          <w:sz w:val="24"/>
          <w:szCs w:val="16"/>
        </w:rPr>
        <w:t>865.85</w:t>
      </w:r>
      <w:r>
        <w:rPr>
          <w:rFonts w:ascii="Times New Roman" w:hint="eastAsia"/>
          <w:sz w:val="24"/>
          <w:szCs w:val="16"/>
        </w:rPr>
        <w:t>平方公里，占土地总面积的</w:t>
      </w:r>
      <w:r>
        <w:rPr>
          <w:rFonts w:ascii="Times New Roman" w:hint="eastAsia"/>
          <w:sz w:val="24"/>
          <w:szCs w:val="16"/>
        </w:rPr>
        <w:t>48.35%</w:t>
      </w:r>
      <w:r>
        <w:rPr>
          <w:rFonts w:ascii="Times New Roman" w:hint="eastAsia"/>
          <w:sz w:val="24"/>
          <w:szCs w:val="16"/>
        </w:rPr>
        <w:t>。其中轻度侵蚀为</w:t>
      </w:r>
      <w:r>
        <w:rPr>
          <w:rFonts w:ascii="Times New Roman" w:hint="eastAsia"/>
          <w:sz w:val="24"/>
          <w:szCs w:val="16"/>
        </w:rPr>
        <w:t>205.67</w:t>
      </w:r>
      <w:r>
        <w:rPr>
          <w:rFonts w:ascii="Times New Roman" w:hint="eastAsia"/>
          <w:sz w:val="24"/>
          <w:szCs w:val="16"/>
        </w:rPr>
        <w:t>平方公里，占流失面积的</w:t>
      </w:r>
      <w:r>
        <w:rPr>
          <w:rFonts w:ascii="Times New Roman" w:hint="eastAsia"/>
          <w:sz w:val="24"/>
          <w:szCs w:val="16"/>
        </w:rPr>
        <w:t>23.75%</w:t>
      </w:r>
      <w:r>
        <w:rPr>
          <w:rFonts w:ascii="Times New Roman" w:hint="eastAsia"/>
          <w:sz w:val="24"/>
          <w:szCs w:val="16"/>
        </w:rPr>
        <w:t>，中度为</w:t>
      </w:r>
      <w:r>
        <w:rPr>
          <w:rFonts w:ascii="Times New Roman" w:hint="eastAsia"/>
          <w:sz w:val="24"/>
          <w:szCs w:val="16"/>
        </w:rPr>
        <w:t>348.22</w:t>
      </w:r>
      <w:r>
        <w:rPr>
          <w:rFonts w:ascii="Times New Roman" w:hint="eastAsia"/>
          <w:sz w:val="24"/>
          <w:szCs w:val="16"/>
        </w:rPr>
        <w:t>平方公里，占流失面积的</w:t>
      </w:r>
      <w:r>
        <w:rPr>
          <w:rFonts w:ascii="Times New Roman" w:hint="eastAsia"/>
          <w:sz w:val="24"/>
          <w:szCs w:val="16"/>
        </w:rPr>
        <w:t>40.22%</w:t>
      </w:r>
      <w:r>
        <w:rPr>
          <w:rFonts w:ascii="Times New Roman" w:hint="eastAsia"/>
          <w:sz w:val="24"/>
          <w:szCs w:val="16"/>
        </w:rPr>
        <w:t>，强度侵蚀为</w:t>
      </w:r>
      <w:r>
        <w:rPr>
          <w:rFonts w:ascii="Times New Roman" w:hint="eastAsia"/>
          <w:sz w:val="24"/>
          <w:szCs w:val="16"/>
        </w:rPr>
        <w:t>180.75</w:t>
      </w:r>
      <w:r>
        <w:rPr>
          <w:rFonts w:ascii="Times New Roman" w:hint="eastAsia"/>
          <w:sz w:val="24"/>
          <w:szCs w:val="16"/>
        </w:rPr>
        <w:t>平方公里，占流失面积的</w:t>
      </w:r>
      <w:r>
        <w:rPr>
          <w:rFonts w:ascii="Times New Roman" w:hint="eastAsia"/>
          <w:sz w:val="24"/>
          <w:szCs w:val="16"/>
        </w:rPr>
        <w:t>20.87%</w:t>
      </w:r>
      <w:r>
        <w:rPr>
          <w:rFonts w:ascii="Times New Roman" w:hint="eastAsia"/>
          <w:sz w:val="24"/>
          <w:szCs w:val="16"/>
        </w:rPr>
        <w:t>，极强烈侵蚀为</w:t>
      </w:r>
      <w:r>
        <w:rPr>
          <w:rFonts w:ascii="Times New Roman" w:hint="eastAsia"/>
          <w:sz w:val="24"/>
          <w:szCs w:val="16"/>
        </w:rPr>
        <w:t>83.45</w:t>
      </w:r>
      <w:r>
        <w:rPr>
          <w:rFonts w:ascii="Times New Roman" w:hint="eastAsia"/>
          <w:sz w:val="24"/>
          <w:szCs w:val="16"/>
        </w:rPr>
        <w:t>平方公里，仅占流失面积的</w:t>
      </w:r>
      <w:r>
        <w:rPr>
          <w:rFonts w:ascii="Times New Roman" w:hint="eastAsia"/>
          <w:sz w:val="24"/>
          <w:szCs w:val="16"/>
        </w:rPr>
        <w:t>9.64%</w:t>
      </w:r>
      <w:r>
        <w:rPr>
          <w:rFonts w:ascii="Times New Roman" w:hint="eastAsia"/>
          <w:sz w:val="24"/>
          <w:szCs w:val="16"/>
        </w:rPr>
        <w:t>，剧烈侵蚀为</w:t>
      </w:r>
      <w:r>
        <w:rPr>
          <w:rFonts w:ascii="Times New Roman" w:hint="eastAsia"/>
          <w:sz w:val="24"/>
          <w:szCs w:val="16"/>
        </w:rPr>
        <w:t>47.76</w:t>
      </w:r>
      <w:r>
        <w:rPr>
          <w:rFonts w:ascii="Times New Roman" w:hint="eastAsia"/>
          <w:sz w:val="24"/>
          <w:szCs w:val="16"/>
        </w:rPr>
        <w:t>平方公里，占流失面积的</w:t>
      </w:r>
      <w:r>
        <w:rPr>
          <w:rFonts w:ascii="Times New Roman" w:hint="eastAsia"/>
          <w:sz w:val="24"/>
          <w:szCs w:val="16"/>
        </w:rPr>
        <w:t>5.52%</w:t>
      </w:r>
      <w:r>
        <w:rPr>
          <w:rFonts w:ascii="Times New Roman" w:hint="eastAsia"/>
          <w:sz w:val="24"/>
          <w:szCs w:val="16"/>
        </w:rPr>
        <w:t>。</w:t>
      </w:r>
      <w:r>
        <w:rPr>
          <w:rFonts w:ascii="Times New Roman" w:hint="eastAsia"/>
          <w:sz w:val="24"/>
          <w:szCs w:val="16"/>
        </w:rPr>
        <w:t xml:space="preserve"> </w:t>
      </w:r>
    </w:p>
    <w:p w:rsidR="008E4D92" w:rsidRDefault="008B068A">
      <w:pPr>
        <w:pStyle w:val="af8"/>
      </w:pPr>
      <w:r>
        <w:rPr>
          <w:rFonts w:hint="eastAsia"/>
        </w:rPr>
        <w:lastRenderedPageBreak/>
        <w:t>表</w:t>
      </w:r>
      <w:r>
        <w:rPr>
          <w:rFonts w:hint="eastAsia"/>
        </w:rPr>
        <w:t xml:space="preserve">2-2  </w:t>
      </w:r>
      <w:r>
        <w:rPr>
          <w:rFonts w:hint="eastAsia"/>
        </w:rPr>
        <w:t>水土流失现状表</w:t>
      </w:r>
      <w:r>
        <w:rPr>
          <w:rFonts w:hint="eastAsia"/>
        </w:rPr>
        <w:t xml:space="preserve">   </w:t>
      </w:r>
      <w:r>
        <w:rPr>
          <w:rFonts w:hint="eastAsia"/>
        </w:rPr>
        <w:t>单位：</w:t>
      </w:r>
      <w:r>
        <w:rPr>
          <w:rFonts w:hint="eastAsia"/>
        </w:rPr>
        <w:t>km</w:t>
      </w:r>
      <w:r>
        <w:rPr>
          <w:rFonts w:hint="eastAsia"/>
          <w:vertAlign w:val="superscript"/>
        </w:rPr>
        <w:t>2</w:t>
      </w:r>
      <w:r>
        <w:rPr>
          <w:rFonts w:hint="eastAsia"/>
        </w:rPr>
        <w:t>，</w:t>
      </w:r>
      <w:r>
        <w:rPr>
          <w:rFonts w:hint="eastAsia"/>
        </w:rPr>
        <w:t>%</w:t>
      </w:r>
    </w:p>
    <w:tbl>
      <w:tblPr>
        <w:tblStyle w:val="ab"/>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130"/>
        <w:gridCol w:w="2130"/>
        <w:gridCol w:w="2131"/>
        <w:gridCol w:w="2131"/>
      </w:tblGrid>
      <w:tr w:rsidR="008E4D92">
        <w:trPr>
          <w:trHeight w:val="340"/>
        </w:trPr>
        <w:tc>
          <w:tcPr>
            <w:tcW w:w="2130" w:type="dxa"/>
            <w:tcBorders>
              <w:tl2br w:val="nil"/>
              <w:tr2bl w:val="nil"/>
            </w:tcBorders>
            <w:vAlign w:val="center"/>
          </w:tcPr>
          <w:p w:rsidR="008E4D92" w:rsidRDefault="008B068A">
            <w:pPr>
              <w:pStyle w:val="af9"/>
            </w:pPr>
            <w:r>
              <w:rPr>
                <w:rFonts w:hint="eastAsia"/>
              </w:rPr>
              <w:t>侵蚀强度</w:t>
            </w:r>
          </w:p>
        </w:tc>
        <w:tc>
          <w:tcPr>
            <w:tcW w:w="2130" w:type="dxa"/>
            <w:tcBorders>
              <w:tl2br w:val="nil"/>
              <w:tr2bl w:val="nil"/>
            </w:tcBorders>
            <w:vAlign w:val="center"/>
          </w:tcPr>
          <w:p w:rsidR="008E4D92" w:rsidRDefault="008B068A">
            <w:pPr>
              <w:pStyle w:val="af9"/>
            </w:pPr>
            <w:r>
              <w:rPr>
                <w:rFonts w:hint="eastAsia"/>
              </w:rPr>
              <w:t>面积</w:t>
            </w:r>
          </w:p>
        </w:tc>
        <w:tc>
          <w:tcPr>
            <w:tcW w:w="2131" w:type="dxa"/>
            <w:tcBorders>
              <w:tl2br w:val="nil"/>
              <w:tr2bl w:val="nil"/>
            </w:tcBorders>
            <w:vAlign w:val="center"/>
          </w:tcPr>
          <w:p w:rsidR="008E4D92" w:rsidRDefault="008B068A">
            <w:pPr>
              <w:pStyle w:val="af9"/>
            </w:pPr>
            <w:r>
              <w:rPr>
                <w:rFonts w:hint="eastAsia"/>
              </w:rPr>
              <w:t>占流失面积比</w:t>
            </w:r>
          </w:p>
        </w:tc>
        <w:tc>
          <w:tcPr>
            <w:tcW w:w="2131" w:type="dxa"/>
            <w:tcBorders>
              <w:tl2br w:val="nil"/>
              <w:tr2bl w:val="nil"/>
            </w:tcBorders>
            <w:vAlign w:val="center"/>
          </w:tcPr>
          <w:p w:rsidR="008E4D92" w:rsidRDefault="008B068A">
            <w:pPr>
              <w:pStyle w:val="af9"/>
            </w:pPr>
            <w:r>
              <w:rPr>
                <w:rFonts w:hint="eastAsia"/>
              </w:rPr>
              <w:t>占土地面积比</w:t>
            </w:r>
          </w:p>
        </w:tc>
      </w:tr>
      <w:tr w:rsidR="008E4D92">
        <w:trPr>
          <w:trHeight w:val="340"/>
        </w:trPr>
        <w:tc>
          <w:tcPr>
            <w:tcW w:w="2130" w:type="dxa"/>
            <w:tcBorders>
              <w:tl2br w:val="nil"/>
              <w:tr2bl w:val="nil"/>
            </w:tcBorders>
            <w:vAlign w:val="center"/>
          </w:tcPr>
          <w:p w:rsidR="008E4D92" w:rsidRDefault="008B068A">
            <w:pPr>
              <w:pStyle w:val="af9"/>
            </w:pPr>
            <w:r>
              <w:rPr>
                <w:rFonts w:hint="eastAsia"/>
              </w:rPr>
              <w:t>轻度</w:t>
            </w:r>
          </w:p>
        </w:tc>
        <w:tc>
          <w:tcPr>
            <w:tcW w:w="2130" w:type="dxa"/>
            <w:tcBorders>
              <w:tl2br w:val="nil"/>
              <w:tr2bl w:val="nil"/>
            </w:tcBorders>
            <w:vAlign w:val="center"/>
          </w:tcPr>
          <w:p w:rsidR="008E4D92" w:rsidRDefault="008B068A">
            <w:pPr>
              <w:pStyle w:val="af9"/>
            </w:pPr>
            <w:r>
              <w:rPr>
                <w:rFonts w:hint="eastAsia"/>
              </w:rPr>
              <w:t>205.67</w:t>
            </w:r>
          </w:p>
        </w:tc>
        <w:tc>
          <w:tcPr>
            <w:tcW w:w="2131" w:type="dxa"/>
            <w:tcBorders>
              <w:tl2br w:val="nil"/>
              <w:tr2bl w:val="nil"/>
            </w:tcBorders>
            <w:vAlign w:val="center"/>
          </w:tcPr>
          <w:p w:rsidR="008E4D92" w:rsidRDefault="008B068A">
            <w:pPr>
              <w:pStyle w:val="af9"/>
            </w:pPr>
            <w:r>
              <w:rPr>
                <w:rFonts w:hint="eastAsia"/>
              </w:rPr>
              <w:t>23.75</w:t>
            </w:r>
          </w:p>
        </w:tc>
        <w:tc>
          <w:tcPr>
            <w:tcW w:w="2131" w:type="dxa"/>
            <w:tcBorders>
              <w:tl2br w:val="nil"/>
              <w:tr2bl w:val="nil"/>
            </w:tcBorders>
            <w:vAlign w:val="center"/>
          </w:tcPr>
          <w:p w:rsidR="008E4D92" w:rsidRDefault="008B068A">
            <w:pPr>
              <w:pStyle w:val="af9"/>
            </w:pPr>
            <w:r>
              <w:rPr>
                <w:rFonts w:hint="eastAsia"/>
              </w:rPr>
              <w:t>11.48</w:t>
            </w:r>
          </w:p>
        </w:tc>
      </w:tr>
      <w:tr w:rsidR="008E4D92">
        <w:trPr>
          <w:trHeight w:val="340"/>
        </w:trPr>
        <w:tc>
          <w:tcPr>
            <w:tcW w:w="2130" w:type="dxa"/>
            <w:tcBorders>
              <w:tl2br w:val="nil"/>
              <w:tr2bl w:val="nil"/>
            </w:tcBorders>
            <w:vAlign w:val="center"/>
          </w:tcPr>
          <w:p w:rsidR="008E4D92" w:rsidRDefault="008B068A">
            <w:pPr>
              <w:pStyle w:val="af9"/>
            </w:pPr>
            <w:r>
              <w:rPr>
                <w:rFonts w:hint="eastAsia"/>
              </w:rPr>
              <w:t>中度</w:t>
            </w:r>
          </w:p>
        </w:tc>
        <w:tc>
          <w:tcPr>
            <w:tcW w:w="2130" w:type="dxa"/>
            <w:tcBorders>
              <w:tl2br w:val="nil"/>
              <w:tr2bl w:val="nil"/>
            </w:tcBorders>
            <w:vAlign w:val="center"/>
          </w:tcPr>
          <w:p w:rsidR="008E4D92" w:rsidRDefault="008B068A">
            <w:pPr>
              <w:pStyle w:val="af9"/>
            </w:pPr>
            <w:r>
              <w:rPr>
                <w:rFonts w:hint="eastAsia"/>
              </w:rPr>
              <w:t>348.22</w:t>
            </w:r>
          </w:p>
        </w:tc>
        <w:tc>
          <w:tcPr>
            <w:tcW w:w="2131" w:type="dxa"/>
            <w:tcBorders>
              <w:tl2br w:val="nil"/>
              <w:tr2bl w:val="nil"/>
            </w:tcBorders>
            <w:vAlign w:val="center"/>
          </w:tcPr>
          <w:p w:rsidR="008E4D92" w:rsidRDefault="008B068A">
            <w:pPr>
              <w:pStyle w:val="af9"/>
            </w:pPr>
            <w:r>
              <w:rPr>
                <w:rFonts w:hint="eastAsia"/>
              </w:rPr>
              <w:t>40.22</w:t>
            </w:r>
          </w:p>
        </w:tc>
        <w:tc>
          <w:tcPr>
            <w:tcW w:w="2131" w:type="dxa"/>
            <w:tcBorders>
              <w:tl2br w:val="nil"/>
              <w:tr2bl w:val="nil"/>
            </w:tcBorders>
            <w:vAlign w:val="center"/>
          </w:tcPr>
          <w:p w:rsidR="008E4D92" w:rsidRDefault="008B068A">
            <w:pPr>
              <w:pStyle w:val="af9"/>
            </w:pPr>
            <w:r>
              <w:rPr>
                <w:rFonts w:hint="eastAsia"/>
              </w:rPr>
              <w:t>19.45</w:t>
            </w:r>
          </w:p>
        </w:tc>
      </w:tr>
      <w:tr w:rsidR="008E4D92">
        <w:trPr>
          <w:trHeight w:val="340"/>
        </w:trPr>
        <w:tc>
          <w:tcPr>
            <w:tcW w:w="2130" w:type="dxa"/>
            <w:tcBorders>
              <w:tl2br w:val="nil"/>
              <w:tr2bl w:val="nil"/>
            </w:tcBorders>
            <w:vAlign w:val="center"/>
          </w:tcPr>
          <w:p w:rsidR="008E4D92" w:rsidRDefault="008B068A">
            <w:pPr>
              <w:pStyle w:val="af9"/>
            </w:pPr>
            <w:r>
              <w:rPr>
                <w:rFonts w:hint="eastAsia"/>
              </w:rPr>
              <w:t>强烈</w:t>
            </w:r>
          </w:p>
        </w:tc>
        <w:tc>
          <w:tcPr>
            <w:tcW w:w="2130" w:type="dxa"/>
            <w:tcBorders>
              <w:tl2br w:val="nil"/>
              <w:tr2bl w:val="nil"/>
            </w:tcBorders>
            <w:vAlign w:val="center"/>
          </w:tcPr>
          <w:p w:rsidR="008E4D92" w:rsidRDefault="008B068A">
            <w:pPr>
              <w:pStyle w:val="af9"/>
            </w:pPr>
            <w:r>
              <w:rPr>
                <w:rFonts w:hint="eastAsia"/>
              </w:rPr>
              <w:t>180.75</w:t>
            </w:r>
          </w:p>
        </w:tc>
        <w:tc>
          <w:tcPr>
            <w:tcW w:w="2131" w:type="dxa"/>
            <w:tcBorders>
              <w:tl2br w:val="nil"/>
              <w:tr2bl w:val="nil"/>
            </w:tcBorders>
            <w:vAlign w:val="center"/>
          </w:tcPr>
          <w:p w:rsidR="008E4D92" w:rsidRDefault="008B068A">
            <w:pPr>
              <w:pStyle w:val="af9"/>
            </w:pPr>
            <w:r>
              <w:rPr>
                <w:rFonts w:hint="eastAsia"/>
              </w:rPr>
              <w:t>20.87</w:t>
            </w:r>
          </w:p>
        </w:tc>
        <w:tc>
          <w:tcPr>
            <w:tcW w:w="2131" w:type="dxa"/>
            <w:tcBorders>
              <w:tl2br w:val="nil"/>
              <w:tr2bl w:val="nil"/>
            </w:tcBorders>
            <w:vAlign w:val="center"/>
          </w:tcPr>
          <w:p w:rsidR="008E4D92" w:rsidRDefault="008B068A">
            <w:pPr>
              <w:pStyle w:val="af9"/>
            </w:pPr>
            <w:r>
              <w:rPr>
                <w:rFonts w:hint="eastAsia"/>
              </w:rPr>
              <w:t>10.09</w:t>
            </w:r>
          </w:p>
        </w:tc>
      </w:tr>
      <w:tr w:rsidR="008E4D92">
        <w:trPr>
          <w:trHeight w:val="340"/>
        </w:trPr>
        <w:tc>
          <w:tcPr>
            <w:tcW w:w="2130" w:type="dxa"/>
            <w:tcBorders>
              <w:tl2br w:val="nil"/>
              <w:tr2bl w:val="nil"/>
            </w:tcBorders>
            <w:vAlign w:val="center"/>
          </w:tcPr>
          <w:p w:rsidR="008E4D92" w:rsidRDefault="008B068A">
            <w:pPr>
              <w:pStyle w:val="af9"/>
            </w:pPr>
            <w:r>
              <w:rPr>
                <w:rFonts w:hint="eastAsia"/>
              </w:rPr>
              <w:t>极强烈</w:t>
            </w:r>
          </w:p>
        </w:tc>
        <w:tc>
          <w:tcPr>
            <w:tcW w:w="2130" w:type="dxa"/>
            <w:tcBorders>
              <w:tl2br w:val="nil"/>
              <w:tr2bl w:val="nil"/>
            </w:tcBorders>
            <w:vAlign w:val="center"/>
          </w:tcPr>
          <w:p w:rsidR="008E4D92" w:rsidRDefault="008B068A">
            <w:pPr>
              <w:pStyle w:val="af9"/>
            </w:pPr>
            <w:r>
              <w:rPr>
                <w:rFonts w:hint="eastAsia"/>
              </w:rPr>
              <w:t>83.45</w:t>
            </w:r>
          </w:p>
        </w:tc>
        <w:tc>
          <w:tcPr>
            <w:tcW w:w="2131" w:type="dxa"/>
            <w:tcBorders>
              <w:tl2br w:val="nil"/>
              <w:tr2bl w:val="nil"/>
            </w:tcBorders>
            <w:vAlign w:val="center"/>
          </w:tcPr>
          <w:p w:rsidR="008E4D92" w:rsidRDefault="008B068A">
            <w:pPr>
              <w:pStyle w:val="af9"/>
            </w:pPr>
            <w:r>
              <w:rPr>
                <w:rFonts w:hint="eastAsia"/>
              </w:rPr>
              <w:t>9.64</w:t>
            </w:r>
          </w:p>
        </w:tc>
        <w:tc>
          <w:tcPr>
            <w:tcW w:w="2131" w:type="dxa"/>
            <w:tcBorders>
              <w:tl2br w:val="nil"/>
              <w:tr2bl w:val="nil"/>
            </w:tcBorders>
            <w:vAlign w:val="center"/>
          </w:tcPr>
          <w:p w:rsidR="008E4D92" w:rsidRDefault="008B068A">
            <w:pPr>
              <w:pStyle w:val="af9"/>
            </w:pPr>
            <w:r>
              <w:rPr>
                <w:rFonts w:hint="eastAsia"/>
              </w:rPr>
              <w:t>4.66</w:t>
            </w:r>
          </w:p>
        </w:tc>
      </w:tr>
      <w:tr w:rsidR="008E4D92">
        <w:trPr>
          <w:trHeight w:val="340"/>
        </w:trPr>
        <w:tc>
          <w:tcPr>
            <w:tcW w:w="2130" w:type="dxa"/>
            <w:tcBorders>
              <w:tl2br w:val="nil"/>
              <w:tr2bl w:val="nil"/>
            </w:tcBorders>
            <w:vAlign w:val="center"/>
          </w:tcPr>
          <w:p w:rsidR="008E4D92" w:rsidRDefault="008B068A">
            <w:pPr>
              <w:pStyle w:val="af9"/>
            </w:pPr>
            <w:r>
              <w:rPr>
                <w:rFonts w:hint="eastAsia"/>
              </w:rPr>
              <w:t>剧烈</w:t>
            </w:r>
          </w:p>
        </w:tc>
        <w:tc>
          <w:tcPr>
            <w:tcW w:w="2130" w:type="dxa"/>
            <w:tcBorders>
              <w:tl2br w:val="nil"/>
              <w:tr2bl w:val="nil"/>
            </w:tcBorders>
            <w:vAlign w:val="center"/>
          </w:tcPr>
          <w:p w:rsidR="008E4D92" w:rsidRDefault="008B068A">
            <w:pPr>
              <w:pStyle w:val="af9"/>
            </w:pPr>
            <w:r>
              <w:rPr>
                <w:rFonts w:hint="eastAsia"/>
              </w:rPr>
              <w:t>47.76</w:t>
            </w:r>
          </w:p>
        </w:tc>
        <w:tc>
          <w:tcPr>
            <w:tcW w:w="2131" w:type="dxa"/>
            <w:tcBorders>
              <w:tl2br w:val="nil"/>
              <w:tr2bl w:val="nil"/>
            </w:tcBorders>
            <w:vAlign w:val="center"/>
          </w:tcPr>
          <w:p w:rsidR="008E4D92" w:rsidRDefault="008B068A">
            <w:pPr>
              <w:pStyle w:val="af9"/>
            </w:pPr>
            <w:r>
              <w:rPr>
                <w:rFonts w:hint="eastAsia"/>
              </w:rPr>
              <w:t>5.52</w:t>
            </w:r>
          </w:p>
        </w:tc>
        <w:tc>
          <w:tcPr>
            <w:tcW w:w="2131" w:type="dxa"/>
            <w:tcBorders>
              <w:tl2br w:val="nil"/>
              <w:tr2bl w:val="nil"/>
            </w:tcBorders>
            <w:vAlign w:val="center"/>
          </w:tcPr>
          <w:p w:rsidR="008E4D92" w:rsidRDefault="008B068A">
            <w:pPr>
              <w:pStyle w:val="af9"/>
            </w:pPr>
            <w:r>
              <w:rPr>
                <w:rFonts w:hint="eastAsia"/>
              </w:rPr>
              <w:t>2.67</w:t>
            </w:r>
          </w:p>
        </w:tc>
      </w:tr>
      <w:tr w:rsidR="008E4D92">
        <w:trPr>
          <w:trHeight w:val="340"/>
        </w:trPr>
        <w:tc>
          <w:tcPr>
            <w:tcW w:w="2130" w:type="dxa"/>
            <w:tcBorders>
              <w:tl2br w:val="nil"/>
              <w:tr2bl w:val="nil"/>
            </w:tcBorders>
            <w:vAlign w:val="center"/>
          </w:tcPr>
          <w:p w:rsidR="008E4D92" w:rsidRDefault="008B068A">
            <w:pPr>
              <w:pStyle w:val="af9"/>
            </w:pPr>
            <w:r>
              <w:rPr>
                <w:rFonts w:hint="eastAsia"/>
              </w:rPr>
              <w:t>合计</w:t>
            </w:r>
          </w:p>
        </w:tc>
        <w:tc>
          <w:tcPr>
            <w:tcW w:w="2130" w:type="dxa"/>
            <w:tcBorders>
              <w:tl2br w:val="nil"/>
              <w:tr2bl w:val="nil"/>
            </w:tcBorders>
            <w:vAlign w:val="center"/>
          </w:tcPr>
          <w:p w:rsidR="008E4D92" w:rsidRDefault="008B068A">
            <w:pPr>
              <w:pStyle w:val="af9"/>
            </w:pPr>
            <w:r>
              <w:rPr>
                <w:rFonts w:hint="eastAsia"/>
              </w:rPr>
              <w:t>865.85</w:t>
            </w:r>
          </w:p>
        </w:tc>
        <w:tc>
          <w:tcPr>
            <w:tcW w:w="2131" w:type="dxa"/>
            <w:tcBorders>
              <w:tl2br w:val="nil"/>
              <w:tr2bl w:val="nil"/>
            </w:tcBorders>
            <w:vAlign w:val="center"/>
          </w:tcPr>
          <w:p w:rsidR="008E4D92" w:rsidRDefault="008B068A">
            <w:pPr>
              <w:pStyle w:val="af9"/>
            </w:pPr>
            <w:r>
              <w:rPr>
                <w:rFonts w:hint="eastAsia"/>
              </w:rPr>
              <w:t>100</w:t>
            </w:r>
          </w:p>
        </w:tc>
        <w:tc>
          <w:tcPr>
            <w:tcW w:w="2131" w:type="dxa"/>
            <w:tcBorders>
              <w:tl2br w:val="nil"/>
              <w:tr2bl w:val="nil"/>
            </w:tcBorders>
            <w:vAlign w:val="center"/>
          </w:tcPr>
          <w:p w:rsidR="008E4D92" w:rsidRDefault="008B068A">
            <w:pPr>
              <w:pStyle w:val="af9"/>
            </w:pPr>
            <w:r>
              <w:rPr>
                <w:rFonts w:hint="eastAsia"/>
              </w:rPr>
              <w:t>48.35</w:t>
            </w:r>
          </w:p>
        </w:tc>
      </w:tr>
    </w:tbl>
    <w:p w:rsidR="008E4D92" w:rsidRDefault="008B068A">
      <w:pPr>
        <w:pStyle w:val="3"/>
      </w:pPr>
      <w:r>
        <w:rPr>
          <w:rFonts w:hint="eastAsia"/>
        </w:rPr>
        <w:t>2.5.2</w:t>
      </w:r>
      <w:r>
        <w:rPr>
          <w:rFonts w:hint="eastAsia"/>
        </w:rPr>
        <w:t>工程区水土流失现状</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工程区水土流失类型主要为水力侵蚀。根据仪陇县土壤侵蚀遥感资料，结合现场踏勘调查工程区土地利用类型、面积、地形坡度和林草覆盖率等，同时结合项目区地貌、土壤和气候特征，参照《土壤侵蚀分类分级标准》（</w:t>
      </w:r>
      <w:r>
        <w:rPr>
          <w:rFonts w:ascii="Times New Roman" w:hint="eastAsia"/>
          <w:sz w:val="24"/>
          <w:szCs w:val="16"/>
        </w:rPr>
        <w:t>SL190-2007</w:t>
      </w:r>
      <w:r>
        <w:rPr>
          <w:rFonts w:ascii="Times New Roman" w:hint="eastAsia"/>
          <w:sz w:val="24"/>
          <w:szCs w:val="16"/>
        </w:rPr>
        <w:t>）确定各用地类型的土壤侵蚀强度及各扰动区域区土壤侵蚀模数背景值。经计算，项目区平均土壤侵蚀模数背景值为</w:t>
      </w:r>
      <w:r>
        <w:rPr>
          <w:rFonts w:ascii="Times New Roman" w:hint="eastAsia"/>
          <w:sz w:val="24"/>
          <w:szCs w:val="16"/>
        </w:rPr>
        <w:t>549t/km</w:t>
      </w:r>
      <w:r>
        <w:rPr>
          <w:rFonts w:ascii="Times New Roman" w:hint="eastAsia"/>
          <w:sz w:val="24"/>
          <w:szCs w:val="16"/>
        </w:rPr>
        <w:t>²•</w:t>
      </w:r>
      <w:r>
        <w:rPr>
          <w:rFonts w:ascii="Times New Roman" w:hint="eastAsia"/>
          <w:sz w:val="24"/>
          <w:szCs w:val="16"/>
        </w:rPr>
        <w:t>a</w:t>
      </w:r>
      <w:r>
        <w:rPr>
          <w:rFonts w:ascii="Times New Roman" w:hint="eastAsia"/>
          <w:sz w:val="24"/>
          <w:szCs w:val="16"/>
        </w:rPr>
        <w:t>，工程区的土壤侵蚀强度为轻度。</w:t>
      </w:r>
    </w:p>
    <w:p w:rsidR="008E4D92" w:rsidRDefault="008B068A">
      <w:pPr>
        <w:pStyle w:val="2"/>
      </w:pPr>
      <w:bookmarkStart w:id="110" w:name="_Toc3526"/>
      <w:r>
        <w:t>2.6</w:t>
      </w:r>
      <w:r>
        <w:t>项目区水土保持现状</w:t>
      </w:r>
      <w:bookmarkEnd w:id="107"/>
      <w:bookmarkEnd w:id="108"/>
      <w:bookmarkEnd w:id="109"/>
      <w:bookmarkEnd w:id="110"/>
    </w:p>
    <w:p w:rsidR="008E4D92" w:rsidRDefault="008B068A">
      <w:pPr>
        <w:pStyle w:val="BZDL1"/>
        <w:spacing w:beforeLines="0" w:before="0" w:afterLines="0" w:after="0" w:line="360" w:lineRule="auto"/>
        <w:ind w:firstLine="480"/>
        <w:rPr>
          <w:rFonts w:ascii="Times New Roman"/>
          <w:sz w:val="24"/>
          <w:szCs w:val="16"/>
        </w:rPr>
      </w:pPr>
      <w:bookmarkStart w:id="111" w:name="_Toc371412998"/>
      <w:r>
        <w:rPr>
          <w:rFonts w:ascii="Times New Roman" w:hint="eastAsia"/>
          <w:sz w:val="24"/>
          <w:szCs w:val="16"/>
        </w:rPr>
        <w:t>近年来，仪陇县水务局积极狠抓水土流失治理和水土保持预防监督，多措并举实施水土保持：结合各镇农村产业结构调整和退耕还林工程，建设水土保持防护林；采取修梯田、</w:t>
      </w:r>
      <w:r>
        <w:rPr>
          <w:rFonts w:ascii="Times New Roman"/>
          <w:sz w:val="24"/>
          <w:szCs w:val="16"/>
        </w:rPr>
        <w:t>“</w:t>
      </w:r>
      <w:r>
        <w:rPr>
          <w:rFonts w:ascii="Times New Roman" w:hint="eastAsia"/>
          <w:sz w:val="24"/>
          <w:szCs w:val="16"/>
        </w:rPr>
        <w:t>免耕法</w:t>
      </w:r>
      <w:r>
        <w:rPr>
          <w:rFonts w:ascii="Times New Roman"/>
          <w:sz w:val="24"/>
          <w:szCs w:val="16"/>
        </w:rPr>
        <w:t>”</w:t>
      </w:r>
      <w:r>
        <w:rPr>
          <w:rFonts w:ascii="Times New Roman" w:hint="eastAsia"/>
          <w:sz w:val="24"/>
          <w:szCs w:val="16"/>
        </w:rPr>
        <w:t>等措施推行保土耕作，减少丘陵坡耕地的水土流失；结合水利、水土保持工程建设，强化水系绿化，实施小流域综合治理，新修蓄水池</w:t>
      </w:r>
      <w:r>
        <w:rPr>
          <w:rFonts w:ascii="Times New Roman"/>
          <w:sz w:val="24"/>
          <w:szCs w:val="16"/>
        </w:rPr>
        <w:t>3000</w:t>
      </w:r>
      <w:r>
        <w:rPr>
          <w:rFonts w:ascii="Times New Roman" w:hint="eastAsia"/>
          <w:sz w:val="24"/>
          <w:szCs w:val="16"/>
        </w:rPr>
        <w:t>多座，堰塘</w:t>
      </w:r>
      <w:r>
        <w:rPr>
          <w:rFonts w:ascii="Times New Roman"/>
          <w:sz w:val="24"/>
          <w:szCs w:val="16"/>
        </w:rPr>
        <w:t>8000</w:t>
      </w:r>
      <w:r>
        <w:rPr>
          <w:rFonts w:ascii="Times New Roman" w:hint="eastAsia"/>
          <w:sz w:val="24"/>
          <w:szCs w:val="16"/>
        </w:rPr>
        <w:t>多座；加强生产开发建设项目水土流失防治和监管力度，控制和减少人为水土流失。</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经实地勘查工程区附近已建和在建的类似工程，总结出常见的水土保持措施如下：</w:t>
      </w:r>
      <w:r>
        <w:rPr>
          <w:rFonts w:ascii="Times New Roman"/>
          <w:sz w:val="24"/>
          <w:szCs w:val="16"/>
        </w:rPr>
        <w:t xml:space="preserve"> </w:t>
      </w:r>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1</w:t>
      </w:r>
      <w:r>
        <w:rPr>
          <w:rFonts w:ascii="Times New Roman" w:hint="eastAsia"/>
          <w:sz w:val="24"/>
          <w:szCs w:val="16"/>
        </w:rPr>
        <w:t>、工程措施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表土剥离：施工进场前、基础开挖前对临时占地区、建构筑物占地区进行表土剥离，并堆放于周围施工临时占地区域内。</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排水工程：为保证工程地基稳定、防治冲刷和水毁，因地制宜地采取防洪排导措施，将降水及坡面水引出工程区范围，排入市政管网或附近河流。</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拦渣工程：按照先拦后弃的原则，对弃渣场采取挡土墙挡护、排水沟排除坡面汇水等措施。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2</w:t>
      </w:r>
      <w:r>
        <w:rPr>
          <w:rFonts w:ascii="Times New Roman" w:hint="eastAsia"/>
          <w:sz w:val="24"/>
          <w:szCs w:val="16"/>
        </w:rPr>
        <w:t>、植物措施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施工结束后，对临时占地区进行植被恢复，原为耕地的进行复垦，其余占地进行绿化。</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弃渣堆放完成后，对其顶面及坡面进行绿化，防治水土流失。</w:t>
      </w:r>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lastRenderedPageBreak/>
        <w:t>3</w:t>
      </w:r>
      <w:r>
        <w:rPr>
          <w:rFonts w:ascii="Times New Roman" w:hint="eastAsia"/>
          <w:sz w:val="24"/>
          <w:szCs w:val="16"/>
        </w:rPr>
        <w:t>、施工临时工程</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裸露面临时遮盖：对施工开挖、填筑、堆置、土料运输等形成的裸露面，采用防雨布进行临时遮盖。</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围墙或彩钢板围栏：对邻近城镇、居民点的施工区采用围墙或彩钢板围栏进行临时围护，实行封闭施工，既可达到水土保持目的，又能降低施工对附近居民的影响。</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临时排水：在降水汇集区施工可修建临时截排水沟，减小地表径流对施工面的冲刷。</w:t>
      </w:r>
    </w:p>
    <w:p w:rsidR="008E4D92" w:rsidRDefault="008B068A">
      <w:pPr>
        <w:pStyle w:val="BZDL1"/>
        <w:spacing w:beforeLines="0" w:before="0" w:afterLines="0" w:after="0" w:line="360" w:lineRule="auto"/>
        <w:ind w:firstLine="480"/>
        <w:rPr>
          <w:rFonts w:ascii="Times New Roman"/>
          <w:sz w:val="24"/>
          <w:szCs w:val="16"/>
        </w:rPr>
      </w:pPr>
      <w:r>
        <w:rPr>
          <w:rFonts w:ascii="Times New Roman"/>
          <w:sz w:val="24"/>
          <w:szCs w:val="16"/>
        </w:rPr>
        <w:t>4</w:t>
      </w:r>
      <w:r>
        <w:rPr>
          <w:rFonts w:ascii="Times New Roman" w:hint="eastAsia"/>
          <w:sz w:val="24"/>
          <w:szCs w:val="16"/>
        </w:rPr>
        <w:t>、施工管理</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树立按</w:t>
      </w:r>
      <w:r>
        <w:rPr>
          <w:rFonts w:ascii="Times New Roman"/>
          <w:sz w:val="24"/>
          <w:szCs w:val="16"/>
        </w:rPr>
        <w:t>“</w:t>
      </w:r>
      <w:r>
        <w:rPr>
          <w:rFonts w:ascii="Times New Roman" w:hint="eastAsia"/>
          <w:sz w:val="24"/>
          <w:szCs w:val="16"/>
        </w:rPr>
        <w:t>规范</w:t>
      </w:r>
      <w:r>
        <w:rPr>
          <w:rFonts w:ascii="Times New Roman"/>
          <w:sz w:val="24"/>
          <w:szCs w:val="16"/>
        </w:rPr>
        <w:t>”</w:t>
      </w:r>
      <w:r>
        <w:rPr>
          <w:rFonts w:ascii="Times New Roman" w:hint="eastAsia"/>
          <w:sz w:val="24"/>
          <w:szCs w:val="16"/>
        </w:rPr>
        <w:t>和</w:t>
      </w:r>
      <w:r>
        <w:rPr>
          <w:rFonts w:ascii="Times New Roman"/>
          <w:sz w:val="24"/>
          <w:szCs w:val="16"/>
        </w:rPr>
        <w:t>“</w:t>
      </w:r>
      <w:r>
        <w:rPr>
          <w:rFonts w:ascii="Times New Roman" w:hint="eastAsia"/>
          <w:sz w:val="24"/>
          <w:szCs w:val="16"/>
        </w:rPr>
        <w:t>惯例</w:t>
      </w:r>
      <w:r>
        <w:rPr>
          <w:rFonts w:ascii="Times New Roman"/>
          <w:sz w:val="24"/>
          <w:szCs w:val="16"/>
        </w:rPr>
        <w:t>”</w:t>
      </w:r>
      <w:r>
        <w:rPr>
          <w:rFonts w:ascii="Times New Roman" w:hint="eastAsia"/>
          <w:sz w:val="24"/>
          <w:szCs w:val="16"/>
        </w:rPr>
        <w:t>运作的观念，建立</w:t>
      </w:r>
      <w:r>
        <w:rPr>
          <w:rFonts w:ascii="Times New Roman"/>
          <w:sz w:val="24"/>
          <w:szCs w:val="16"/>
        </w:rPr>
        <w:t>“</w:t>
      </w:r>
      <w:r>
        <w:rPr>
          <w:rFonts w:ascii="Times New Roman" w:hint="eastAsia"/>
          <w:sz w:val="24"/>
          <w:szCs w:val="16"/>
        </w:rPr>
        <w:t>工程监理制和业主代表驻地制相结合</w:t>
      </w:r>
      <w:r>
        <w:rPr>
          <w:rFonts w:ascii="Times New Roman"/>
          <w:sz w:val="24"/>
          <w:szCs w:val="16"/>
        </w:rPr>
        <w:t>”</w:t>
      </w:r>
      <w:r>
        <w:rPr>
          <w:rFonts w:ascii="Times New Roman" w:hint="eastAsia"/>
          <w:sz w:val="24"/>
          <w:szCs w:val="16"/>
        </w:rPr>
        <w:t>的管理模式。具体做法是：在施工阶段将做好水土保持工作明确写入施工合同中；利用各种奖惩措施促使施工单位采取科学、合理的施工工艺，保证工程区影响范围内的土体稳定性；搞好工程建设自身的水土保持工作，尽量减少扰动地表面积，从现场施工方面减少工程带来的水土流失影响。</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通过上述水土保持措施的实施，可有效减少因工程建设新增的水土流失，其经验值得本项目借鉴。</w:t>
      </w:r>
    </w:p>
    <w:p w:rsidR="008E4D92" w:rsidRDefault="008B068A">
      <w:pPr>
        <w:pStyle w:val="2"/>
      </w:pPr>
      <w:bookmarkStart w:id="112" w:name="_Toc23756"/>
      <w:bookmarkStart w:id="113" w:name="_Toc6356"/>
      <w:bookmarkStart w:id="114" w:name="_Toc7354"/>
      <w:r>
        <w:t>2.7</w:t>
      </w:r>
      <w:r>
        <w:t>水土流失防治经验</w:t>
      </w:r>
      <w:bookmarkEnd w:id="111"/>
      <w:bookmarkEnd w:id="112"/>
      <w:bookmarkEnd w:id="113"/>
      <w:bookmarkEnd w:id="114"/>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通过对当地相关技术人员的调查访问，并对工程区附近项目的实地踏勘，在当地工程建设中经常使用和成功的水土保持经验及采取的防护措施主要</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项目由于其特性，其管线开挖部分回填完成后进行土地整治或硬化，项目实施完毕后项目建设区的水土流失能够有效的到治理；项目主要为绿化和建筑物覆盖，水土流失可以达到微度水平。经查阅相关资料及现场调查，仪陇县采取的较为成功的水土保持经验及防护措施主要有排水工程、临时遮盖措施、临时排水措施、绿化措施等，该类措施能够有效防治项目建设期及林草恢复期的水土流失，其成功经验可供同类项目水土流失防治措施设置提供参考。</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、工程措施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为了保证工程地基稳定、防止冲刷和水毁，结合地形、地质、地形条件因地制宜地采取综合排水措施，能够有效排导场内汇水，避免漫流冲刷造成水土流失，为满足后期绿化需要及保护表土资源，对占用的耕地施工结束后进行土地整治等，主要有排水沟、表土剥离、表土回覆、土地整治等工程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、临时措施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临时挡护：在工程建设中存在临时堆土，根据区域同类项目实施经验调查，主要采</w:t>
      </w:r>
      <w:r>
        <w:rPr>
          <w:rFonts w:ascii="Times New Roman" w:hint="eastAsia"/>
          <w:sz w:val="24"/>
          <w:szCs w:val="16"/>
        </w:rPr>
        <w:lastRenderedPageBreak/>
        <w:t>取土堆坡脚临时挡护措施、临时堆料挡护措施等，施工结束后及时拆除编织土袋，用于场地回填利用，土袋挡护能够有效防治临时堆土堆料散落造成水土流失。临时遮盖：对施工开挖、填筑、堆置、土料运输等裸露面，利用防雨布进行临时压盖，能够有效防止降雨冲刷导致水土流失，同时防止风力作用扬尘污染空气，具有良好的水土保持效果。围墙或采钢板围栏措施：项目在施工过程中从安全角度考虑，整个施工场地均采取围墙或采钢板围栏措施进行围挡，实施封闭施工，该措施能够有效控制项目施工对周边地表的扰动，一定程度上达到水土保持的目的，但该类措施主要是从项目安全施工角度考虑设置。临时排水措施：施工期基坑周边及基坑内部设置临时排水沟及沉沙池，排导项目区的汇水，减轻汇水漫流冲刷，减轻水土流失，水土保持效果显著。</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3</w:t>
      </w:r>
      <w:r>
        <w:rPr>
          <w:rFonts w:ascii="Times New Roman" w:hint="eastAsia"/>
          <w:sz w:val="24"/>
          <w:szCs w:val="16"/>
        </w:rPr>
        <w:t>、植物措施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项目及周边的同类型项目的绿化工程经验，对本项目及今后同类项目的建设都具有重要的借鉴作用，为工程开展水土保持工作提供了较好的借鉴经验。项目为提高项目品质，绿化和美化环境的要求，本着</w:t>
      </w:r>
      <w:r>
        <w:rPr>
          <w:rFonts w:ascii="Times New Roman"/>
          <w:sz w:val="24"/>
          <w:szCs w:val="16"/>
        </w:rPr>
        <w:t>“</w:t>
      </w:r>
      <w:r>
        <w:rPr>
          <w:rFonts w:ascii="Times New Roman" w:hint="eastAsia"/>
          <w:sz w:val="24"/>
          <w:szCs w:val="16"/>
        </w:rPr>
        <w:t>舒适、美观、生态</w:t>
      </w:r>
      <w:r>
        <w:rPr>
          <w:rFonts w:ascii="Times New Roman"/>
          <w:sz w:val="24"/>
          <w:szCs w:val="16"/>
        </w:rPr>
        <w:t>”</w:t>
      </w:r>
      <w:r>
        <w:rPr>
          <w:rFonts w:ascii="Times New Roman" w:hint="eastAsia"/>
          <w:sz w:val="24"/>
          <w:szCs w:val="16"/>
        </w:rPr>
        <w:t>的原则，根据项目区的立地条件和气候特点，选择适生能力强、速生优质、栽植和养护容易的优良树草种，对景观绿化区采用由灌、草、藤本植物为一体的立体绿化防护措施。区域绿化美化所选植物种类参见下表</w:t>
      </w:r>
      <w:r>
        <w:rPr>
          <w:rFonts w:ascii="Times New Roman" w:hint="eastAsia"/>
          <w:sz w:val="24"/>
          <w:szCs w:val="16"/>
        </w:rPr>
        <w:t>2-4</w:t>
      </w:r>
      <w:r>
        <w:rPr>
          <w:rFonts w:ascii="Times New Roman" w:hint="eastAsia"/>
          <w:sz w:val="24"/>
          <w:szCs w:val="16"/>
        </w:rPr>
        <w:t>。</w:t>
      </w:r>
    </w:p>
    <w:p w:rsidR="008E4D92" w:rsidRDefault="008B068A">
      <w:pPr>
        <w:pStyle w:val="af8"/>
      </w:pPr>
      <w:r>
        <w:rPr>
          <w:rFonts w:hint="eastAsia"/>
        </w:rPr>
        <w:t>表</w:t>
      </w:r>
      <w:r>
        <w:rPr>
          <w:rFonts w:hint="eastAsia"/>
        </w:rPr>
        <w:t>2-4</w:t>
      </w:r>
      <w:r>
        <w:rPr>
          <w:rFonts w:hint="eastAsia"/>
        </w:rPr>
        <w:t>项目区景观绿化植物配置参考表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16"/>
        <w:gridCol w:w="1800"/>
        <w:gridCol w:w="5806"/>
      </w:tblGrid>
      <w:tr w:rsidR="008E4D92">
        <w:trPr>
          <w:trHeight w:val="247"/>
          <w:tblHeader/>
          <w:jc w:val="center"/>
        </w:trPr>
        <w:tc>
          <w:tcPr>
            <w:tcW w:w="916" w:type="dxa"/>
            <w:tcBorders>
              <w:tl2br w:val="nil"/>
              <w:tr2bl w:val="nil"/>
            </w:tcBorders>
            <w:vAlign w:val="center"/>
          </w:tcPr>
          <w:p w:rsidR="008E4D92" w:rsidRDefault="008B068A">
            <w:pPr>
              <w:pStyle w:val="af9"/>
            </w:pPr>
            <w:r>
              <w:rPr>
                <w:rFonts w:hint="eastAsia"/>
              </w:rPr>
              <w:t>树草种名称</w:t>
            </w:r>
          </w:p>
        </w:tc>
        <w:tc>
          <w:tcPr>
            <w:tcW w:w="1800" w:type="dxa"/>
            <w:tcBorders>
              <w:tl2br w:val="nil"/>
              <w:tr2bl w:val="nil"/>
            </w:tcBorders>
            <w:vAlign w:val="center"/>
          </w:tcPr>
          <w:p w:rsidR="008E4D92" w:rsidRDefault="008B068A">
            <w:pPr>
              <w:pStyle w:val="af9"/>
            </w:pPr>
            <w:r>
              <w:rPr>
                <w:rFonts w:hint="eastAsia"/>
              </w:rPr>
              <w:t>拉丁名</w:t>
            </w:r>
          </w:p>
        </w:tc>
        <w:tc>
          <w:tcPr>
            <w:tcW w:w="5806" w:type="dxa"/>
            <w:tcBorders>
              <w:tl2br w:val="nil"/>
              <w:tr2bl w:val="nil"/>
            </w:tcBorders>
            <w:vAlign w:val="center"/>
          </w:tcPr>
          <w:p w:rsidR="008E4D92" w:rsidRDefault="008B068A">
            <w:pPr>
              <w:pStyle w:val="af9"/>
            </w:pPr>
            <w:r>
              <w:rPr>
                <w:rFonts w:hint="eastAsia"/>
              </w:rPr>
              <w:t>树、草种特性及分布</w:t>
            </w:r>
          </w:p>
        </w:tc>
      </w:tr>
      <w:tr w:rsidR="008E4D92">
        <w:trPr>
          <w:trHeight w:val="247"/>
          <w:jc w:val="center"/>
        </w:trPr>
        <w:tc>
          <w:tcPr>
            <w:tcW w:w="916" w:type="dxa"/>
            <w:tcBorders>
              <w:tl2br w:val="nil"/>
              <w:tr2bl w:val="nil"/>
            </w:tcBorders>
            <w:vAlign w:val="center"/>
          </w:tcPr>
          <w:p w:rsidR="008E4D92" w:rsidRDefault="008B068A">
            <w:pPr>
              <w:pStyle w:val="af9"/>
            </w:pPr>
            <w:r>
              <w:rPr>
                <w:rFonts w:hint="eastAsia"/>
              </w:rPr>
              <w:t>水杉</w:t>
            </w:r>
          </w:p>
        </w:tc>
        <w:tc>
          <w:tcPr>
            <w:tcW w:w="1800" w:type="dxa"/>
            <w:tcBorders>
              <w:tl2br w:val="nil"/>
              <w:tr2bl w:val="nil"/>
            </w:tcBorders>
            <w:vAlign w:val="center"/>
          </w:tcPr>
          <w:p w:rsidR="008E4D92" w:rsidRDefault="008B068A">
            <w:pPr>
              <w:pStyle w:val="af9"/>
            </w:pPr>
            <w:r>
              <w:t>Metasequoia glyptostroboides Hu et Cheng</w:t>
            </w:r>
          </w:p>
        </w:tc>
        <w:tc>
          <w:tcPr>
            <w:tcW w:w="5806" w:type="dxa"/>
            <w:tcBorders>
              <w:tl2br w:val="nil"/>
              <w:tr2bl w:val="nil"/>
            </w:tcBorders>
            <w:vAlign w:val="center"/>
          </w:tcPr>
          <w:p w:rsidR="008E4D92" w:rsidRDefault="008B068A">
            <w:pPr>
              <w:pStyle w:val="af9"/>
            </w:pPr>
            <w:r>
              <w:rPr>
                <w:rFonts w:hint="eastAsia"/>
              </w:rPr>
              <w:t>乔木，高达</w:t>
            </w:r>
            <w:r>
              <w:t>35</w:t>
            </w:r>
            <w:r>
              <w:rPr>
                <w:rFonts w:hint="eastAsia"/>
              </w:rPr>
              <w:t>米，胸径达</w:t>
            </w:r>
            <w:r>
              <w:t>2.5</w:t>
            </w:r>
            <w:r>
              <w:rPr>
                <w:rFonts w:hint="eastAsia"/>
              </w:rPr>
              <w:t>米；适应性强，喜光，稍耐阴。喜温暖湿润气候，稍耐寒。不耐干旱和瘠薄，根系发达。萌蘖、萌芽力均强，耐修剪。</w:t>
            </w:r>
          </w:p>
        </w:tc>
      </w:tr>
      <w:tr w:rsidR="008E4D92">
        <w:trPr>
          <w:trHeight w:val="247"/>
          <w:jc w:val="center"/>
        </w:trPr>
        <w:tc>
          <w:tcPr>
            <w:tcW w:w="916" w:type="dxa"/>
            <w:tcBorders>
              <w:tl2br w:val="nil"/>
              <w:tr2bl w:val="nil"/>
            </w:tcBorders>
            <w:vAlign w:val="center"/>
          </w:tcPr>
          <w:p w:rsidR="008E4D92" w:rsidRDefault="008B068A">
            <w:pPr>
              <w:pStyle w:val="af9"/>
            </w:pPr>
            <w:r>
              <w:rPr>
                <w:rFonts w:hint="eastAsia"/>
              </w:rPr>
              <w:t>桤木</w:t>
            </w:r>
          </w:p>
        </w:tc>
        <w:tc>
          <w:tcPr>
            <w:tcW w:w="1800" w:type="dxa"/>
            <w:tcBorders>
              <w:tl2br w:val="nil"/>
              <w:tr2bl w:val="nil"/>
            </w:tcBorders>
            <w:vAlign w:val="center"/>
          </w:tcPr>
          <w:p w:rsidR="008E4D92" w:rsidRDefault="008B068A">
            <w:pPr>
              <w:pStyle w:val="af9"/>
            </w:pPr>
            <w:r>
              <w:t>Alnus cremastogyne Burk.</w:t>
            </w:r>
          </w:p>
        </w:tc>
        <w:tc>
          <w:tcPr>
            <w:tcW w:w="5806" w:type="dxa"/>
            <w:tcBorders>
              <w:tl2br w:val="nil"/>
              <w:tr2bl w:val="nil"/>
            </w:tcBorders>
            <w:vAlign w:val="center"/>
          </w:tcPr>
          <w:p w:rsidR="008E4D92" w:rsidRDefault="008B068A">
            <w:pPr>
              <w:pStyle w:val="af9"/>
            </w:pPr>
            <w:r>
              <w:rPr>
                <w:rFonts w:hint="eastAsia"/>
              </w:rPr>
              <w:t>常绿乔木，喜光，稍耐水湿，侧方庇荫，侧根发达，喜温湿，耐寒性差，能在钙质土上生长，是紫色土页岩钙质土、石灰岩山地钙质土的主要针叶树种。</w:t>
            </w:r>
          </w:p>
        </w:tc>
      </w:tr>
      <w:tr w:rsidR="008E4D92">
        <w:trPr>
          <w:trHeight w:val="247"/>
          <w:jc w:val="center"/>
        </w:trPr>
        <w:tc>
          <w:tcPr>
            <w:tcW w:w="916" w:type="dxa"/>
            <w:tcBorders>
              <w:tl2br w:val="nil"/>
              <w:tr2bl w:val="nil"/>
            </w:tcBorders>
            <w:vAlign w:val="center"/>
          </w:tcPr>
          <w:p w:rsidR="008E4D92" w:rsidRDefault="008B068A">
            <w:pPr>
              <w:pStyle w:val="af9"/>
            </w:pPr>
            <w:r>
              <w:rPr>
                <w:rFonts w:hint="eastAsia"/>
              </w:rPr>
              <w:t>小叶榕</w:t>
            </w:r>
          </w:p>
        </w:tc>
        <w:tc>
          <w:tcPr>
            <w:tcW w:w="1800" w:type="dxa"/>
            <w:tcBorders>
              <w:tl2br w:val="nil"/>
              <w:tr2bl w:val="nil"/>
            </w:tcBorders>
            <w:vAlign w:val="center"/>
          </w:tcPr>
          <w:p w:rsidR="008E4D92" w:rsidRDefault="008B068A">
            <w:pPr>
              <w:pStyle w:val="af9"/>
            </w:pPr>
            <w:r>
              <w:t>Ficus microcarpa var.pusillifolia</w:t>
            </w:r>
          </w:p>
        </w:tc>
        <w:tc>
          <w:tcPr>
            <w:tcW w:w="5806" w:type="dxa"/>
            <w:tcBorders>
              <w:tl2br w:val="nil"/>
              <w:tr2bl w:val="nil"/>
            </w:tcBorders>
            <w:vAlign w:val="center"/>
          </w:tcPr>
          <w:p w:rsidR="008E4D92" w:rsidRDefault="008B068A">
            <w:pPr>
              <w:pStyle w:val="af9"/>
            </w:pPr>
            <w:r>
              <w:rPr>
                <w:rFonts w:hint="eastAsia"/>
              </w:rPr>
              <w:t>小叶榕是常绿小乔木。树冠伞形或圆形。高度</w:t>
            </w:r>
            <w:r>
              <w:t>×</w:t>
            </w:r>
            <w:r>
              <w:rPr>
                <w:rFonts w:hint="eastAsia"/>
              </w:rPr>
              <w:t>冠幅：榕树</w:t>
            </w:r>
            <w:r>
              <w:t>20m×15m</w:t>
            </w:r>
            <w:r>
              <w:rPr>
                <w:rFonts w:hint="eastAsia"/>
              </w:rPr>
              <w:t>。小叶榕</w:t>
            </w:r>
            <w:r>
              <w:t>6m×4m</w:t>
            </w:r>
            <w:r>
              <w:rPr>
                <w:rFonts w:hint="eastAsia"/>
              </w:rPr>
              <w:t>。质感：中色泽：叶色深绿。果实绿转淡红褐色。热带树种，生长中至见快。耐热、怕旱、耐湿、耐瘠、耐阴、耐风、抗污染、耐剪、易移植、寿命长。中国西南部广泛分布，主要作为景观绿化树种。</w:t>
            </w:r>
          </w:p>
        </w:tc>
      </w:tr>
      <w:tr w:rsidR="008E4D92">
        <w:trPr>
          <w:trHeight w:val="247"/>
          <w:jc w:val="center"/>
        </w:trPr>
        <w:tc>
          <w:tcPr>
            <w:tcW w:w="916" w:type="dxa"/>
            <w:tcBorders>
              <w:tl2br w:val="nil"/>
              <w:tr2bl w:val="nil"/>
            </w:tcBorders>
            <w:vAlign w:val="center"/>
          </w:tcPr>
          <w:p w:rsidR="008E4D92" w:rsidRDefault="008B068A">
            <w:pPr>
              <w:pStyle w:val="af9"/>
            </w:pPr>
            <w:r>
              <w:rPr>
                <w:rFonts w:hint="eastAsia"/>
              </w:rPr>
              <w:t>香樟</w:t>
            </w:r>
          </w:p>
        </w:tc>
        <w:tc>
          <w:tcPr>
            <w:tcW w:w="1800" w:type="dxa"/>
            <w:tcBorders>
              <w:tl2br w:val="nil"/>
              <w:tr2bl w:val="nil"/>
            </w:tcBorders>
            <w:vAlign w:val="center"/>
          </w:tcPr>
          <w:p w:rsidR="008E4D92" w:rsidRDefault="008B068A">
            <w:pPr>
              <w:pStyle w:val="af9"/>
            </w:pPr>
            <w:r>
              <w:t>Cinnamomum camphora (L.) Presl.</w:t>
            </w:r>
          </w:p>
        </w:tc>
        <w:tc>
          <w:tcPr>
            <w:tcW w:w="5806" w:type="dxa"/>
            <w:tcBorders>
              <w:tl2br w:val="nil"/>
              <w:tr2bl w:val="nil"/>
            </w:tcBorders>
            <w:vAlign w:val="center"/>
          </w:tcPr>
          <w:p w:rsidR="008E4D92" w:rsidRDefault="008B068A">
            <w:pPr>
              <w:pStyle w:val="af9"/>
            </w:pPr>
            <w:r>
              <w:rPr>
                <w:rFonts w:hint="eastAsia"/>
              </w:rPr>
              <w:t>喜光，稍耐荫；喜温暖湿润气候，耐寒性不强，对土壤要求不严，较耐水湿，但当移植时要注意保持土壤湿度，水涝容易导致烂根缺氧而死，但不耐干旱、瘠薄和盐碱土。主根发达，深根性，能抗风。萌芽力强，耐修剪。生长速度中等，树形巨大如伞，能遮阴避凉。存活期长，可以生长为成百上千年的参天古木，有很强的吸烟滞尘、涵养水源、固土防沙和美化环境的能力。此外抗海潮风及耐烟尘和抗有毒气体能力，并能吸收多种有毒气体，较能适应城市环境。</w:t>
            </w:r>
          </w:p>
        </w:tc>
      </w:tr>
      <w:tr w:rsidR="008E4D92">
        <w:trPr>
          <w:trHeight w:val="247"/>
          <w:jc w:val="center"/>
        </w:trPr>
        <w:tc>
          <w:tcPr>
            <w:tcW w:w="916" w:type="dxa"/>
            <w:tcBorders>
              <w:tl2br w:val="nil"/>
              <w:tr2bl w:val="nil"/>
            </w:tcBorders>
            <w:vAlign w:val="center"/>
          </w:tcPr>
          <w:p w:rsidR="008E4D92" w:rsidRDefault="008B068A">
            <w:pPr>
              <w:pStyle w:val="af9"/>
            </w:pPr>
            <w:r>
              <w:rPr>
                <w:rFonts w:hint="eastAsia"/>
              </w:rPr>
              <w:lastRenderedPageBreak/>
              <w:t>小叶</w:t>
            </w:r>
          </w:p>
          <w:p w:rsidR="008E4D92" w:rsidRDefault="008B068A">
            <w:pPr>
              <w:pStyle w:val="af9"/>
            </w:pPr>
            <w:r>
              <w:rPr>
                <w:rFonts w:hint="eastAsia"/>
              </w:rPr>
              <w:t>女贞</w:t>
            </w:r>
          </w:p>
        </w:tc>
        <w:tc>
          <w:tcPr>
            <w:tcW w:w="1800" w:type="dxa"/>
            <w:tcBorders>
              <w:tl2br w:val="nil"/>
              <w:tr2bl w:val="nil"/>
            </w:tcBorders>
            <w:vAlign w:val="center"/>
          </w:tcPr>
          <w:p w:rsidR="008E4D92" w:rsidRDefault="008B068A">
            <w:pPr>
              <w:pStyle w:val="af9"/>
            </w:pPr>
            <w:r>
              <w:t>Ligustrum quihoui Carr.</w:t>
            </w:r>
          </w:p>
        </w:tc>
        <w:tc>
          <w:tcPr>
            <w:tcW w:w="5806" w:type="dxa"/>
            <w:tcBorders>
              <w:tl2br w:val="nil"/>
              <w:tr2bl w:val="nil"/>
            </w:tcBorders>
            <w:vAlign w:val="center"/>
          </w:tcPr>
          <w:p w:rsidR="008E4D92" w:rsidRDefault="008B068A">
            <w:pPr>
              <w:pStyle w:val="af9"/>
            </w:pPr>
            <w:r>
              <w:rPr>
                <w:rFonts w:hint="eastAsia"/>
              </w:rPr>
              <w:t>落叶或半常绿灌木，喜光，稍耐荫，较耐寒，性强健。西南地区及四川盆地均分布，常用于景观树种。</w:t>
            </w:r>
          </w:p>
        </w:tc>
      </w:tr>
      <w:tr w:rsidR="008E4D92">
        <w:trPr>
          <w:trHeight w:val="1520"/>
          <w:jc w:val="center"/>
        </w:trPr>
        <w:tc>
          <w:tcPr>
            <w:tcW w:w="916" w:type="dxa"/>
            <w:tcBorders>
              <w:tl2br w:val="nil"/>
              <w:tr2bl w:val="nil"/>
            </w:tcBorders>
            <w:vAlign w:val="center"/>
          </w:tcPr>
          <w:p w:rsidR="008E4D92" w:rsidRDefault="008B068A">
            <w:pPr>
              <w:pStyle w:val="af9"/>
            </w:pPr>
            <w:r>
              <w:rPr>
                <w:rFonts w:hint="eastAsia"/>
              </w:rPr>
              <w:t>小叶黄杨</w:t>
            </w:r>
          </w:p>
        </w:tc>
        <w:tc>
          <w:tcPr>
            <w:tcW w:w="1800" w:type="dxa"/>
            <w:tcBorders>
              <w:tl2br w:val="nil"/>
              <w:tr2bl w:val="nil"/>
            </w:tcBorders>
            <w:vAlign w:val="center"/>
          </w:tcPr>
          <w:p w:rsidR="008E4D92" w:rsidRDefault="008B068A">
            <w:pPr>
              <w:pStyle w:val="af9"/>
            </w:pPr>
            <w:r>
              <w:t>Buxus sinica (Rehd. et Wils.) Cheng subsp. sinica var. parvifolia M. Cheng</w:t>
            </w:r>
          </w:p>
        </w:tc>
        <w:tc>
          <w:tcPr>
            <w:tcW w:w="5806" w:type="dxa"/>
            <w:tcBorders>
              <w:tl2br w:val="nil"/>
              <w:tr2bl w:val="nil"/>
            </w:tcBorders>
            <w:vAlign w:val="center"/>
          </w:tcPr>
          <w:p w:rsidR="008E4D92" w:rsidRDefault="008B068A">
            <w:pPr>
              <w:pStyle w:val="af9"/>
            </w:pPr>
            <w:r>
              <w:rPr>
                <w:rFonts w:hint="eastAsia"/>
              </w:rPr>
              <w:t>常绿灌木，高</w:t>
            </w:r>
            <w:r>
              <w:t>2m</w:t>
            </w:r>
            <w:r>
              <w:rPr>
                <w:rFonts w:hint="eastAsia"/>
              </w:rPr>
              <w:t>。茎枝四楞，光滑，密集，小枝节间长</w:t>
            </w:r>
            <w:r>
              <w:t>3~5mm</w:t>
            </w:r>
            <w:r>
              <w:rPr>
                <w:rFonts w:hint="eastAsia"/>
              </w:rPr>
              <w:t>。性喜肥沃湿润土壤，忌酸性土壤。抗逆性强，耐水肥，抗污染，能吸收空气中的二氧化硫等有毒气体，有耐寒，耐盐碱、抗病虫害等许多特性。花期</w:t>
            </w:r>
            <w:r>
              <w:t>3~4</w:t>
            </w:r>
            <w:r>
              <w:rPr>
                <w:rFonts w:hint="eastAsia"/>
              </w:rPr>
              <w:t>月，果期</w:t>
            </w:r>
            <w:r>
              <w:t>8-9</w:t>
            </w:r>
            <w:r>
              <w:rPr>
                <w:rFonts w:hint="eastAsia"/>
              </w:rPr>
              <w:t>月。</w:t>
            </w:r>
          </w:p>
        </w:tc>
      </w:tr>
      <w:tr w:rsidR="008E4D92">
        <w:trPr>
          <w:trHeight w:val="247"/>
          <w:jc w:val="center"/>
        </w:trPr>
        <w:tc>
          <w:tcPr>
            <w:tcW w:w="916" w:type="dxa"/>
            <w:tcBorders>
              <w:tl2br w:val="nil"/>
              <w:tr2bl w:val="nil"/>
            </w:tcBorders>
            <w:vAlign w:val="center"/>
          </w:tcPr>
          <w:p w:rsidR="008E4D92" w:rsidRDefault="008B068A">
            <w:pPr>
              <w:pStyle w:val="af9"/>
            </w:pPr>
            <w:r>
              <w:rPr>
                <w:rFonts w:hint="eastAsia"/>
              </w:rPr>
              <w:t>红花继木</w:t>
            </w:r>
          </w:p>
        </w:tc>
        <w:tc>
          <w:tcPr>
            <w:tcW w:w="1800" w:type="dxa"/>
            <w:tcBorders>
              <w:tl2br w:val="nil"/>
              <w:tr2bl w:val="nil"/>
            </w:tcBorders>
            <w:vAlign w:val="center"/>
          </w:tcPr>
          <w:p w:rsidR="008E4D92" w:rsidRDefault="008B068A">
            <w:pPr>
              <w:pStyle w:val="af9"/>
            </w:pPr>
            <w:r>
              <w:t>Loropetalum chinense var.rubrum</w:t>
            </w:r>
          </w:p>
        </w:tc>
        <w:tc>
          <w:tcPr>
            <w:tcW w:w="5806" w:type="dxa"/>
            <w:tcBorders>
              <w:tl2br w:val="nil"/>
              <w:tr2bl w:val="nil"/>
            </w:tcBorders>
            <w:vAlign w:val="center"/>
          </w:tcPr>
          <w:p w:rsidR="008E4D92" w:rsidRDefault="008B068A">
            <w:pPr>
              <w:pStyle w:val="af9"/>
            </w:pPr>
            <w:r>
              <w:rPr>
                <w:rFonts w:hint="eastAsia"/>
              </w:rPr>
              <w:t>多年生半灌木，作一、二年生栽培，喜光，喜温暖湿润环境，对土壤要求不严，半耐寒或不耐寒。</w:t>
            </w:r>
          </w:p>
        </w:tc>
      </w:tr>
      <w:tr w:rsidR="008E4D92">
        <w:trPr>
          <w:trHeight w:val="306"/>
          <w:jc w:val="center"/>
        </w:trPr>
        <w:tc>
          <w:tcPr>
            <w:tcW w:w="916" w:type="dxa"/>
            <w:tcBorders>
              <w:tl2br w:val="nil"/>
              <w:tr2bl w:val="nil"/>
            </w:tcBorders>
            <w:vAlign w:val="center"/>
          </w:tcPr>
          <w:p w:rsidR="008E4D92" w:rsidRDefault="008B068A">
            <w:pPr>
              <w:pStyle w:val="af9"/>
            </w:pPr>
            <w:r>
              <w:rPr>
                <w:rFonts w:hint="eastAsia"/>
              </w:rPr>
              <w:t>麦冬草</w:t>
            </w:r>
          </w:p>
        </w:tc>
        <w:tc>
          <w:tcPr>
            <w:tcW w:w="1800" w:type="dxa"/>
            <w:tcBorders>
              <w:tl2br w:val="nil"/>
              <w:tr2bl w:val="nil"/>
            </w:tcBorders>
            <w:vAlign w:val="center"/>
          </w:tcPr>
          <w:p w:rsidR="008E4D92" w:rsidRDefault="008B068A">
            <w:pPr>
              <w:pStyle w:val="af9"/>
            </w:pPr>
            <w:r>
              <w:t>Ophiopogogon japonicus</w:t>
            </w:r>
            <w:r>
              <w:rPr>
                <w:rFonts w:hint="eastAsia"/>
              </w:rPr>
              <w:t>（</w:t>
            </w:r>
            <w:r>
              <w:t>L</w:t>
            </w:r>
            <w:r>
              <w:rPr>
                <w:rFonts w:hint="eastAsia"/>
              </w:rPr>
              <w:t>．</w:t>
            </w:r>
            <w:r>
              <w:t>f</w:t>
            </w:r>
            <w:r>
              <w:rPr>
                <w:rFonts w:hint="eastAsia"/>
              </w:rPr>
              <w:t>．）</w:t>
            </w:r>
            <w:r>
              <w:t>Ker-Gawl</w:t>
            </w:r>
            <w:r>
              <w:rPr>
                <w:rFonts w:hint="eastAsia"/>
              </w:rPr>
              <w:t>．</w:t>
            </w:r>
          </w:p>
        </w:tc>
        <w:tc>
          <w:tcPr>
            <w:tcW w:w="5806" w:type="dxa"/>
            <w:tcBorders>
              <w:tl2br w:val="nil"/>
              <w:tr2bl w:val="nil"/>
            </w:tcBorders>
            <w:vAlign w:val="center"/>
          </w:tcPr>
          <w:p w:rsidR="008E4D92" w:rsidRDefault="008B068A">
            <w:pPr>
              <w:pStyle w:val="af9"/>
            </w:pPr>
            <w:r>
              <w:rPr>
                <w:rFonts w:hint="eastAsia"/>
              </w:rPr>
              <w:t>麦冬喜温暖湿润、较荫蔽的环境。耐寒，忌强光和高温，</w:t>
            </w:r>
            <w:r>
              <w:t>7</w:t>
            </w:r>
            <w:r>
              <w:rPr>
                <w:rFonts w:hint="eastAsia"/>
              </w:rPr>
              <w:t>月见花时，地下块根开始形成，</w:t>
            </w:r>
            <w:r>
              <w:t>9</w:t>
            </w:r>
            <w:r>
              <w:rPr>
                <w:rFonts w:hint="eastAsia"/>
              </w:rPr>
              <w:t>－</w:t>
            </w:r>
            <w:r>
              <w:t>10</w:t>
            </w:r>
            <w:r>
              <w:rPr>
                <w:rFonts w:hint="eastAsia"/>
              </w:rPr>
              <w:t>月为发根盛期，储存种子，注意时间，长期存储会导致种子活性降低，播种不理想。麦冬草冬季常绿，全年不落叶，是重要的药材和绿化植物。</w:t>
            </w:r>
          </w:p>
        </w:tc>
      </w:tr>
      <w:tr w:rsidR="008E4D92">
        <w:trPr>
          <w:trHeight w:val="306"/>
          <w:jc w:val="center"/>
        </w:trPr>
        <w:tc>
          <w:tcPr>
            <w:tcW w:w="916" w:type="dxa"/>
            <w:tcBorders>
              <w:tl2br w:val="nil"/>
              <w:tr2bl w:val="nil"/>
            </w:tcBorders>
            <w:vAlign w:val="center"/>
          </w:tcPr>
          <w:p w:rsidR="008E4D92" w:rsidRDefault="008B068A">
            <w:pPr>
              <w:pStyle w:val="af9"/>
            </w:pPr>
            <w:r>
              <w:rPr>
                <w:rFonts w:hint="eastAsia"/>
              </w:rPr>
              <w:t>三叶草</w:t>
            </w:r>
          </w:p>
        </w:tc>
        <w:tc>
          <w:tcPr>
            <w:tcW w:w="1800" w:type="dxa"/>
            <w:tcBorders>
              <w:tl2br w:val="nil"/>
              <w:tr2bl w:val="nil"/>
            </w:tcBorders>
            <w:vAlign w:val="center"/>
          </w:tcPr>
          <w:p w:rsidR="008E4D92" w:rsidRDefault="008B068A">
            <w:pPr>
              <w:pStyle w:val="af9"/>
            </w:pPr>
            <w:r>
              <w:t>Trifolium</w:t>
            </w:r>
          </w:p>
        </w:tc>
        <w:tc>
          <w:tcPr>
            <w:tcW w:w="5806" w:type="dxa"/>
            <w:tcBorders>
              <w:tl2br w:val="nil"/>
              <w:tr2bl w:val="nil"/>
            </w:tcBorders>
            <w:vAlign w:val="center"/>
          </w:tcPr>
          <w:p w:rsidR="008E4D92" w:rsidRDefault="008B068A">
            <w:pPr>
              <w:pStyle w:val="af9"/>
            </w:pPr>
            <w:r>
              <w:rPr>
                <w:rFonts w:hint="eastAsia"/>
              </w:rPr>
              <w:t>小叶型、耐热、耐瘠、观赏优美，低矮、抗寒。种子活力强、深绿、新绿化草种。成坪快、固土能力强。西南地区及四川盆地均有不同面积的分布。</w:t>
            </w:r>
          </w:p>
        </w:tc>
      </w:tr>
    </w:tbl>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4</w:t>
      </w:r>
      <w:r>
        <w:rPr>
          <w:rFonts w:ascii="Times New Roman" w:hint="eastAsia"/>
          <w:sz w:val="24"/>
          <w:szCs w:val="16"/>
        </w:rPr>
        <w:t>、施工管理措施</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借鉴本项目及同类型项目建设成功的施工管理措施及经验，树立按</w:t>
      </w:r>
      <w:r>
        <w:rPr>
          <w:rFonts w:ascii="Times New Roman"/>
          <w:sz w:val="24"/>
          <w:szCs w:val="16"/>
        </w:rPr>
        <w:t>“</w:t>
      </w:r>
      <w:r>
        <w:rPr>
          <w:rFonts w:ascii="Times New Roman" w:hint="eastAsia"/>
          <w:sz w:val="24"/>
          <w:szCs w:val="16"/>
        </w:rPr>
        <w:t>规范</w:t>
      </w:r>
      <w:r>
        <w:rPr>
          <w:rFonts w:ascii="Times New Roman"/>
          <w:sz w:val="24"/>
          <w:szCs w:val="16"/>
        </w:rPr>
        <w:t>”</w:t>
      </w:r>
      <w:r>
        <w:rPr>
          <w:rFonts w:ascii="Times New Roman" w:hint="eastAsia"/>
          <w:sz w:val="24"/>
          <w:szCs w:val="16"/>
        </w:rPr>
        <w:t>和</w:t>
      </w:r>
      <w:r>
        <w:rPr>
          <w:rFonts w:ascii="Times New Roman"/>
          <w:sz w:val="24"/>
          <w:szCs w:val="16"/>
        </w:rPr>
        <w:t>“</w:t>
      </w:r>
      <w:r>
        <w:rPr>
          <w:rFonts w:ascii="Times New Roman" w:hint="eastAsia"/>
          <w:sz w:val="24"/>
          <w:szCs w:val="16"/>
        </w:rPr>
        <w:t>惯例</w:t>
      </w:r>
      <w:r>
        <w:rPr>
          <w:rFonts w:ascii="Times New Roman"/>
          <w:sz w:val="24"/>
          <w:szCs w:val="16"/>
        </w:rPr>
        <w:t>”</w:t>
      </w:r>
      <w:r>
        <w:rPr>
          <w:rFonts w:ascii="Times New Roman" w:hint="eastAsia"/>
          <w:sz w:val="24"/>
          <w:szCs w:val="16"/>
        </w:rPr>
        <w:t>运作的观念，建立</w:t>
      </w:r>
      <w:r>
        <w:rPr>
          <w:rFonts w:ascii="Times New Roman"/>
          <w:sz w:val="24"/>
          <w:szCs w:val="16"/>
        </w:rPr>
        <w:t>“</w:t>
      </w:r>
      <w:r>
        <w:rPr>
          <w:rFonts w:ascii="Times New Roman" w:hint="eastAsia"/>
          <w:sz w:val="24"/>
          <w:szCs w:val="16"/>
        </w:rPr>
        <w:t>工程监理制和业主代表驻地制相结合</w:t>
      </w:r>
      <w:r>
        <w:rPr>
          <w:rFonts w:ascii="Times New Roman"/>
          <w:sz w:val="24"/>
          <w:szCs w:val="16"/>
        </w:rPr>
        <w:t>”</w:t>
      </w:r>
      <w:r>
        <w:rPr>
          <w:rFonts w:ascii="Times New Roman" w:hint="eastAsia"/>
          <w:sz w:val="24"/>
          <w:szCs w:val="16"/>
        </w:rPr>
        <w:t>的管理模式。具体做法是：在施工阶段将作好水土保持工作明确写入施工合同中，利用各种奖惩措施促使施工单位采取科学、合理的施工工艺，保证项目建设影响范围内的土体稳定性，搞好项目建设自身的水土保持工作，尽量减少扰动地表面积，从现场施工尽量减少工程带来的水土流失影响。</w:t>
      </w:r>
    </w:p>
    <w:p w:rsidR="008E4D92" w:rsidRDefault="008B068A">
      <w:pPr>
        <w:pStyle w:val="BZDL1"/>
        <w:spacing w:beforeLines="0" w:before="0" w:afterLines="0" w:after="0" w:line="360" w:lineRule="auto"/>
        <w:ind w:firstLine="480"/>
        <w:rPr>
          <w:rFonts w:ascii="Times New Roman"/>
          <w:sz w:val="24"/>
          <w:szCs w:val="16"/>
        </w:rPr>
      </w:pPr>
      <w:r>
        <w:rPr>
          <w:rFonts w:ascii="Times New Roman" w:hint="eastAsia"/>
          <w:sz w:val="24"/>
          <w:szCs w:val="16"/>
        </w:rPr>
        <w:t>以下为类似工程水土保持措施实景图片，对本项目具有借鉴意义。</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0"/>
        <w:gridCol w:w="4260"/>
      </w:tblGrid>
      <w:tr w:rsidR="008E4D92">
        <w:trPr>
          <w:trHeight w:val="20"/>
        </w:trPr>
        <w:tc>
          <w:tcPr>
            <w:tcW w:w="4260" w:type="dxa"/>
            <w:tcBorders>
              <w:top w:val="single" w:sz="4" w:space="0" w:color="000000"/>
              <w:left w:val="single" w:sz="4" w:space="0" w:color="000000"/>
              <w:bottom w:val="single" w:sz="4" w:space="0" w:color="000000"/>
              <w:right w:val="single" w:sz="4" w:space="0" w:color="000000"/>
            </w:tcBorders>
          </w:tcPr>
          <w:p w:rsidR="008E4D92" w:rsidRDefault="008B068A">
            <w:pPr>
              <w:widowControl/>
              <w:jc w:val="center"/>
              <w:rPr>
                <w:b/>
                <w:szCs w:val="24"/>
              </w:rPr>
            </w:pPr>
            <w:r>
              <w:rPr>
                <w:rFonts w:ascii="Calibri" w:eastAsia="宋体" w:hAnsi="Calibri"/>
                <w:noProof/>
                <w:sz w:val="21"/>
              </w:rPr>
              <w:drawing>
                <wp:inline distT="0" distB="0" distL="0" distR="0">
                  <wp:extent cx="2558415" cy="194881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58415" cy="1948815"/>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1  </w:t>
            </w:r>
            <w:r>
              <w:rPr>
                <w:rStyle w:val="Char5"/>
                <w:rFonts w:hint="eastAsia"/>
              </w:rPr>
              <w:t>密目网苫盖</w:t>
            </w:r>
          </w:p>
        </w:tc>
        <w:tc>
          <w:tcPr>
            <w:tcW w:w="4260" w:type="dxa"/>
            <w:tcBorders>
              <w:top w:val="single" w:sz="4" w:space="0" w:color="000000"/>
              <w:left w:val="single" w:sz="4" w:space="0" w:color="000000"/>
              <w:bottom w:val="single" w:sz="4" w:space="0" w:color="000000"/>
              <w:right w:val="single" w:sz="4" w:space="0" w:color="000000"/>
            </w:tcBorders>
          </w:tcPr>
          <w:p w:rsidR="008E4D92" w:rsidRDefault="008B068A">
            <w:pPr>
              <w:widowControl/>
              <w:jc w:val="center"/>
              <w:rPr>
                <w:b/>
                <w:szCs w:val="24"/>
              </w:rPr>
            </w:pPr>
            <w:r>
              <w:rPr>
                <w:noProof/>
              </w:rPr>
              <w:drawing>
                <wp:inline distT="0" distB="0" distL="0" distR="0">
                  <wp:extent cx="2558415" cy="19488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558415" cy="1948815"/>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2  </w:t>
            </w:r>
            <w:r>
              <w:rPr>
                <w:rStyle w:val="Char5"/>
                <w:rFonts w:hint="eastAsia"/>
              </w:rPr>
              <w:t>防雨布苫盖及土袋拦挡</w:t>
            </w:r>
          </w:p>
        </w:tc>
      </w:tr>
      <w:tr w:rsidR="008E4D92">
        <w:trPr>
          <w:trHeight w:val="20"/>
        </w:trPr>
        <w:tc>
          <w:tcPr>
            <w:tcW w:w="4260" w:type="dxa"/>
            <w:tcBorders>
              <w:top w:val="single" w:sz="4" w:space="0" w:color="000000"/>
              <w:left w:val="single" w:sz="4" w:space="0" w:color="000000"/>
              <w:bottom w:val="single" w:sz="4" w:space="0" w:color="000000"/>
              <w:right w:val="single" w:sz="4" w:space="0" w:color="000000"/>
            </w:tcBorders>
          </w:tcPr>
          <w:p w:rsidR="008E4D92" w:rsidRDefault="008B068A">
            <w:pPr>
              <w:widowControl/>
              <w:jc w:val="center"/>
              <w:rPr>
                <w:b/>
                <w:szCs w:val="24"/>
              </w:rPr>
            </w:pPr>
            <w:r>
              <w:rPr>
                <w:b/>
                <w:noProof/>
                <w:szCs w:val="24"/>
              </w:rPr>
              <w:lastRenderedPageBreak/>
              <w:drawing>
                <wp:inline distT="0" distB="0" distL="0" distR="0">
                  <wp:extent cx="2558415" cy="1905000"/>
                  <wp:effectExtent l="0" t="0" r="0" b="0"/>
                  <wp:docPr id="8" name="图片 8" descr="说明: Q1_~{RZPDX((EORS3C}@)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说明: Q1_~{RZPDX((EORS3C}@)M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58415" cy="1905000"/>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3  </w:t>
            </w:r>
            <w:r>
              <w:rPr>
                <w:rStyle w:val="Char5"/>
                <w:rFonts w:hint="eastAsia"/>
              </w:rPr>
              <w:t>集水坑</w:t>
            </w:r>
          </w:p>
        </w:tc>
        <w:tc>
          <w:tcPr>
            <w:tcW w:w="4260" w:type="dxa"/>
            <w:tcBorders>
              <w:top w:val="single" w:sz="4" w:space="0" w:color="000000"/>
              <w:left w:val="single" w:sz="4" w:space="0" w:color="000000"/>
              <w:bottom w:val="single" w:sz="4" w:space="0" w:color="000000"/>
              <w:right w:val="single" w:sz="4" w:space="0" w:color="000000"/>
            </w:tcBorders>
          </w:tcPr>
          <w:p w:rsidR="008E4D92" w:rsidRDefault="008B068A">
            <w:pPr>
              <w:widowControl/>
              <w:jc w:val="center"/>
              <w:rPr>
                <w:b/>
                <w:szCs w:val="24"/>
              </w:rPr>
            </w:pPr>
            <w:r>
              <w:rPr>
                <w:b/>
                <w:noProof/>
                <w:szCs w:val="24"/>
              </w:rPr>
              <w:drawing>
                <wp:inline distT="0" distB="0" distL="0" distR="0">
                  <wp:extent cx="2558415" cy="1926590"/>
                  <wp:effectExtent l="0" t="0" r="0" b="0"/>
                  <wp:docPr id="6" name="图片 6" descr="说明: V%TWWO6{XM2Z6PAVC[I[3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说明: V%TWWO6{XM2Z6PAVC[I[3Z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558415" cy="1926590"/>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4  </w:t>
            </w:r>
            <w:r>
              <w:rPr>
                <w:rStyle w:val="Char5"/>
                <w:rFonts w:hint="eastAsia"/>
              </w:rPr>
              <w:t>临时排水沟</w:t>
            </w:r>
          </w:p>
        </w:tc>
      </w:tr>
    </w:tbl>
    <w:p w:rsidR="008E4D92" w:rsidRDefault="008B068A">
      <w:pPr>
        <w:pStyle w:val="1"/>
        <w:jc w:val="center"/>
      </w:pPr>
      <w:bookmarkStart w:id="115" w:name="_Toc61601206"/>
      <w:bookmarkStart w:id="116" w:name="_Toc61602703"/>
      <w:bookmarkStart w:id="117" w:name="_Toc15185"/>
      <w:bookmarkEnd w:id="81"/>
      <w:bookmarkEnd w:id="82"/>
      <w:bookmarkEnd w:id="83"/>
      <w:bookmarkEnd w:id="84"/>
      <w:bookmarkEnd w:id="85"/>
      <w:r>
        <w:t>3</w:t>
      </w:r>
      <w:r>
        <w:t>水土流失防治责任范围</w:t>
      </w:r>
      <w:r>
        <w:rPr>
          <w:rFonts w:hint="eastAsia"/>
        </w:rPr>
        <w:t>及防治分区</w:t>
      </w:r>
      <w:bookmarkEnd w:id="115"/>
      <w:bookmarkEnd w:id="116"/>
      <w:bookmarkEnd w:id="117"/>
    </w:p>
    <w:p w:rsidR="008E4D92" w:rsidRDefault="008B068A">
      <w:pPr>
        <w:pStyle w:val="2"/>
        <w:rPr>
          <w:szCs w:val="30"/>
        </w:rPr>
      </w:pPr>
      <w:bookmarkStart w:id="118" w:name="_Toc61602704"/>
      <w:bookmarkStart w:id="119" w:name="_Toc61601207"/>
      <w:bookmarkStart w:id="120" w:name="_Toc21735"/>
      <w:r>
        <w:rPr>
          <w:rFonts w:hint="eastAsia"/>
          <w:szCs w:val="30"/>
        </w:rPr>
        <w:t>3</w:t>
      </w:r>
      <w:r>
        <w:rPr>
          <w:szCs w:val="30"/>
        </w:rPr>
        <w:t>.1</w:t>
      </w:r>
      <w:r>
        <w:rPr>
          <w:rFonts w:hint="eastAsia"/>
          <w:szCs w:val="30"/>
        </w:rPr>
        <w:t>水土流失防治责任范围</w:t>
      </w:r>
      <w:bookmarkEnd w:id="118"/>
      <w:bookmarkEnd w:id="119"/>
      <w:bookmarkEnd w:id="120"/>
    </w:p>
    <w:p w:rsidR="008E4D92" w:rsidRDefault="008B068A">
      <w:pPr>
        <w:adjustRightInd/>
        <w:snapToGrid/>
        <w:spacing w:line="360" w:lineRule="auto"/>
        <w:ind w:firstLine="560"/>
        <w:rPr>
          <w:szCs w:val="24"/>
        </w:rPr>
      </w:pPr>
      <w:r>
        <w:rPr>
          <w:rFonts w:hint="eastAsia"/>
          <w:szCs w:val="24"/>
        </w:rPr>
        <w:t>项目水土流失防治责任范围主要包括项目永久占地、临时占地、租赁土地、管辖范围等土地权属明确需由建设单位对其区域内的水土流失进行预防或治理的范围。根据对本项目的布置、施工特点、水土流失特征分析，本项目全部为永久占地，因此确定本项目水土流失防治责任范围总面积</w:t>
      </w:r>
      <w:r>
        <w:rPr>
          <w:rFonts w:hint="eastAsia"/>
          <w:szCs w:val="24"/>
        </w:rPr>
        <w:t>1.31hm2</w:t>
      </w:r>
      <w:r>
        <w:rPr>
          <w:rFonts w:hint="eastAsia"/>
          <w:szCs w:val="24"/>
        </w:rPr>
        <w:t>。</w:t>
      </w:r>
    </w:p>
    <w:p w:rsidR="008E4D92" w:rsidRDefault="008B068A">
      <w:pPr>
        <w:pStyle w:val="2"/>
        <w:rPr>
          <w:szCs w:val="30"/>
        </w:rPr>
      </w:pPr>
      <w:bookmarkStart w:id="121" w:name="_Toc61601208"/>
      <w:bookmarkStart w:id="122" w:name="_Toc61602705"/>
      <w:bookmarkStart w:id="123" w:name="_Toc24838"/>
      <w:r>
        <w:rPr>
          <w:rFonts w:hint="eastAsia"/>
          <w:szCs w:val="30"/>
        </w:rPr>
        <w:t>3</w:t>
      </w:r>
      <w:r>
        <w:rPr>
          <w:szCs w:val="30"/>
        </w:rPr>
        <w:t>.</w:t>
      </w:r>
      <w:r>
        <w:rPr>
          <w:rFonts w:hint="eastAsia"/>
          <w:szCs w:val="30"/>
        </w:rPr>
        <w:t>2</w:t>
      </w:r>
      <w:r>
        <w:rPr>
          <w:rFonts w:hint="eastAsia"/>
          <w:szCs w:val="30"/>
        </w:rPr>
        <w:t>水土流失防治分区</w:t>
      </w:r>
      <w:bookmarkEnd w:id="121"/>
      <w:bookmarkEnd w:id="122"/>
      <w:bookmarkEnd w:id="123"/>
    </w:p>
    <w:p w:rsidR="008E4D92" w:rsidRDefault="008B068A">
      <w:pPr>
        <w:adjustRightInd/>
        <w:snapToGrid/>
        <w:spacing w:line="360" w:lineRule="auto"/>
        <w:ind w:firstLine="560"/>
        <w:rPr>
          <w:szCs w:val="24"/>
        </w:rPr>
      </w:pPr>
      <w:r>
        <w:rPr>
          <w:szCs w:val="24"/>
        </w:rPr>
        <w:t>根据上述分区原则与依据，结合本项目的特点，将本项目划分成</w:t>
      </w:r>
      <w:r>
        <w:rPr>
          <w:szCs w:val="24"/>
        </w:rPr>
        <w:t>2</w:t>
      </w:r>
      <w:r>
        <w:rPr>
          <w:szCs w:val="24"/>
        </w:rPr>
        <w:t>个水土流失一级防治区，</w:t>
      </w:r>
      <w:r>
        <w:rPr>
          <w:rFonts w:hint="eastAsia"/>
          <w:szCs w:val="24"/>
        </w:rPr>
        <w:t>分别</w:t>
      </w:r>
      <w:r>
        <w:rPr>
          <w:szCs w:val="24"/>
        </w:rPr>
        <w:t>是</w:t>
      </w:r>
      <w:r>
        <w:rPr>
          <w:rFonts w:hint="eastAsia"/>
        </w:rPr>
        <w:t>建构筑物区</w:t>
      </w:r>
      <w:r>
        <w:t>、附属设施区</w:t>
      </w:r>
      <w:r>
        <w:rPr>
          <w:szCs w:val="24"/>
        </w:rPr>
        <w:t>，详见表</w:t>
      </w:r>
      <w:r>
        <w:rPr>
          <w:szCs w:val="24"/>
        </w:rPr>
        <w:t>3-1</w:t>
      </w:r>
      <w:r>
        <w:rPr>
          <w:szCs w:val="24"/>
        </w:rPr>
        <w:t>。根据现场调查，确定本项目水土保持防治责任范围，详见表</w:t>
      </w:r>
      <w:r>
        <w:rPr>
          <w:szCs w:val="24"/>
        </w:rPr>
        <w:t>3-2</w:t>
      </w:r>
      <w:r>
        <w:rPr>
          <w:szCs w:val="24"/>
        </w:rPr>
        <w:t>。</w:t>
      </w:r>
    </w:p>
    <w:p w:rsidR="008E4D92" w:rsidRDefault="008B068A">
      <w:pPr>
        <w:widowControl/>
        <w:autoSpaceDE w:val="0"/>
        <w:autoSpaceDN w:val="0"/>
        <w:adjustRightInd/>
        <w:snapToGrid/>
        <w:jc w:val="center"/>
        <w:rPr>
          <w:b/>
          <w:sz w:val="22"/>
          <w:szCs w:val="22"/>
        </w:rPr>
      </w:pPr>
      <w:r>
        <w:rPr>
          <w:b/>
          <w:sz w:val="22"/>
          <w:szCs w:val="22"/>
        </w:rPr>
        <w:t>表</w:t>
      </w:r>
      <w:r>
        <w:rPr>
          <w:b/>
          <w:sz w:val="22"/>
          <w:szCs w:val="22"/>
        </w:rPr>
        <w:t xml:space="preserve">3-1      </w:t>
      </w:r>
      <w:r>
        <w:rPr>
          <w:b/>
          <w:sz w:val="22"/>
          <w:szCs w:val="22"/>
        </w:rPr>
        <w:t>项目建设区水土流失防治分区表</w:t>
      </w:r>
    </w:p>
    <w:tbl>
      <w:tblPr>
        <w:tblW w:w="8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34"/>
      </w:tblGrid>
      <w:tr w:rsidR="008E4D92">
        <w:trPr>
          <w:trHeight w:hRule="exact" w:val="340"/>
        </w:trPr>
        <w:tc>
          <w:tcPr>
            <w:tcW w:w="8534" w:type="dxa"/>
            <w:tcBorders>
              <w:tl2br w:val="nil"/>
              <w:tr2bl w:val="nil"/>
            </w:tcBorders>
            <w:noWrap/>
            <w:tcMar>
              <w:top w:w="15" w:type="dxa"/>
              <w:left w:w="15" w:type="dxa"/>
              <w:right w:w="15" w:type="dxa"/>
            </w:tcMar>
            <w:vAlign w:val="center"/>
          </w:tcPr>
          <w:p w:rsidR="008E4D92" w:rsidRDefault="008B068A">
            <w:pPr>
              <w:widowControl/>
              <w:jc w:val="center"/>
              <w:textAlignment w:val="center"/>
              <w:rPr>
                <w:sz w:val="20"/>
              </w:rPr>
            </w:pPr>
            <w:r>
              <w:rPr>
                <w:kern w:val="0"/>
                <w:sz w:val="20"/>
                <w:lang w:bidi="ar"/>
              </w:rPr>
              <w:t>项目组成</w:t>
            </w:r>
          </w:p>
        </w:tc>
      </w:tr>
      <w:tr w:rsidR="008E4D92">
        <w:trPr>
          <w:trHeight w:hRule="exact" w:val="340"/>
        </w:trPr>
        <w:tc>
          <w:tcPr>
            <w:tcW w:w="8534" w:type="dxa"/>
            <w:tcBorders>
              <w:tl2br w:val="nil"/>
              <w:tr2bl w:val="nil"/>
            </w:tcBorders>
            <w:noWrap/>
            <w:tcMar>
              <w:top w:w="15" w:type="dxa"/>
              <w:left w:w="15" w:type="dxa"/>
              <w:right w:w="15" w:type="dxa"/>
            </w:tcMar>
            <w:vAlign w:val="center"/>
          </w:tcPr>
          <w:p w:rsidR="008E4D92" w:rsidRDefault="008B068A">
            <w:pPr>
              <w:widowControl/>
              <w:jc w:val="center"/>
              <w:textAlignment w:val="center"/>
              <w:rPr>
                <w:sz w:val="20"/>
              </w:rPr>
            </w:pPr>
            <w:r>
              <w:rPr>
                <w:rFonts w:hint="eastAsia"/>
                <w:kern w:val="0"/>
                <w:sz w:val="20"/>
                <w:lang w:bidi="ar"/>
              </w:rPr>
              <w:t>建构筑物区</w:t>
            </w:r>
          </w:p>
        </w:tc>
      </w:tr>
      <w:tr w:rsidR="008E4D92">
        <w:trPr>
          <w:trHeight w:hRule="exact" w:val="340"/>
        </w:trPr>
        <w:tc>
          <w:tcPr>
            <w:tcW w:w="8534" w:type="dxa"/>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0"/>
                <w:lang w:bidi="ar"/>
              </w:rPr>
            </w:pPr>
            <w:r>
              <w:rPr>
                <w:kern w:val="0"/>
                <w:sz w:val="20"/>
                <w:lang w:bidi="ar"/>
              </w:rPr>
              <w:t>附属设施区</w:t>
            </w:r>
          </w:p>
        </w:tc>
      </w:tr>
    </w:tbl>
    <w:p w:rsidR="008E4D92" w:rsidRDefault="008E4D92">
      <w:pPr>
        <w:pStyle w:val="08522"/>
        <w:ind w:firstLine="0"/>
        <w:rPr>
          <w:b/>
          <w:sz w:val="22"/>
          <w:szCs w:val="22"/>
        </w:rPr>
      </w:pPr>
    </w:p>
    <w:p w:rsidR="008E4D92" w:rsidRDefault="008B068A">
      <w:pPr>
        <w:pStyle w:val="08522"/>
        <w:jc w:val="center"/>
        <w:rPr>
          <w:b/>
          <w:sz w:val="22"/>
          <w:szCs w:val="22"/>
        </w:rPr>
      </w:pPr>
      <w:r>
        <w:rPr>
          <w:b/>
          <w:sz w:val="22"/>
          <w:szCs w:val="22"/>
        </w:rPr>
        <w:t>表</w:t>
      </w:r>
      <w:r>
        <w:rPr>
          <w:rFonts w:hint="eastAsia"/>
          <w:b/>
          <w:sz w:val="22"/>
          <w:szCs w:val="22"/>
        </w:rPr>
        <w:t>3</w:t>
      </w:r>
      <w:r>
        <w:rPr>
          <w:b/>
          <w:sz w:val="22"/>
          <w:szCs w:val="22"/>
        </w:rPr>
        <w:t xml:space="preserve">-2    </w:t>
      </w:r>
      <w:r>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71"/>
        <w:gridCol w:w="2260"/>
        <w:gridCol w:w="2261"/>
        <w:gridCol w:w="2263"/>
      </w:tblGrid>
      <w:tr w:rsidR="008E4D92">
        <w:trPr>
          <w:trHeight w:hRule="exact" w:val="415"/>
          <w:jc w:val="center"/>
        </w:trPr>
        <w:tc>
          <w:tcPr>
            <w:tcW w:w="1248" w:type="pct"/>
            <w:vMerge w:val="restart"/>
            <w:tcBorders>
              <w:tl2br w:val="nil"/>
              <w:tr2bl w:val="nil"/>
            </w:tcBorders>
            <w:noWrap/>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小计</w:t>
            </w:r>
          </w:p>
        </w:tc>
        <w:tc>
          <w:tcPr>
            <w:tcW w:w="2501" w:type="pct"/>
            <w:gridSpan w:val="2"/>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水土保持防治责任范围表</w:t>
            </w:r>
          </w:p>
        </w:tc>
      </w:tr>
      <w:tr w:rsidR="008E4D92">
        <w:trPr>
          <w:trHeight w:hRule="exact" w:val="419"/>
          <w:jc w:val="center"/>
        </w:trPr>
        <w:tc>
          <w:tcPr>
            <w:tcW w:w="1248" w:type="pct"/>
            <w:vMerge/>
            <w:tcBorders>
              <w:tl2br w:val="nil"/>
              <w:tr2bl w:val="nil"/>
            </w:tcBorders>
            <w:noWrap/>
            <w:tcMar>
              <w:top w:w="15" w:type="dxa"/>
              <w:left w:w="15" w:type="dxa"/>
              <w:right w:w="15" w:type="dxa"/>
            </w:tcMar>
            <w:vAlign w:val="center"/>
          </w:tcPr>
          <w:p w:rsidR="008E4D92" w:rsidRDefault="008E4D92">
            <w:pPr>
              <w:widowControl/>
              <w:jc w:val="center"/>
              <w:textAlignment w:val="center"/>
              <w:rPr>
                <w:sz w:val="21"/>
                <w:szCs w:val="21"/>
              </w:rPr>
            </w:pPr>
          </w:p>
        </w:tc>
        <w:tc>
          <w:tcPr>
            <w:tcW w:w="1250" w:type="pct"/>
            <w:vMerge/>
            <w:tcBorders>
              <w:tl2br w:val="nil"/>
              <w:tr2bl w:val="nil"/>
            </w:tcBorders>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直接影响区</w:t>
            </w:r>
          </w:p>
        </w:tc>
      </w:tr>
      <w:tr w:rsidR="008E4D92">
        <w:trPr>
          <w:trHeight w:hRule="exact" w:val="427"/>
          <w:jc w:val="center"/>
        </w:trPr>
        <w:tc>
          <w:tcPr>
            <w:tcW w:w="2271" w:type="dxa"/>
            <w:tcBorders>
              <w:tl2br w:val="nil"/>
              <w:tr2bl w:val="nil"/>
            </w:tcBorders>
            <w:noWrap/>
            <w:tcMar>
              <w:top w:w="15" w:type="dxa"/>
              <w:left w:w="15" w:type="dxa"/>
              <w:right w:w="15" w:type="dxa"/>
            </w:tcMar>
            <w:vAlign w:val="center"/>
          </w:tcPr>
          <w:p w:rsidR="008E4D92" w:rsidRDefault="008B068A">
            <w:pPr>
              <w:widowControl/>
              <w:jc w:val="center"/>
              <w:textAlignment w:val="center"/>
              <w:rPr>
                <w:sz w:val="21"/>
                <w:szCs w:val="21"/>
              </w:rPr>
            </w:pPr>
            <w:r>
              <w:rPr>
                <w:rFonts w:hint="eastAsia"/>
                <w:kern w:val="0"/>
                <w:sz w:val="20"/>
                <w:lang w:bidi="ar"/>
              </w:rPr>
              <w:t>建构筑物区</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0.90</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0.90</w:t>
            </w:r>
          </w:p>
        </w:tc>
        <w:tc>
          <w:tcPr>
            <w:tcW w:w="1251"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w:t>
            </w:r>
          </w:p>
        </w:tc>
      </w:tr>
      <w:tr w:rsidR="008E4D92">
        <w:trPr>
          <w:trHeight w:hRule="exact" w:val="575"/>
          <w:jc w:val="center"/>
        </w:trPr>
        <w:tc>
          <w:tcPr>
            <w:tcW w:w="2271" w:type="dxa"/>
            <w:tcBorders>
              <w:tl2br w:val="nil"/>
              <w:tr2bl w:val="nil"/>
            </w:tcBorders>
            <w:noWrap/>
            <w:tcMar>
              <w:top w:w="15" w:type="dxa"/>
              <w:left w:w="15" w:type="dxa"/>
              <w:right w:w="15" w:type="dxa"/>
            </w:tcMar>
            <w:vAlign w:val="center"/>
          </w:tcPr>
          <w:p w:rsidR="008E4D92" w:rsidRDefault="008B068A">
            <w:pPr>
              <w:widowControl/>
              <w:jc w:val="center"/>
              <w:textAlignment w:val="center"/>
              <w:rPr>
                <w:sz w:val="21"/>
                <w:szCs w:val="21"/>
              </w:rPr>
            </w:pPr>
            <w:r>
              <w:rPr>
                <w:kern w:val="0"/>
                <w:sz w:val="20"/>
                <w:lang w:bidi="ar"/>
              </w:rPr>
              <w:t>附属设施区</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0.41</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0.41</w:t>
            </w:r>
          </w:p>
        </w:tc>
        <w:tc>
          <w:tcPr>
            <w:tcW w:w="1251"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w:t>
            </w:r>
          </w:p>
        </w:tc>
      </w:tr>
      <w:tr w:rsidR="008E4D92">
        <w:trPr>
          <w:trHeight w:hRule="exact" w:val="412"/>
          <w:jc w:val="center"/>
        </w:trPr>
        <w:tc>
          <w:tcPr>
            <w:tcW w:w="0" w:type="auto"/>
            <w:vAlign w:val="center"/>
          </w:tcPr>
          <w:p w:rsidR="008E4D92" w:rsidRDefault="008B068A">
            <w:pPr>
              <w:widowControl/>
              <w:jc w:val="center"/>
              <w:textAlignment w:val="center"/>
              <w:rPr>
                <w:sz w:val="21"/>
                <w:szCs w:val="21"/>
              </w:rPr>
            </w:pPr>
            <w:r>
              <w:rPr>
                <w:sz w:val="21"/>
                <w:szCs w:val="21"/>
              </w:rPr>
              <w:t>合计</w:t>
            </w:r>
          </w:p>
        </w:tc>
        <w:tc>
          <w:tcPr>
            <w:tcW w:w="0" w:type="auto"/>
            <w:vAlign w:val="center"/>
          </w:tcPr>
          <w:p w:rsidR="008E4D92" w:rsidRDefault="008B068A">
            <w:pPr>
              <w:widowControl/>
              <w:jc w:val="center"/>
              <w:textAlignment w:val="center"/>
              <w:rPr>
                <w:bCs/>
                <w:kern w:val="0"/>
                <w:sz w:val="21"/>
                <w:szCs w:val="21"/>
              </w:rPr>
            </w:pPr>
            <w:r>
              <w:rPr>
                <w:kern w:val="0"/>
                <w:sz w:val="21"/>
                <w:szCs w:val="21"/>
                <w:lang w:bidi="ar"/>
              </w:rPr>
              <w:t>1.31</w:t>
            </w:r>
          </w:p>
        </w:tc>
        <w:tc>
          <w:tcPr>
            <w:tcW w:w="0" w:type="auto"/>
            <w:vAlign w:val="center"/>
          </w:tcPr>
          <w:p w:rsidR="008E4D92" w:rsidRDefault="008B068A">
            <w:pPr>
              <w:widowControl/>
              <w:jc w:val="center"/>
              <w:textAlignment w:val="center"/>
              <w:rPr>
                <w:bCs/>
                <w:kern w:val="0"/>
                <w:sz w:val="21"/>
                <w:szCs w:val="21"/>
              </w:rPr>
            </w:pPr>
            <w:r>
              <w:rPr>
                <w:kern w:val="0"/>
                <w:sz w:val="21"/>
                <w:szCs w:val="21"/>
                <w:lang w:bidi="ar"/>
              </w:rPr>
              <w:t>1.31</w:t>
            </w:r>
          </w:p>
        </w:tc>
        <w:tc>
          <w:tcPr>
            <w:tcW w:w="0" w:type="auto"/>
            <w:vAlign w:val="center"/>
          </w:tcPr>
          <w:p w:rsidR="008E4D92" w:rsidRDefault="008B068A">
            <w:pPr>
              <w:widowControl/>
              <w:jc w:val="center"/>
              <w:textAlignment w:val="center"/>
              <w:rPr>
                <w:kern w:val="0"/>
                <w:sz w:val="21"/>
                <w:szCs w:val="21"/>
                <w:lang w:bidi="ar"/>
              </w:rPr>
            </w:pPr>
            <w:r>
              <w:rPr>
                <w:kern w:val="0"/>
                <w:sz w:val="21"/>
                <w:szCs w:val="21"/>
                <w:lang w:bidi="ar"/>
              </w:rPr>
              <w:t>-</w:t>
            </w:r>
          </w:p>
        </w:tc>
      </w:tr>
    </w:tbl>
    <w:p w:rsidR="008E4D92" w:rsidRDefault="008E4D92"/>
    <w:p w:rsidR="008E4D92" w:rsidRDefault="008B068A">
      <w:pPr>
        <w:widowControl/>
        <w:adjustRightInd/>
        <w:snapToGrid/>
        <w:jc w:val="left"/>
        <w:rPr>
          <w:b/>
          <w:sz w:val="32"/>
        </w:rPr>
      </w:pPr>
      <w:bookmarkStart w:id="124" w:name="_Toc23123"/>
      <w:bookmarkStart w:id="125" w:name="_Toc61602715"/>
      <w:bookmarkStart w:id="126" w:name="_Toc8749"/>
      <w:bookmarkStart w:id="127" w:name="_Toc9130470"/>
      <w:bookmarkStart w:id="128" w:name="_Toc32712"/>
      <w:bookmarkStart w:id="129" w:name="_Toc61601218"/>
      <w:bookmarkStart w:id="130" w:name="_Toc15299"/>
      <w:bookmarkStart w:id="131" w:name="_Toc3658"/>
      <w:r>
        <w:br w:type="page"/>
      </w:r>
    </w:p>
    <w:p w:rsidR="008E4D92" w:rsidRDefault="008B068A">
      <w:pPr>
        <w:pStyle w:val="1"/>
        <w:jc w:val="center"/>
        <w:rPr>
          <w:sz w:val="28"/>
          <w:szCs w:val="18"/>
        </w:rPr>
      </w:pPr>
      <w:bookmarkStart w:id="132" w:name="_Toc18223"/>
      <w:r>
        <w:lastRenderedPageBreak/>
        <w:t>4</w:t>
      </w:r>
      <w:r>
        <w:rPr>
          <w:rFonts w:hint="eastAsia"/>
        </w:rPr>
        <w:t>产生水土流失的环节分析</w:t>
      </w:r>
      <w:bookmarkEnd w:id="132"/>
    </w:p>
    <w:p w:rsidR="008E4D92" w:rsidRDefault="008B068A">
      <w:pPr>
        <w:pStyle w:val="2"/>
      </w:pPr>
      <w:bookmarkStart w:id="133" w:name="_Toc226213350"/>
      <w:bookmarkStart w:id="134" w:name="_Toc240427341"/>
      <w:bookmarkStart w:id="135" w:name="_Toc512027068"/>
      <w:bookmarkStart w:id="136" w:name="_Toc224703215"/>
      <w:bookmarkStart w:id="137" w:name="_Toc16933"/>
      <w:bookmarkStart w:id="138" w:name="_Toc30329"/>
      <w:bookmarkStart w:id="139" w:name="_Toc233512525"/>
      <w:bookmarkStart w:id="140" w:name="_Toc226285116"/>
      <w:bookmarkStart w:id="141" w:name="_Toc228711929"/>
      <w:bookmarkStart w:id="142" w:name="_Toc226280566"/>
      <w:bookmarkStart w:id="143" w:name="_Toc218307290"/>
      <w:bookmarkStart w:id="144" w:name="_Toc30466"/>
      <w:bookmarkStart w:id="145" w:name="_Toc231528693"/>
      <w:bookmarkStart w:id="146" w:name="_Toc227752792"/>
      <w:bookmarkStart w:id="147" w:name="_Toc233456073"/>
      <w:bookmarkStart w:id="148" w:name="_Toc228849326"/>
      <w:bookmarkStart w:id="149" w:name="_Toc231541071"/>
      <w:bookmarkStart w:id="150" w:name="_Toc30100"/>
      <w:bookmarkStart w:id="151" w:name="_Toc12214"/>
      <w:r>
        <w:t>4.1</w:t>
      </w:r>
      <w:r>
        <w:t>水土流失现状</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rsidR="008E4D92" w:rsidRDefault="008B068A">
      <w:pPr>
        <w:pStyle w:val="12"/>
        <w:adjustRightInd/>
        <w:snapToGrid/>
        <w:ind w:firstLine="480"/>
        <w:rPr>
          <w:rFonts w:eastAsia="仿宋_GB2312"/>
        </w:rPr>
      </w:pPr>
      <w:bookmarkStart w:id="152" w:name="_Toc23892"/>
      <w:r>
        <w:rPr>
          <w:rFonts w:eastAsia="仿宋_GB2312"/>
          <w:lang w:val="zh-CN"/>
        </w:rPr>
        <w:t>根据《全国水土保持规划国家级水土流失重点预防区和重点治理区复核划分成果》（办水保</w:t>
      </w:r>
      <w:r>
        <w:rPr>
          <w:rFonts w:eastAsia="仿宋_GB2312"/>
          <w:lang w:val="zh-CN"/>
        </w:rPr>
        <w:t>[2013]88</w:t>
      </w:r>
      <w:r>
        <w:rPr>
          <w:rFonts w:eastAsia="仿宋_GB2312"/>
          <w:lang w:val="zh-CN"/>
        </w:rPr>
        <w:t>号）、《四川省省级水土流失重点预防区和重点治理区划分成果》（川水函</w:t>
      </w:r>
      <w:r>
        <w:rPr>
          <w:rFonts w:eastAsia="仿宋_GB2312"/>
          <w:lang w:val="zh-CN"/>
        </w:rPr>
        <w:t>[2017]482</w:t>
      </w:r>
      <w:r>
        <w:rPr>
          <w:rFonts w:eastAsia="仿宋_GB2312"/>
          <w:lang w:val="zh-CN"/>
        </w:rPr>
        <w:t>号），仪陇县为嘉陵江及沱江中下游国家级水土流失重点治理区。土壤侵蚀类型区为水力侵蚀类型区的西南土石山区中的四川山地丘陵区，土壤容许流失量</w:t>
      </w:r>
      <w:r>
        <w:rPr>
          <w:rFonts w:eastAsia="仿宋_GB2312"/>
          <w:lang w:val="zh-CN"/>
        </w:rPr>
        <w:t>500t/km²·a</w:t>
      </w:r>
      <w:r>
        <w:rPr>
          <w:rFonts w:eastAsia="仿宋_GB2312"/>
          <w:lang w:val="zh-CN"/>
        </w:rPr>
        <w:t>。</w:t>
      </w:r>
      <w:r>
        <w:rPr>
          <w:rFonts w:eastAsia="仿宋_GB2312" w:hint="eastAsia"/>
          <w:lang w:val="zh-CN"/>
        </w:rPr>
        <w:t>项目区原地表土地表侵蚀模数为</w:t>
      </w:r>
      <w:r>
        <w:rPr>
          <w:rFonts w:eastAsia="仿宋_GB2312" w:hint="eastAsia"/>
          <w:lang w:val="zh-CN"/>
        </w:rPr>
        <w:t>5</w:t>
      </w:r>
      <w:r>
        <w:rPr>
          <w:rFonts w:eastAsia="仿宋_GB2312" w:hint="eastAsia"/>
        </w:rPr>
        <w:t>49</w:t>
      </w:r>
      <w:r>
        <w:rPr>
          <w:rFonts w:eastAsia="仿宋_GB2312" w:hint="eastAsia"/>
          <w:lang w:val="zh-CN"/>
        </w:rPr>
        <w:t>t/km2.a</w:t>
      </w:r>
      <w:r>
        <w:rPr>
          <w:rFonts w:eastAsia="仿宋_GB2312" w:hint="eastAsia"/>
          <w:lang w:val="zh-CN"/>
        </w:rPr>
        <w:t>，属于轻度侵蚀。</w:t>
      </w:r>
      <w:r>
        <w:rPr>
          <w:rFonts w:eastAsia="仿宋_GB2312"/>
          <w:lang w:val="zh-CN"/>
        </w:rPr>
        <w:t>工程所在区域水土流失及土壤侵蚀状况见表</w:t>
      </w:r>
      <w:r>
        <w:rPr>
          <w:rFonts w:eastAsia="仿宋_GB2312"/>
        </w:rPr>
        <w:t>4.1</w:t>
      </w:r>
      <w:r>
        <w:rPr>
          <w:rFonts w:eastAsia="仿宋_GB2312"/>
          <w:lang w:val="zh-CN"/>
        </w:rPr>
        <w:noBreakHyphen/>
        <w:t>1</w:t>
      </w:r>
      <w:r>
        <w:rPr>
          <w:rFonts w:eastAsia="仿宋_GB2312"/>
          <w:lang w:val="zh-CN"/>
        </w:rPr>
        <w:t>。</w:t>
      </w:r>
    </w:p>
    <w:p w:rsidR="008E4D92" w:rsidRDefault="008B068A">
      <w:pPr>
        <w:jc w:val="center"/>
        <w:rPr>
          <w:b/>
          <w:bCs/>
          <w:sz w:val="21"/>
        </w:rPr>
      </w:pPr>
      <w:r>
        <w:rPr>
          <w:b/>
          <w:bCs/>
          <w:sz w:val="21"/>
        </w:rPr>
        <w:t>表</w:t>
      </w:r>
      <w:r>
        <w:rPr>
          <w:b/>
          <w:bCs/>
          <w:sz w:val="21"/>
        </w:rPr>
        <w:t xml:space="preserve"> 4.1</w:t>
      </w:r>
      <w:r>
        <w:rPr>
          <w:b/>
          <w:bCs/>
          <w:sz w:val="21"/>
        </w:rPr>
        <w:noBreakHyphen/>
        <w:t xml:space="preserve">1     </w:t>
      </w:r>
      <w:r>
        <w:rPr>
          <w:b/>
          <w:bCs/>
          <w:sz w:val="21"/>
        </w:rPr>
        <w:t>仪陇县水土流失现状表</w:t>
      </w:r>
    </w:p>
    <w:tbl>
      <w:tblPr>
        <w:tblW w:w="0" w:type="auto"/>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2322"/>
        <w:gridCol w:w="2322"/>
        <w:gridCol w:w="2322"/>
        <w:gridCol w:w="2322"/>
      </w:tblGrid>
      <w:tr w:rsidR="008E4D92">
        <w:tc>
          <w:tcPr>
            <w:tcW w:w="2322" w:type="dxa"/>
          </w:tcPr>
          <w:p w:rsidR="008E4D92" w:rsidRDefault="008B068A">
            <w:pPr>
              <w:jc w:val="center"/>
              <w:rPr>
                <w:b/>
                <w:bCs/>
                <w:sz w:val="21"/>
              </w:rPr>
            </w:pPr>
            <w:r>
              <w:rPr>
                <w:rFonts w:hint="eastAsia"/>
                <w:b/>
                <w:bCs/>
                <w:sz w:val="21"/>
              </w:rPr>
              <w:t>侵蚀强度</w:t>
            </w:r>
          </w:p>
        </w:tc>
        <w:tc>
          <w:tcPr>
            <w:tcW w:w="2322" w:type="dxa"/>
          </w:tcPr>
          <w:p w:rsidR="008E4D92" w:rsidRDefault="008B068A">
            <w:pPr>
              <w:jc w:val="center"/>
              <w:rPr>
                <w:b/>
                <w:bCs/>
                <w:sz w:val="21"/>
              </w:rPr>
            </w:pPr>
            <w:r>
              <w:rPr>
                <w:rFonts w:hint="eastAsia"/>
                <w:b/>
                <w:bCs/>
                <w:sz w:val="21"/>
              </w:rPr>
              <w:t>面积</w:t>
            </w:r>
          </w:p>
        </w:tc>
        <w:tc>
          <w:tcPr>
            <w:tcW w:w="2322" w:type="dxa"/>
          </w:tcPr>
          <w:p w:rsidR="008E4D92" w:rsidRDefault="008B068A">
            <w:pPr>
              <w:jc w:val="center"/>
              <w:rPr>
                <w:b/>
                <w:bCs/>
                <w:sz w:val="21"/>
              </w:rPr>
            </w:pPr>
            <w:r>
              <w:rPr>
                <w:rFonts w:hint="eastAsia"/>
                <w:b/>
                <w:bCs/>
                <w:sz w:val="21"/>
              </w:rPr>
              <w:t>占流失面积比</w:t>
            </w:r>
          </w:p>
        </w:tc>
        <w:tc>
          <w:tcPr>
            <w:tcW w:w="2322" w:type="dxa"/>
          </w:tcPr>
          <w:p w:rsidR="008E4D92" w:rsidRDefault="008B068A">
            <w:pPr>
              <w:jc w:val="center"/>
              <w:rPr>
                <w:b/>
                <w:bCs/>
                <w:sz w:val="21"/>
              </w:rPr>
            </w:pPr>
            <w:r>
              <w:rPr>
                <w:rFonts w:hint="eastAsia"/>
                <w:b/>
                <w:bCs/>
                <w:sz w:val="21"/>
              </w:rPr>
              <w:t>占土地面积比</w:t>
            </w:r>
          </w:p>
        </w:tc>
      </w:tr>
      <w:tr w:rsidR="008E4D92">
        <w:tc>
          <w:tcPr>
            <w:tcW w:w="2322" w:type="dxa"/>
          </w:tcPr>
          <w:p w:rsidR="008E4D92" w:rsidRDefault="008B068A">
            <w:pPr>
              <w:jc w:val="center"/>
              <w:rPr>
                <w:b/>
                <w:bCs/>
                <w:sz w:val="21"/>
              </w:rPr>
            </w:pPr>
            <w:r>
              <w:rPr>
                <w:rFonts w:hint="eastAsia"/>
                <w:b/>
                <w:bCs/>
                <w:sz w:val="21"/>
              </w:rPr>
              <w:t>轻度</w:t>
            </w:r>
          </w:p>
        </w:tc>
        <w:tc>
          <w:tcPr>
            <w:tcW w:w="2322" w:type="dxa"/>
          </w:tcPr>
          <w:p w:rsidR="008E4D92" w:rsidRDefault="008B068A">
            <w:pPr>
              <w:jc w:val="center"/>
              <w:rPr>
                <w:b/>
                <w:bCs/>
                <w:sz w:val="21"/>
              </w:rPr>
            </w:pPr>
            <w:r>
              <w:rPr>
                <w:rFonts w:hint="eastAsia"/>
                <w:b/>
                <w:bCs/>
                <w:sz w:val="21"/>
              </w:rPr>
              <w:t>205.67</w:t>
            </w:r>
          </w:p>
        </w:tc>
        <w:tc>
          <w:tcPr>
            <w:tcW w:w="2322" w:type="dxa"/>
          </w:tcPr>
          <w:p w:rsidR="008E4D92" w:rsidRDefault="008B068A">
            <w:pPr>
              <w:jc w:val="center"/>
              <w:rPr>
                <w:b/>
                <w:bCs/>
                <w:sz w:val="21"/>
              </w:rPr>
            </w:pPr>
            <w:r>
              <w:rPr>
                <w:rFonts w:hint="eastAsia"/>
                <w:b/>
                <w:bCs/>
                <w:sz w:val="21"/>
              </w:rPr>
              <w:t>23.75</w:t>
            </w:r>
          </w:p>
        </w:tc>
        <w:tc>
          <w:tcPr>
            <w:tcW w:w="2322" w:type="dxa"/>
          </w:tcPr>
          <w:p w:rsidR="008E4D92" w:rsidRDefault="008B068A">
            <w:pPr>
              <w:jc w:val="center"/>
              <w:rPr>
                <w:b/>
                <w:bCs/>
                <w:sz w:val="21"/>
              </w:rPr>
            </w:pPr>
            <w:r>
              <w:rPr>
                <w:rFonts w:hint="eastAsia"/>
                <w:b/>
                <w:bCs/>
                <w:sz w:val="21"/>
              </w:rPr>
              <w:t>11.48</w:t>
            </w:r>
          </w:p>
        </w:tc>
      </w:tr>
      <w:tr w:rsidR="008E4D92">
        <w:tc>
          <w:tcPr>
            <w:tcW w:w="2322" w:type="dxa"/>
          </w:tcPr>
          <w:p w:rsidR="008E4D92" w:rsidRDefault="008B068A">
            <w:pPr>
              <w:jc w:val="center"/>
              <w:rPr>
                <w:b/>
                <w:bCs/>
                <w:sz w:val="21"/>
              </w:rPr>
            </w:pPr>
            <w:r>
              <w:rPr>
                <w:rFonts w:hint="eastAsia"/>
                <w:b/>
                <w:bCs/>
                <w:sz w:val="21"/>
              </w:rPr>
              <w:t>中度</w:t>
            </w:r>
          </w:p>
        </w:tc>
        <w:tc>
          <w:tcPr>
            <w:tcW w:w="2322" w:type="dxa"/>
          </w:tcPr>
          <w:p w:rsidR="008E4D92" w:rsidRDefault="008B068A">
            <w:pPr>
              <w:jc w:val="center"/>
              <w:rPr>
                <w:b/>
                <w:bCs/>
                <w:sz w:val="21"/>
              </w:rPr>
            </w:pPr>
            <w:r>
              <w:rPr>
                <w:rFonts w:hint="eastAsia"/>
                <w:b/>
                <w:bCs/>
                <w:sz w:val="21"/>
              </w:rPr>
              <w:t>348.22</w:t>
            </w:r>
          </w:p>
        </w:tc>
        <w:tc>
          <w:tcPr>
            <w:tcW w:w="2322" w:type="dxa"/>
          </w:tcPr>
          <w:p w:rsidR="008E4D92" w:rsidRDefault="008B068A">
            <w:pPr>
              <w:jc w:val="center"/>
              <w:rPr>
                <w:b/>
                <w:bCs/>
                <w:sz w:val="21"/>
              </w:rPr>
            </w:pPr>
            <w:r>
              <w:rPr>
                <w:rFonts w:hint="eastAsia"/>
                <w:b/>
                <w:bCs/>
                <w:sz w:val="21"/>
              </w:rPr>
              <w:t>40.22</w:t>
            </w:r>
          </w:p>
        </w:tc>
        <w:tc>
          <w:tcPr>
            <w:tcW w:w="2322" w:type="dxa"/>
          </w:tcPr>
          <w:p w:rsidR="008E4D92" w:rsidRDefault="008B068A">
            <w:pPr>
              <w:jc w:val="center"/>
              <w:rPr>
                <w:b/>
                <w:bCs/>
                <w:sz w:val="21"/>
              </w:rPr>
            </w:pPr>
            <w:r>
              <w:rPr>
                <w:rFonts w:hint="eastAsia"/>
                <w:b/>
                <w:bCs/>
                <w:sz w:val="21"/>
              </w:rPr>
              <w:t>19.45</w:t>
            </w:r>
          </w:p>
        </w:tc>
      </w:tr>
      <w:tr w:rsidR="008E4D92">
        <w:tc>
          <w:tcPr>
            <w:tcW w:w="2322" w:type="dxa"/>
          </w:tcPr>
          <w:p w:rsidR="008E4D92" w:rsidRDefault="008B068A">
            <w:pPr>
              <w:jc w:val="center"/>
              <w:rPr>
                <w:b/>
                <w:bCs/>
                <w:sz w:val="21"/>
              </w:rPr>
            </w:pPr>
            <w:r>
              <w:rPr>
                <w:rFonts w:hint="eastAsia"/>
                <w:b/>
                <w:bCs/>
                <w:sz w:val="21"/>
              </w:rPr>
              <w:t>强烈</w:t>
            </w:r>
          </w:p>
        </w:tc>
        <w:tc>
          <w:tcPr>
            <w:tcW w:w="2322" w:type="dxa"/>
          </w:tcPr>
          <w:p w:rsidR="008E4D92" w:rsidRDefault="008B068A">
            <w:pPr>
              <w:jc w:val="center"/>
              <w:rPr>
                <w:b/>
                <w:bCs/>
                <w:sz w:val="21"/>
              </w:rPr>
            </w:pPr>
            <w:r>
              <w:rPr>
                <w:rFonts w:hint="eastAsia"/>
                <w:b/>
                <w:bCs/>
                <w:sz w:val="21"/>
              </w:rPr>
              <w:t>180.75</w:t>
            </w:r>
          </w:p>
        </w:tc>
        <w:tc>
          <w:tcPr>
            <w:tcW w:w="2322" w:type="dxa"/>
          </w:tcPr>
          <w:p w:rsidR="008E4D92" w:rsidRDefault="008B068A">
            <w:pPr>
              <w:jc w:val="center"/>
              <w:rPr>
                <w:b/>
                <w:bCs/>
                <w:sz w:val="21"/>
              </w:rPr>
            </w:pPr>
            <w:r>
              <w:rPr>
                <w:rFonts w:hint="eastAsia"/>
                <w:b/>
                <w:bCs/>
                <w:sz w:val="21"/>
              </w:rPr>
              <w:t>20.87</w:t>
            </w:r>
          </w:p>
        </w:tc>
        <w:tc>
          <w:tcPr>
            <w:tcW w:w="2322" w:type="dxa"/>
          </w:tcPr>
          <w:p w:rsidR="008E4D92" w:rsidRDefault="008B068A">
            <w:pPr>
              <w:jc w:val="center"/>
              <w:rPr>
                <w:b/>
                <w:bCs/>
                <w:sz w:val="21"/>
              </w:rPr>
            </w:pPr>
            <w:r>
              <w:rPr>
                <w:rFonts w:hint="eastAsia"/>
                <w:b/>
                <w:bCs/>
                <w:sz w:val="21"/>
              </w:rPr>
              <w:t>10.09</w:t>
            </w:r>
          </w:p>
        </w:tc>
      </w:tr>
      <w:tr w:rsidR="008E4D92">
        <w:tc>
          <w:tcPr>
            <w:tcW w:w="2322" w:type="dxa"/>
          </w:tcPr>
          <w:p w:rsidR="008E4D92" w:rsidRDefault="008B068A">
            <w:pPr>
              <w:jc w:val="center"/>
              <w:rPr>
                <w:b/>
                <w:bCs/>
                <w:sz w:val="21"/>
              </w:rPr>
            </w:pPr>
            <w:r>
              <w:rPr>
                <w:rFonts w:hint="eastAsia"/>
                <w:b/>
                <w:bCs/>
                <w:sz w:val="21"/>
              </w:rPr>
              <w:t>极强烈</w:t>
            </w:r>
          </w:p>
        </w:tc>
        <w:tc>
          <w:tcPr>
            <w:tcW w:w="2322" w:type="dxa"/>
          </w:tcPr>
          <w:p w:rsidR="008E4D92" w:rsidRDefault="008B068A">
            <w:pPr>
              <w:jc w:val="center"/>
              <w:rPr>
                <w:b/>
                <w:bCs/>
                <w:sz w:val="21"/>
              </w:rPr>
            </w:pPr>
            <w:r>
              <w:rPr>
                <w:rFonts w:hint="eastAsia"/>
                <w:b/>
                <w:bCs/>
                <w:sz w:val="21"/>
              </w:rPr>
              <w:t>83.45</w:t>
            </w:r>
          </w:p>
        </w:tc>
        <w:tc>
          <w:tcPr>
            <w:tcW w:w="2322" w:type="dxa"/>
          </w:tcPr>
          <w:p w:rsidR="008E4D92" w:rsidRDefault="008B068A">
            <w:pPr>
              <w:jc w:val="center"/>
              <w:rPr>
                <w:b/>
                <w:bCs/>
                <w:sz w:val="21"/>
              </w:rPr>
            </w:pPr>
            <w:r>
              <w:rPr>
                <w:rFonts w:hint="eastAsia"/>
                <w:b/>
                <w:bCs/>
                <w:sz w:val="21"/>
              </w:rPr>
              <w:t>9.64</w:t>
            </w:r>
          </w:p>
        </w:tc>
        <w:tc>
          <w:tcPr>
            <w:tcW w:w="2322" w:type="dxa"/>
          </w:tcPr>
          <w:p w:rsidR="008E4D92" w:rsidRDefault="008B068A">
            <w:pPr>
              <w:jc w:val="center"/>
              <w:rPr>
                <w:b/>
                <w:bCs/>
                <w:sz w:val="21"/>
              </w:rPr>
            </w:pPr>
            <w:r>
              <w:rPr>
                <w:rFonts w:hint="eastAsia"/>
                <w:b/>
                <w:bCs/>
                <w:sz w:val="21"/>
              </w:rPr>
              <w:t>4.66</w:t>
            </w:r>
          </w:p>
        </w:tc>
      </w:tr>
      <w:tr w:rsidR="008E4D92">
        <w:tc>
          <w:tcPr>
            <w:tcW w:w="2322" w:type="dxa"/>
          </w:tcPr>
          <w:p w:rsidR="008E4D92" w:rsidRDefault="008B068A">
            <w:pPr>
              <w:jc w:val="center"/>
              <w:rPr>
                <w:b/>
                <w:bCs/>
                <w:sz w:val="21"/>
              </w:rPr>
            </w:pPr>
            <w:r>
              <w:rPr>
                <w:rFonts w:hint="eastAsia"/>
                <w:b/>
                <w:bCs/>
                <w:sz w:val="21"/>
              </w:rPr>
              <w:t>剧烈</w:t>
            </w:r>
          </w:p>
        </w:tc>
        <w:tc>
          <w:tcPr>
            <w:tcW w:w="2322" w:type="dxa"/>
          </w:tcPr>
          <w:p w:rsidR="008E4D92" w:rsidRDefault="008B068A">
            <w:pPr>
              <w:jc w:val="center"/>
              <w:rPr>
                <w:b/>
                <w:bCs/>
                <w:sz w:val="21"/>
              </w:rPr>
            </w:pPr>
            <w:r>
              <w:rPr>
                <w:rFonts w:hint="eastAsia"/>
                <w:b/>
                <w:bCs/>
                <w:sz w:val="21"/>
              </w:rPr>
              <w:t>47.76</w:t>
            </w:r>
          </w:p>
        </w:tc>
        <w:tc>
          <w:tcPr>
            <w:tcW w:w="2322" w:type="dxa"/>
          </w:tcPr>
          <w:p w:rsidR="008E4D92" w:rsidRDefault="008B068A">
            <w:pPr>
              <w:jc w:val="center"/>
              <w:rPr>
                <w:b/>
                <w:bCs/>
                <w:sz w:val="21"/>
              </w:rPr>
            </w:pPr>
            <w:r>
              <w:rPr>
                <w:rFonts w:hint="eastAsia"/>
                <w:b/>
                <w:bCs/>
                <w:sz w:val="21"/>
              </w:rPr>
              <w:t>5.52</w:t>
            </w:r>
          </w:p>
        </w:tc>
        <w:tc>
          <w:tcPr>
            <w:tcW w:w="2322" w:type="dxa"/>
          </w:tcPr>
          <w:p w:rsidR="008E4D92" w:rsidRDefault="008B068A">
            <w:pPr>
              <w:jc w:val="center"/>
              <w:rPr>
                <w:b/>
                <w:bCs/>
                <w:sz w:val="21"/>
              </w:rPr>
            </w:pPr>
            <w:r>
              <w:rPr>
                <w:rFonts w:hint="eastAsia"/>
                <w:b/>
                <w:bCs/>
                <w:sz w:val="21"/>
              </w:rPr>
              <w:t>2.67</w:t>
            </w:r>
          </w:p>
        </w:tc>
      </w:tr>
      <w:tr w:rsidR="008E4D92">
        <w:tc>
          <w:tcPr>
            <w:tcW w:w="2322" w:type="dxa"/>
          </w:tcPr>
          <w:p w:rsidR="008E4D92" w:rsidRDefault="008B068A">
            <w:pPr>
              <w:jc w:val="center"/>
              <w:rPr>
                <w:b/>
                <w:bCs/>
                <w:sz w:val="21"/>
              </w:rPr>
            </w:pPr>
            <w:r>
              <w:rPr>
                <w:rFonts w:hint="eastAsia"/>
                <w:b/>
                <w:bCs/>
                <w:sz w:val="21"/>
              </w:rPr>
              <w:t>合计</w:t>
            </w:r>
          </w:p>
        </w:tc>
        <w:tc>
          <w:tcPr>
            <w:tcW w:w="2322" w:type="dxa"/>
          </w:tcPr>
          <w:p w:rsidR="008E4D92" w:rsidRDefault="008B068A">
            <w:pPr>
              <w:jc w:val="center"/>
              <w:rPr>
                <w:b/>
                <w:bCs/>
                <w:sz w:val="21"/>
              </w:rPr>
            </w:pPr>
            <w:r>
              <w:rPr>
                <w:rFonts w:hint="eastAsia"/>
                <w:b/>
                <w:bCs/>
                <w:sz w:val="21"/>
              </w:rPr>
              <w:t>865.85</w:t>
            </w:r>
          </w:p>
        </w:tc>
        <w:tc>
          <w:tcPr>
            <w:tcW w:w="2322" w:type="dxa"/>
          </w:tcPr>
          <w:p w:rsidR="008E4D92" w:rsidRDefault="008B068A">
            <w:pPr>
              <w:jc w:val="center"/>
              <w:rPr>
                <w:b/>
                <w:bCs/>
                <w:sz w:val="21"/>
              </w:rPr>
            </w:pPr>
            <w:r>
              <w:rPr>
                <w:rFonts w:hint="eastAsia"/>
                <w:b/>
                <w:bCs/>
                <w:sz w:val="21"/>
              </w:rPr>
              <w:t>100</w:t>
            </w:r>
          </w:p>
        </w:tc>
        <w:tc>
          <w:tcPr>
            <w:tcW w:w="2322" w:type="dxa"/>
          </w:tcPr>
          <w:p w:rsidR="008E4D92" w:rsidRDefault="008B068A">
            <w:pPr>
              <w:jc w:val="center"/>
              <w:rPr>
                <w:b/>
                <w:bCs/>
                <w:sz w:val="21"/>
              </w:rPr>
            </w:pPr>
            <w:r>
              <w:rPr>
                <w:rFonts w:hint="eastAsia"/>
                <w:b/>
                <w:bCs/>
                <w:sz w:val="21"/>
              </w:rPr>
              <w:t>48.35</w:t>
            </w:r>
          </w:p>
        </w:tc>
      </w:tr>
    </w:tbl>
    <w:p w:rsidR="008E4D92" w:rsidRDefault="008B068A">
      <w:pPr>
        <w:rPr>
          <w:b/>
          <w:bCs/>
          <w:sz w:val="21"/>
        </w:rPr>
      </w:pPr>
      <w:r>
        <w:rPr>
          <w:rFonts w:hint="eastAsia"/>
          <w:b/>
          <w:bCs/>
          <w:sz w:val="21"/>
        </w:rPr>
        <w:t>注：以上土地利用现状数据来源于《仪陇县水土保持规划》（</w:t>
      </w:r>
      <w:r>
        <w:rPr>
          <w:rFonts w:hint="eastAsia"/>
          <w:b/>
          <w:bCs/>
          <w:sz w:val="21"/>
        </w:rPr>
        <w:t xml:space="preserve">2015-2030 </w:t>
      </w:r>
      <w:r>
        <w:rPr>
          <w:rFonts w:hint="eastAsia"/>
          <w:b/>
          <w:bCs/>
          <w:sz w:val="21"/>
        </w:rPr>
        <w:t>年）。</w:t>
      </w:r>
    </w:p>
    <w:p w:rsidR="008E4D92" w:rsidRDefault="008B068A">
      <w:pPr>
        <w:pStyle w:val="2"/>
        <w:widowControl/>
        <w:spacing w:beforeLines="50" w:before="120"/>
        <w:rPr>
          <w:position w:val="4"/>
          <w:szCs w:val="30"/>
        </w:rPr>
      </w:pPr>
      <w:bookmarkStart w:id="153" w:name="_Toc9130462"/>
      <w:bookmarkStart w:id="154" w:name="_Toc6866"/>
      <w:bookmarkStart w:id="155" w:name="_Toc2514"/>
      <w:bookmarkStart w:id="156" w:name="_Toc26025"/>
      <w:bookmarkStart w:id="157" w:name="_Toc11955"/>
      <w:bookmarkStart w:id="158" w:name="_Toc24170"/>
      <w:bookmarkStart w:id="159" w:name="_Toc14438"/>
      <w:bookmarkStart w:id="160" w:name="_Toc1654"/>
      <w:bookmarkStart w:id="161" w:name="_Toc20016"/>
      <w:bookmarkStart w:id="162" w:name="_Toc14065"/>
      <w:bookmarkStart w:id="163" w:name="_Toc30792"/>
      <w:bookmarkStart w:id="164" w:name="_Toc11964"/>
      <w:bookmarkEnd w:id="151"/>
      <w:bookmarkEnd w:id="152"/>
      <w:r>
        <w:rPr>
          <w:position w:val="4"/>
          <w:szCs w:val="30"/>
        </w:rPr>
        <w:t>4.2</w:t>
      </w:r>
      <w:r>
        <w:rPr>
          <w:position w:val="4"/>
          <w:szCs w:val="30"/>
        </w:rPr>
        <w:t>水土流失影响因素分析</w:t>
      </w:r>
      <w:bookmarkEnd w:id="153"/>
      <w:bookmarkEnd w:id="154"/>
      <w:bookmarkEnd w:id="155"/>
      <w:bookmarkEnd w:id="156"/>
      <w:bookmarkEnd w:id="157"/>
      <w:bookmarkEnd w:id="158"/>
      <w:bookmarkEnd w:id="159"/>
      <w:bookmarkEnd w:id="160"/>
    </w:p>
    <w:p w:rsidR="008E4D92" w:rsidRDefault="008B068A">
      <w:pPr>
        <w:pStyle w:val="0"/>
        <w:spacing w:line="360" w:lineRule="auto"/>
        <w:rPr>
          <w:rFonts w:ascii="Times New Roman" w:hAnsi="Times New Roman"/>
          <w:color w:val="auto"/>
        </w:rPr>
      </w:pPr>
      <w:r>
        <w:rPr>
          <w:rFonts w:ascii="Times New Roman" w:hAnsi="Times New Roman"/>
          <w:color w:val="auto"/>
        </w:rPr>
        <w:t>水土流失的发生、发展是自然因子和人为干扰综合作用的结果。</w:t>
      </w:r>
    </w:p>
    <w:p w:rsidR="008E4D92" w:rsidRDefault="008B068A">
      <w:pPr>
        <w:pStyle w:val="0"/>
        <w:spacing w:line="360" w:lineRule="auto"/>
        <w:rPr>
          <w:rFonts w:ascii="Times New Roman" w:hAnsi="Times New Roman"/>
          <w:color w:val="auto"/>
        </w:rPr>
      </w:pPr>
      <w:r>
        <w:rPr>
          <w:rFonts w:ascii="Times New Roman" w:hAnsi="Times New Roman"/>
          <w:color w:val="auto"/>
        </w:rPr>
        <w:t>自然因子：项目区属溶蚀地貌，地形复杂，山丘与冲沟间或分布，为水土流失的发生提供了有利的地形条件；同时，降雨强度大、雨量集中等气候特点，又为水土流失的发生提供了有力的外营力；另外，由于长期以来的人为干扰，植被的蓄水保土能力大大下降，为水土流失的发生、发展提供有利条件。项目区特定的地形、地貌、气候、植被等自然因子为水土流失的发生奠定基础条件，在大规模地表扰动和剧烈的开发活动中，势必产生强度水土流失，形成严重的水土流失危害。</w:t>
      </w:r>
    </w:p>
    <w:p w:rsidR="008E4D92" w:rsidRDefault="008B068A">
      <w:pPr>
        <w:pStyle w:val="0"/>
        <w:spacing w:line="360" w:lineRule="auto"/>
        <w:rPr>
          <w:rFonts w:ascii="Times New Roman" w:hAnsi="Times New Roman"/>
          <w:color w:val="auto"/>
        </w:rPr>
      </w:pPr>
      <w:r>
        <w:rPr>
          <w:rFonts w:ascii="Times New Roman" w:hAnsi="Times New Roman"/>
          <w:color w:val="auto"/>
        </w:rPr>
        <w:t>人为干扰：自然因素是水土流失发生的基础条件，而人为干扰则是水土流失发生的驱动因子。在项目建设过程中，地表开挖及回填、场地平整、建筑物基础施工等大规模、高强度干扰活动，将严重扰动、损坏和改变原地形地貌，使地表土壤的抗蚀性降低，在降雨、重力等外营力作用下会产生大量水土流失，并可能造成严重危害。</w:t>
      </w:r>
    </w:p>
    <w:p w:rsidR="008E4D92" w:rsidRDefault="008B068A">
      <w:pPr>
        <w:pStyle w:val="2"/>
        <w:rPr>
          <w:color w:val="0000FF"/>
        </w:rPr>
      </w:pPr>
      <w:bookmarkStart w:id="165" w:name="_Toc61601212"/>
      <w:bookmarkStart w:id="166" w:name="_Toc23981"/>
      <w:bookmarkStart w:id="167" w:name="_Toc913"/>
      <w:bookmarkStart w:id="168" w:name="_Toc320028821"/>
      <w:bookmarkStart w:id="169" w:name="_Toc317148117"/>
      <w:bookmarkStart w:id="170" w:name="_Toc329789227"/>
      <w:bookmarkStart w:id="171" w:name="_Toc329513679"/>
      <w:bookmarkStart w:id="172" w:name="_Toc318898272"/>
      <w:bookmarkStart w:id="173" w:name="_Toc330159440"/>
      <w:bookmarkStart w:id="174" w:name="_Toc31451"/>
      <w:bookmarkStart w:id="175" w:name="_Toc240292462"/>
      <w:bookmarkStart w:id="176" w:name="_Toc12580"/>
      <w:bookmarkEnd w:id="161"/>
      <w:bookmarkEnd w:id="162"/>
      <w:bookmarkEnd w:id="163"/>
      <w:bookmarkEnd w:id="164"/>
      <w:r>
        <w:rPr>
          <w:color w:val="0000FF"/>
        </w:rPr>
        <w:t>4.3</w:t>
      </w:r>
      <w:r>
        <w:rPr>
          <w:color w:val="0000FF"/>
        </w:rPr>
        <w:t>土壤流失量</w:t>
      </w:r>
      <w:bookmarkEnd w:id="165"/>
      <w:r>
        <w:rPr>
          <w:rFonts w:hint="eastAsia"/>
          <w:color w:val="0000FF"/>
        </w:rPr>
        <w:t>调查</w:t>
      </w:r>
      <w:bookmarkEnd w:id="166"/>
      <w:bookmarkEnd w:id="167"/>
    </w:p>
    <w:p w:rsidR="008E4D92" w:rsidRDefault="008B068A">
      <w:pPr>
        <w:pStyle w:val="3"/>
        <w:widowControl/>
        <w:rPr>
          <w:color w:val="0000FF"/>
          <w:szCs w:val="28"/>
          <w:lang w:val="zh-CN"/>
        </w:rPr>
      </w:pPr>
      <w:bookmarkStart w:id="177" w:name="_Toc14563"/>
      <w:bookmarkStart w:id="178" w:name="_Toc330159438"/>
      <w:bookmarkStart w:id="179" w:name="_Toc320028819"/>
      <w:bookmarkStart w:id="180" w:name="_Toc200340541"/>
      <w:bookmarkStart w:id="181" w:name="_Toc318898270"/>
      <w:bookmarkStart w:id="182" w:name="_Toc27024"/>
      <w:bookmarkStart w:id="183" w:name="_Toc329789225"/>
      <w:bookmarkStart w:id="184" w:name="_Toc317148115"/>
      <w:bookmarkStart w:id="185" w:name="_Toc329513677"/>
      <w:r>
        <w:rPr>
          <w:rFonts w:hint="eastAsia"/>
          <w:color w:val="0000FF"/>
          <w:szCs w:val="28"/>
        </w:rPr>
        <w:t>4</w:t>
      </w:r>
      <w:r>
        <w:rPr>
          <w:color w:val="0000FF"/>
          <w:szCs w:val="28"/>
        </w:rPr>
        <w:t>.3.</w:t>
      </w:r>
      <w:r>
        <w:rPr>
          <w:rFonts w:hint="eastAsia"/>
          <w:color w:val="0000FF"/>
          <w:szCs w:val="28"/>
        </w:rPr>
        <w:t>1</w:t>
      </w:r>
      <w:r>
        <w:rPr>
          <w:rFonts w:hint="eastAsia"/>
          <w:color w:val="0000FF"/>
          <w:szCs w:val="28"/>
          <w:lang w:val="zh-CN"/>
        </w:rPr>
        <w:t>调查</w:t>
      </w:r>
      <w:r>
        <w:rPr>
          <w:color w:val="0000FF"/>
          <w:szCs w:val="28"/>
          <w:lang w:val="zh-CN"/>
        </w:rPr>
        <w:t>时段</w:t>
      </w:r>
      <w:bookmarkEnd w:id="177"/>
      <w:bookmarkEnd w:id="178"/>
      <w:bookmarkEnd w:id="179"/>
      <w:bookmarkEnd w:id="180"/>
      <w:bookmarkEnd w:id="181"/>
      <w:bookmarkEnd w:id="182"/>
      <w:bookmarkEnd w:id="183"/>
      <w:bookmarkEnd w:id="184"/>
      <w:bookmarkEnd w:id="185"/>
    </w:p>
    <w:p w:rsidR="008E4D92" w:rsidRDefault="008B068A">
      <w:pPr>
        <w:pStyle w:val="13"/>
        <w:ind w:firstLine="480"/>
        <w:rPr>
          <w:color w:val="0000FF"/>
        </w:rPr>
      </w:pPr>
      <w:r>
        <w:rPr>
          <w:color w:val="0000FF"/>
        </w:rPr>
        <w:t>本项目建设期水土流失</w:t>
      </w:r>
      <w:r>
        <w:rPr>
          <w:rFonts w:hint="eastAsia"/>
          <w:color w:val="0000FF"/>
        </w:rPr>
        <w:t>调查</w:t>
      </w:r>
      <w:r>
        <w:rPr>
          <w:color w:val="0000FF"/>
        </w:rPr>
        <w:t>是在对区域范围内影响水土流失的自然因素和工程建设中的人为因素分析基础上确定的。水土流失</w:t>
      </w:r>
      <w:r>
        <w:rPr>
          <w:rFonts w:hint="eastAsia"/>
          <w:color w:val="0000FF"/>
        </w:rPr>
        <w:t>调查</w:t>
      </w:r>
      <w:r>
        <w:rPr>
          <w:color w:val="0000FF"/>
        </w:rPr>
        <w:t>时段包括施工准备期、</w:t>
      </w:r>
      <w:r>
        <w:rPr>
          <w:rFonts w:hint="eastAsia"/>
          <w:color w:val="0000FF"/>
        </w:rPr>
        <w:t>施工</w:t>
      </w:r>
      <w:r>
        <w:rPr>
          <w:color w:val="0000FF"/>
        </w:rPr>
        <w:t>期和自然</w:t>
      </w:r>
      <w:r>
        <w:rPr>
          <w:color w:val="0000FF"/>
        </w:rPr>
        <w:lastRenderedPageBreak/>
        <w:t>恢复期。</w:t>
      </w:r>
    </w:p>
    <w:p w:rsidR="008E4D92" w:rsidRDefault="008B068A">
      <w:pPr>
        <w:pStyle w:val="13"/>
        <w:ind w:firstLine="480"/>
        <w:rPr>
          <w:color w:val="0000FF"/>
        </w:rPr>
      </w:pPr>
      <w:r>
        <w:rPr>
          <w:color w:val="0000FF"/>
        </w:rPr>
        <w:t>本项目</w:t>
      </w:r>
      <w:r>
        <w:rPr>
          <w:rFonts w:hint="eastAsia"/>
          <w:color w:val="0000FF"/>
        </w:rPr>
        <w:t>已于</w:t>
      </w:r>
      <w:r>
        <w:rPr>
          <w:color w:val="0000FF"/>
        </w:rPr>
        <w:t>201</w:t>
      </w:r>
      <w:r>
        <w:rPr>
          <w:rFonts w:hint="eastAsia"/>
          <w:color w:val="0000FF"/>
        </w:rPr>
        <w:t>4</w:t>
      </w:r>
      <w:r>
        <w:rPr>
          <w:color w:val="0000FF"/>
        </w:rPr>
        <w:t>年</w:t>
      </w:r>
      <w:r>
        <w:rPr>
          <w:rFonts w:hint="eastAsia"/>
          <w:color w:val="0000FF"/>
        </w:rPr>
        <w:t>4</w:t>
      </w:r>
      <w:r>
        <w:rPr>
          <w:color w:val="0000FF"/>
        </w:rPr>
        <w:t>月开工建设，</w:t>
      </w:r>
      <w:r>
        <w:rPr>
          <w:color w:val="0000FF"/>
        </w:rPr>
        <w:t>20</w:t>
      </w:r>
      <w:r>
        <w:rPr>
          <w:rFonts w:hint="eastAsia"/>
          <w:color w:val="0000FF"/>
        </w:rPr>
        <w:t>15</w:t>
      </w:r>
      <w:r>
        <w:rPr>
          <w:color w:val="0000FF"/>
        </w:rPr>
        <w:t>年</w:t>
      </w:r>
      <w:r>
        <w:rPr>
          <w:rFonts w:hint="eastAsia"/>
          <w:color w:val="0000FF"/>
        </w:rPr>
        <w:t>3</w:t>
      </w:r>
      <w:r>
        <w:rPr>
          <w:color w:val="0000FF"/>
        </w:rPr>
        <w:t>月，共计</w:t>
      </w:r>
      <w:r>
        <w:rPr>
          <w:rFonts w:hint="eastAsia"/>
          <w:color w:val="0000FF"/>
        </w:rPr>
        <w:t>12</w:t>
      </w:r>
      <w:r>
        <w:rPr>
          <w:color w:val="0000FF"/>
        </w:rPr>
        <w:t>个月全部建设完成。</w:t>
      </w:r>
      <w:r>
        <w:rPr>
          <w:rFonts w:hint="eastAsia"/>
          <w:color w:val="0000FF"/>
        </w:rPr>
        <w:t>属于已完工项目，</w:t>
      </w:r>
      <w:r>
        <w:rPr>
          <w:color w:val="0000FF"/>
        </w:rPr>
        <w:t>目前</w:t>
      </w:r>
      <w:r>
        <w:rPr>
          <w:rFonts w:hint="eastAsia"/>
          <w:color w:val="0000FF"/>
        </w:rPr>
        <w:t>已投入使用</w:t>
      </w:r>
      <w:r>
        <w:rPr>
          <w:color w:val="0000FF"/>
        </w:rPr>
        <w:t>。</w:t>
      </w:r>
    </w:p>
    <w:p w:rsidR="008E4D92" w:rsidRDefault="008B068A">
      <w:pPr>
        <w:pStyle w:val="13"/>
        <w:ind w:firstLine="480"/>
        <w:rPr>
          <w:color w:val="0000FF"/>
        </w:rPr>
      </w:pPr>
      <w:r>
        <w:rPr>
          <w:color w:val="0000FF"/>
        </w:rPr>
        <w:t>施工期（含施工准备期）：</w:t>
      </w:r>
      <w:r>
        <w:rPr>
          <w:color w:val="0000FF"/>
        </w:rPr>
        <w:t>20</w:t>
      </w:r>
      <w:r>
        <w:rPr>
          <w:rFonts w:hint="eastAsia"/>
          <w:color w:val="0000FF"/>
        </w:rPr>
        <w:t>14</w:t>
      </w:r>
      <w:r>
        <w:rPr>
          <w:color w:val="0000FF"/>
        </w:rPr>
        <w:t>年</w:t>
      </w:r>
      <w:r>
        <w:rPr>
          <w:rFonts w:hint="eastAsia"/>
          <w:color w:val="0000FF"/>
        </w:rPr>
        <w:t>4</w:t>
      </w:r>
      <w:r>
        <w:rPr>
          <w:color w:val="0000FF"/>
        </w:rPr>
        <w:t>月</w:t>
      </w:r>
      <w:r>
        <w:rPr>
          <w:color w:val="0000FF"/>
        </w:rPr>
        <w:t>-20</w:t>
      </w:r>
      <w:r>
        <w:rPr>
          <w:rFonts w:hint="eastAsia"/>
          <w:color w:val="0000FF"/>
        </w:rPr>
        <w:t>15</w:t>
      </w:r>
      <w:r>
        <w:rPr>
          <w:color w:val="0000FF"/>
        </w:rPr>
        <w:t>年</w:t>
      </w:r>
      <w:r>
        <w:rPr>
          <w:rFonts w:hint="eastAsia"/>
          <w:color w:val="0000FF"/>
        </w:rPr>
        <w:t>3</w:t>
      </w:r>
      <w:r>
        <w:rPr>
          <w:color w:val="0000FF"/>
        </w:rPr>
        <w:t>月，共计</w:t>
      </w:r>
      <w:r>
        <w:rPr>
          <w:rFonts w:hint="eastAsia"/>
          <w:color w:val="0000FF"/>
        </w:rPr>
        <w:t>12</w:t>
      </w:r>
      <w:r>
        <w:rPr>
          <w:color w:val="0000FF"/>
        </w:rPr>
        <w:t>个月为工程建设期，</w:t>
      </w:r>
      <w:r>
        <w:rPr>
          <w:rFonts w:hint="eastAsia"/>
          <w:color w:val="0000FF"/>
        </w:rPr>
        <w:t>根据《生产建设项目水土保持技术标准》（</w:t>
      </w:r>
      <w:r>
        <w:rPr>
          <w:rFonts w:hint="eastAsia"/>
          <w:color w:val="0000FF"/>
        </w:rPr>
        <w:t>GB50433-2018</w:t>
      </w:r>
      <w:r>
        <w:rPr>
          <w:rFonts w:hint="eastAsia"/>
          <w:color w:val="0000FF"/>
        </w:rPr>
        <w:t>）</w:t>
      </w:r>
      <w:r>
        <w:rPr>
          <w:rFonts w:hint="eastAsia"/>
          <w:color w:val="0000FF"/>
        </w:rPr>
        <w:t>4.5.6</w:t>
      </w:r>
      <w:r>
        <w:rPr>
          <w:rFonts w:hint="eastAsia"/>
          <w:color w:val="0000FF"/>
        </w:rPr>
        <w:t>第</w:t>
      </w:r>
      <w:r>
        <w:rPr>
          <w:rFonts w:hint="eastAsia"/>
          <w:color w:val="0000FF"/>
        </w:rPr>
        <w:t>3</w:t>
      </w:r>
      <w:r>
        <w:rPr>
          <w:rFonts w:hint="eastAsia"/>
          <w:color w:val="0000FF"/>
        </w:rPr>
        <w:t>条施工期预测时间应按连续</w:t>
      </w:r>
      <w:r>
        <w:rPr>
          <w:rFonts w:hint="eastAsia"/>
          <w:color w:val="0000FF"/>
        </w:rPr>
        <w:t>12</w:t>
      </w:r>
      <w:r>
        <w:rPr>
          <w:rFonts w:hint="eastAsia"/>
          <w:color w:val="0000FF"/>
        </w:rPr>
        <w:t>个月为一年计；不足</w:t>
      </w:r>
      <w:r>
        <w:rPr>
          <w:rFonts w:hint="eastAsia"/>
          <w:color w:val="0000FF"/>
        </w:rPr>
        <w:t>12</w:t>
      </w:r>
      <w:r>
        <w:rPr>
          <w:rFonts w:hint="eastAsia"/>
          <w:color w:val="0000FF"/>
        </w:rPr>
        <w:t>个月，但达到一个雨（风）季长度的，按一年计；不足一个雨（风）季长度的，按占雨（风）季长度的比例计算。因此，本工程施工期调查</w:t>
      </w:r>
      <w:r>
        <w:rPr>
          <w:color w:val="0000FF"/>
        </w:rPr>
        <w:t>时段按</w:t>
      </w:r>
      <w:r>
        <w:rPr>
          <w:rFonts w:hint="eastAsia"/>
          <w:color w:val="0000FF"/>
        </w:rPr>
        <w:t>1</w:t>
      </w:r>
      <w:r>
        <w:rPr>
          <w:color w:val="0000FF"/>
        </w:rPr>
        <w:t>年计。</w:t>
      </w:r>
    </w:p>
    <w:p w:rsidR="008E4D92" w:rsidRDefault="008B068A">
      <w:pPr>
        <w:pStyle w:val="13"/>
        <w:ind w:firstLine="480"/>
        <w:rPr>
          <w:color w:val="0000FF"/>
        </w:rPr>
      </w:pPr>
      <w:r>
        <w:rPr>
          <w:color w:val="0000FF"/>
        </w:rPr>
        <w:t>自然恢复期：</w:t>
      </w:r>
      <w:r>
        <w:rPr>
          <w:rFonts w:hint="eastAsia"/>
          <w:color w:val="0000FF"/>
        </w:rPr>
        <w:t>根据《生产建设项目水土保持技术标准》（</w:t>
      </w:r>
      <w:r>
        <w:rPr>
          <w:rFonts w:hint="eastAsia"/>
          <w:color w:val="0000FF"/>
        </w:rPr>
        <w:t>GB50433-2018</w:t>
      </w:r>
      <w:r>
        <w:rPr>
          <w:rFonts w:hint="eastAsia"/>
          <w:color w:val="0000FF"/>
        </w:rPr>
        <w:t>）</w:t>
      </w:r>
      <w:r>
        <w:rPr>
          <w:rFonts w:hint="eastAsia"/>
          <w:color w:val="0000FF"/>
        </w:rPr>
        <w:t>4.5.6</w:t>
      </w:r>
      <w:r>
        <w:rPr>
          <w:rFonts w:hint="eastAsia"/>
          <w:color w:val="0000FF"/>
        </w:rPr>
        <w:t>第</w:t>
      </w:r>
      <w:r>
        <w:rPr>
          <w:rFonts w:hint="eastAsia"/>
          <w:color w:val="0000FF"/>
        </w:rPr>
        <w:t>2</w:t>
      </w:r>
      <w:r>
        <w:rPr>
          <w:rFonts w:hint="eastAsia"/>
          <w:color w:val="0000FF"/>
        </w:rPr>
        <w:t>条自然恢复期为施工扰动结束后，不采取水土保持措施的情况下</w:t>
      </w:r>
      <w:r>
        <w:rPr>
          <w:rFonts w:hint="eastAsia"/>
          <w:color w:val="0000FF"/>
        </w:rPr>
        <w:t>,</w:t>
      </w:r>
      <w:r>
        <w:rPr>
          <w:rFonts w:hint="eastAsia"/>
          <w:color w:val="0000FF"/>
        </w:rPr>
        <w:t>土壤侵蚀强度自然恢复到扰动前土壤侵蚀强度所需要的时间，应根据当地自然条件确定，一般情况下湿润区取</w:t>
      </w:r>
      <w:r>
        <w:rPr>
          <w:rFonts w:hint="eastAsia"/>
          <w:color w:val="0000FF"/>
        </w:rPr>
        <w:t>2</w:t>
      </w:r>
      <w:r>
        <w:rPr>
          <w:rFonts w:hint="eastAsia"/>
          <w:color w:val="0000FF"/>
        </w:rPr>
        <w:t>年，半湿润区取</w:t>
      </w:r>
      <w:r>
        <w:rPr>
          <w:rFonts w:hint="eastAsia"/>
          <w:color w:val="0000FF"/>
        </w:rPr>
        <w:t>3</w:t>
      </w:r>
      <w:r>
        <w:rPr>
          <w:rFonts w:hint="eastAsia"/>
          <w:color w:val="0000FF"/>
        </w:rPr>
        <w:t>年，干旱半干旱区取</w:t>
      </w:r>
      <w:r>
        <w:rPr>
          <w:rFonts w:hint="eastAsia"/>
          <w:color w:val="0000FF"/>
        </w:rPr>
        <w:t>5</w:t>
      </w:r>
      <w:r>
        <w:rPr>
          <w:rFonts w:hint="eastAsia"/>
          <w:color w:val="0000FF"/>
        </w:rPr>
        <w:t>年。</w:t>
      </w:r>
      <w:r>
        <w:rPr>
          <w:color w:val="0000FF"/>
        </w:rPr>
        <w:t>结合方案设计水平年，确定自然恢复期预测时段为</w:t>
      </w:r>
      <w:r>
        <w:rPr>
          <w:rFonts w:hint="eastAsia"/>
          <w:color w:val="0000FF"/>
        </w:rPr>
        <w:t>2</w:t>
      </w:r>
      <w:r>
        <w:rPr>
          <w:color w:val="0000FF"/>
        </w:rPr>
        <w:t>年。</w:t>
      </w:r>
    </w:p>
    <w:p w:rsidR="008E4D92" w:rsidRDefault="008B068A">
      <w:pPr>
        <w:pStyle w:val="3"/>
        <w:widowControl/>
        <w:spacing w:beforeLines="50" w:before="120"/>
        <w:rPr>
          <w:szCs w:val="28"/>
          <w:lang w:val="zh-CN"/>
        </w:rPr>
      </w:pPr>
      <w:r>
        <w:rPr>
          <w:rFonts w:hint="eastAsia"/>
          <w:szCs w:val="28"/>
        </w:rPr>
        <w:t>4</w:t>
      </w:r>
      <w:r>
        <w:rPr>
          <w:szCs w:val="28"/>
        </w:rPr>
        <w:t>.3.</w:t>
      </w:r>
      <w:r>
        <w:rPr>
          <w:rFonts w:hint="eastAsia"/>
          <w:szCs w:val="28"/>
        </w:rPr>
        <w:t>2</w:t>
      </w:r>
      <w:r>
        <w:rPr>
          <w:rFonts w:hint="eastAsia"/>
          <w:szCs w:val="28"/>
          <w:lang w:val="zh-CN"/>
        </w:rPr>
        <w:t>调查范围</w:t>
      </w:r>
    </w:p>
    <w:p w:rsidR="008E4D92" w:rsidRDefault="008B068A">
      <w:pPr>
        <w:pStyle w:val="13"/>
        <w:ind w:firstLine="480"/>
        <w:rPr>
          <w:color w:val="0000FF"/>
        </w:rPr>
      </w:pPr>
      <w:r>
        <w:rPr>
          <w:color w:val="0000FF"/>
        </w:rPr>
        <w:t>根据对工程施工情况的调查回顾，工程施工扰动面积。根据工程特性及占地类型、施工进度及施工方式上的差别，将水土流失</w:t>
      </w:r>
      <w:r>
        <w:rPr>
          <w:rFonts w:hint="eastAsia"/>
          <w:color w:val="0000FF"/>
        </w:rPr>
        <w:t>调查</w:t>
      </w:r>
      <w:r>
        <w:rPr>
          <w:color w:val="0000FF"/>
        </w:rPr>
        <w:t>单元划分为：</w:t>
      </w:r>
      <w:r>
        <w:rPr>
          <w:rFonts w:hint="eastAsia"/>
          <w:color w:val="0000FF"/>
        </w:rPr>
        <w:t>建构筑物区和配套设施区</w:t>
      </w:r>
      <w:r>
        <w:rPr>
          <w:color w:val="0000FF"/>
        </w:rPr>
        <w:t>。施工准备及施工期调查范围为整个工程建设所占用和扰动区域，调查面积为</w:t>
      </w:r>
      <w:r>
        <w:rPr>
          <w:rFonts w:hint="eastAsia"/>
          <w:color w:val="0000FF"/>
        </w:rPr>
        <w:t>1.31</w:t>
      </w:r>
      <w:r>
        <w:rPr>
          <w:color w:val="0000FF"/>
        </w:rPr>
        <w:t>hm2</w:t>
      </w:r>
      <w:r>
        <w:rPr>
          <w:color w:val="0000FF"/>
        </w:rPr>
        <w:t>；在自然恢复期，项目区绝大部分为建构筑物及硬化地面所覆盖，方案对硬化区域不再调查，自然恢复期调查范围主要为景观绿化区域占地面积</w:t>
      </w:r>
      <w:r>
        <w:rPr>
          <w:color w:val="0000FF"/>
        </w:rPr>
        <w:t>0.</w:t>
      </w:r>
      <w:r>
        <w:rPr>
          <w:rFonts w:hint="eastAsia"/>
          <w:color w:val="0000FF"/>
        </w:rPr>
        <w:t>32</w:t>
      </w:r>
      <w:r>
        <w:rPr>
          <w:color w:val="0000FF"/>
        </w:rPr>
        <w:t>hm2</w:t>
      </w:r>
    </w:p>
    <w:p w:rsidR="008E4D92" w:rsidRDefault="008B068A">
      <w:pPr>
        <w:pStyle w:val="3"/>
        <w:widowControl/>
        <w:spacing w:beforeLines="50" w:before="120"/>
        <w:rPr>
          <w:szCs w:val="28"/>
          <w:lang w:val="zh-CN"/>
        </w:rPr>
      </w:pPr>
      <w:r>
        <w:rPr>
          <w:szCs w:val="28"/>
        </w:rPr>
        <w:t>4.3.3</w:t>
      </w:r>
      <w:bookmarkEnd w:id="168"/>
      <w:bookmarkEnd w:id="169"/>
      <w:bookmarkEnd w:id="170"/>
      <w:bookmarkEnd w:id="171"/>
      <w:bookmarkEnd w:id="172"/>
      <w:bookmarkEnd w:id="173"/>
      <w:bookmarkEnd w:id="174"/>
      <w:bookmarkEnd w:id="175"/>
      <w:bookmarkEnd w:id="176"/>
      <w:r>
        <w:rPr>
          <w:szCs w:val="28"/>
          <w:lang w:val="zh-CN"/>
        </w:rPr>
        <w:t>土壤侵蚀模数</w:t>
      </w:r>
    </w:p>
    <w:p w:rsidR="008E4D92" w:rsidRDefault="008B068A">
      <w:pPr>
        <w:spacing w:line="360" w:lineRule="auto"/>
        <w:ind w:firstLineChars="200" w:firstLine="480"/>
        <w:rPr>
          <w:szCs w:val="24"/>
        </w:rPr>
      </w:pPr>
      <w:bookmarkStart w:id="186" w:name="_Toc225656896"/>
      <w:r>
        <w:rPr>
          <w:szCs w:val="24"/>
        </w:rPr>
        <w:t>一、预测内容</w:t>
      </w:r>
      <w:bookmarkEnd w:id="186"/>
      <w:r>
        <w:rPr>
          <w:szCs w:val="24"/>
        </w:rPr>
        <w:t>及方法</w:t>
      </w:r>
    </w:p>
    <w:p w:rsidR="008E4D92" w:rsidRDefault="008B068A">
      <w:pPr>
        <w:spacing w:line="360" w:lineRule="auto"/>
        <w:ind w:firstLineChars="200" w:firstLine="480"/>
        <w:rPr>
          <w:szCs w:val="24"/>
        </w:rPr>
      </w:pPr>
      <w:r>
        <w:rPr>
          <w:szCs w:val="24"/>
        </w:rPr>
        <w:t>（</w:t>
      </w:r>
      <w:r>
        <w:rPr>
          <w:szCs w:val="24"/>
        </w:rPr>
        <w:t>1</w:t>
      </w:r>
      <w:r>
        <w:rPr>
          <w:szCs w:val="24"/>
        </w:rPr>
        <w:t>）扰动地表面积</w:t>
      </w:r>
    </w:p>
    <w:p w:rsidR="008E4D92" w:rsidRDefault="008B068A">
      <w:pPr>
        <w:spacing w:line="360" w:lineRule="auto"/>
        <w:ind w:firstLineChars="200" w:firstLine="480"/>
        <w:rPr>
          <w:szCs w:val="24"/>
        </w:rPr>
      </w:pPr>
      <w:r>
        <w:rPr>
          <w:szCs w:val="24"/>
        </w:rPr>
        <w:t>根据主体工程设计资料，对项目区进行了实地调查，经统计分析，确定实际扰动的地表面积。</w:t>
      </w:r>
    </w:p>
    <w:p w:rsidR="008E4D92" w:rsidRDefault="008B068A">
      <w:pPr>
        <w:spacing w:line="360" w:lineRule="auto"/>
        <w:ind w:firstLineChars="200" w:firstLine="480"/>
        <w:rPr>
          <w:szCs w:val="24"/>
        </w:rPr>
      </w:pPr>
      <w:r>
        <w:rPr>
          <w:szCs w:val="24"/>
        </w:rPr>
        <w:t>（</w:t>
      </w:r>
      <w:r>
        <w:rPr>
          <w:szCs w:val="24"/>
        </w:rPr>
        <w:t>2</w:t>
      </w:r>
      <w:r>
        <w:rPr>
          <w:szCs w:val="24"/>
        </w:rPr>
        <w:t>）弃渣量</w:t>
      </w:r>
    </w:p>
    <w:p w:rsidR="008E4D92" w:rsidRDefault="008B068A">
      <w:pPr>
        <w:spacing w:line="360" w:lineRule="auto"/>
        <w:ind w:firstLineChars="200" w:firstLine="480"/>
        <w:rPr>
          <w:szCs w:val="24"/>
        </w:rPr>
      </w:pPr>
      <w:r>
        <w:rPr>
          <w:szCs w:val="24"/>
        </w:rPr>
        <w:t>通过查阅主体工程设计资料，根据工程的开挖回填量，结合施工组织设计、土石方平衡分析等，对各分区产生的弃渣量进行预测。</w:t>
      </w:r>
    </w:p>
    <w:p w:rsidR="008E4D92" w:rsidRDefault="008B068A">
      <w:pPr>
        <w:spacing w:line="360" w:lineRule="auto"/>
        <w:ind w:firstLineChars="200" w:firstLine="480"/>
        <w:rPr>
          <w:szCs w:val="24"/>
        </w:rPr>
      </w:pPr>
      <w:r>
        <w:rPr>
          <w:szCs w:val="24"/>
        </w:rPr>
        <w:t>（</w:t>
      </w:r>
      <w:r>
        <w:rPr>
          <w:szCs w:val="24"/>
        </w:rPr>
        <w:t>3</w:t>
      </w:r>
      <w:r>
        <w:rPr>
          <w:szCs w:val="24"/>
        </w:rPr>
        <w:t>）水土流失量</w:t>
      </w:r>
    </w:p>
    <w:p w:rsidR="008E4D92" w:rsidRDefault="008B068A">
      <w:pPr>
        <w:spacing w:line="360" w:lineRule="auto"/>
        <w:ind w:firstLineChars="200" w:firstLine="480"/>
        <w:rPr>
          <w:szCs w:val="24"/>
        </w:rPr>
      </w:pPr>
      <w:r>
        <w:rPr>
          <w:szCs w:val="24"/>
        </w:rPr>
        <w:lastRenderedPageBreak/>
        <w:t>水土流失量预测采用侵蚀模数法进行水土流失预测。计算公式如下：</w:t>
      </w:r>
    </w:p>
    <w:p w:rsidR="008E4D92" w:rsidRDefault="008B068A">
      <w:pPr>
        <w:spacing w:line="360" w:lineRule="auto"/>
        <w:ind w:firstLineChars="200" w:firstLine="480"/>
        <w:rPr>
          <w:szCs w:val="24"/>
        </w:rPr>
      </w:pPr>
      <w:r>
        <w:rPr>
          <w:szCs w:val="24"/>
        </w:rPr>
        <w:object w:dxaOrig="28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pt;height:33pt" o:ole="">
            <v:imagedata r:id="rId20" o:title=""/>
          </v:shape>
          <o:OLEObject Type="Embed" ProgID="Equation.3" ShapeID="_x0000_i1025" DrawAspect="Content" ObjectID="_1680438983" r:id="rId21"/>
        </w:object>
      </w:r>
    </w:p>
    <w:p w:rsidR="008E4D92" w:rsidRDefault="008B068A">
      <w:pPr>
        <w:spacing w:line="360" w:lineRule="auto"/>
        <w:ind w:firstLineChars="200" w:firstLine="480"/>
        <w:rPr>
          <w:szCs w:val="24"/>
        </w:rPr>
      </w:pPr>
      <w:r>
        <w:rPr>
          <w:szCs w:val="24"/>
        </w:rPr>
        <w:object w:dxaOrig="3180" w:dyaOrig="660">
          <v:shape id="_x0000_i1026" type="#_x0000_t75" style="width:159pt;height:33pt" o:ole="">
            <v:imagedata r:id="rId22" o:title=""/>
          </v:shape>
          <o:OLEObject Type="Embed" ProgID="Equation.3" ShapeID="_x0000_i1026" DrawAspect="Content" ObjectID="_1680438984" r:id="rId23"/>
        </w:object>
      </w:r>
    </w:p>
    <w:p w:rsidR="008E4D92" w:rsidRDefault="008B068A">
      <w:pPr>
        <w:spacing w:line="360" w:lineRule="auto"/>
        <w:ind w:firstLineChars="200" w:firstLine="480"/>
        <w:rPr>
          <w:szCs w:val="24"/>
        </w:rPr>
      </w:pPr>
      <w:r>
        <w:rPr>
          <w:szCs w:val="24"/>
        </w:rPr>
        <w:t>式中：</w:t>
      </w:r>
      <w:r>
        <w:rPr>
          <w:szCs w:val="24"/>
        </w:rPr>
        <w:t>W——</w:t>
      </w:r>
      <w:r>
        <w:rPr>
          <w:szCs w:val="24"/>
        </w:rPr>
        <w:t>土壤流失量，</w:t>
      </w:r>
      <w:r>
        <w:rPr>
          <w:szCs w:val="24"/>
        </w:rPr>
        <w:t>t</w:t>
      </w:r>
      <w:r>
        <w:rPr>
          <w:szCs w:val="24"/>
        </w:rPr>
        <w:t>；</w:t>
      </w:r>
    </w:p>
    <w:p w:rsidR="008E4D92" w:rsidRDefault="008B068A">
      <w:pPr>
        <w:spacing w:line="360" w:lineRule="auto"/>
        <w:ind w:firstLineChars="200" w:firstLine="480"/>
        <w:rPr>
          <w:szCs w:val="24"/>
        </w:rPr>
      </w:pPr>
      <w:r>
        <w:rPr>
          <w:szCs w:val="24"/>
        </w:rPr>
        <w:t>ΔW——</w:t>
      </w:r>
      <w:r>
        <w:rPr>
          <w:szCs w:val="24"/>
        </w:rPr>
        <w:t>新增土壤流失量，</w:t>
      </w:r>
      <w:r>
        <w:rPr>
          <w:szCs w:val="24"/>
        </w:rPr>
        <w:t>t</w:t>
      </w:r>
      <w:r>
        <w:rPr>
          <w:szCs w:val="24"/>
        </w:rPr>
        <w:t>；</w:t>
      </w:r>
    </w:p>
    <w:p w:rsidR="008E4D92" w:rsidRDefault="008B068A">
      <w:pPr>
        <w:spacing w:line="360" w:lineRule="auto"/>
        <w:ind w:firstLineChars="200" w:firstLine="480"/>
        <w:rPr>
          <w:szCs w:val="24"/>
        </w:rPr>
      </w:pPr>
      <w:r>
        <w:rPr>
          <w:szCs w:val="24"/>
        </w:rPr>
        <w:t>Fji——</w:t>
      </w:r>
      <w:r>
        <w:rPr>
          <w:szCs w:val="24"/>
        </w:rPr>
        <w:t>某时段某单元的预测面积，</w:t>
      </w:r>
      <w:r>
        <w:rPr>
          <w:szCs w:val="24"/>
        </w:rPr>
        <w:t>km</w:t>
      </w:r>
      <w:r>
        <w:rPr>
          <w:szCs w:val="24"/>
          <w:vertAlign w:val="superscript"/>
        </w:rPr>
        <w:t>2</w:t>
      </w:r>
      <w:r>
        <w:rPr>
          <w:szCs w:val="24"/>
        </w:rPr>
        <w:t>；</w:t>
      </w:r>
    </w:p>
    <w:p w:rsidR="008E4D92" w:rsidRDefault="008B068A">
      <w:pPr>
        <w:spacing w:line="360" w:lineRule="auto"/>
        <w:ind w:firstLineChars="200" w:firstLine="480"/>
        <w:rPr>
          <w:szCs w:val="24"/>
        </w:rPr>
      </w:pPr>
      <w:r>
        <w:rPr>
          <w:szCs w:val="24"/>
        </w:rPr>
        <w:t>Mji——</w:t>
      </w:r>
      <w:r>
        <w:rPr>
          <w:szCs w:val="24"/>
        </w:rPr>
        <w:t>某时段某单元的土壤侵蚀模数，</w:t>
      </w:r>
      <w:r>
        <w:rPr>
          <w:szCs w:val="24"/>
        </w:rPr>
        <w:t>t/(km</w:t>
      </w:r>
      <w:r>
        <w:rPr>
          <w:szCs w:val="24"/>
          <w:vertAlign w:val="superscript"/>
        </w:rPr>
        <w:t>2</w:t>
      </w:r>
      <w:r>
        <w:rPr>
          <w:szCs w:val="24"/>
        </w:rPr>
        <w:t>·a)</w:t>
      </w:r>
      <w:r>
        <w:rPr>
          <w:szCs w:val="24"/>
        </w:rPr>
        <w:t>；</w:t>
      </w:r>
    </w:p>
    <w:p w:rsidR="008E4D92" w:rsidRDefault="008B068A">
      <w:pPr>
        <w:spacing w:line="360" w:lineRule="auto"/>
        <w:ind w:firstLineChars="200" w:firstLine="480"/>
        <w:rPr>
          <w:szCs w:val="24"/>
        </w:rPr>
      </w:pPr>
      <w:r>
        <w:rPr>
          <w:szCs w:val="24"/>
        </w:rPr>
        <w:t>ΔMji——</w:t>
      </w:r>
      <w:r>
        <w:rPr>
          <w:szCs w:val="24"/>
        </w:rPr>
        <w:t>某时段某单元的新增土壤侵蚀模数，</w:t>
      </w:r>
      <w:r>
        <w:rPr>
          <w:szCs w:val="24"/>
        </w:rPr>
        <w:t>t/(km</w:t>
      </w:r>
      <w:r>
        <w:rPr>
          <w:szCs w:val="24"/>
          <w:vertAlign w:val="superscript"/>
        </w:rPr>
        <w:t>2</w:t>
      </w:r>
      <w:r>
        <w:rPr>
          <w:szCs w:val="24"/>
        </w:rPr>
        <w:t>·a)</w:t>
      </w:r>
      <w:r>
        <w:rPr>
          <w:szCs w:val="24"/>
        </w:rPr>
        <w:t>，只计正值，负值按</w:t>
      </w:r>
      <w:r>
        <w:rPr>
          <w:szCs w:val="24"/>
        </w:rPr>
        <w:t>0</w:t>
      </w:r>
      <w:r>
        <w:rPr>
          <w:szCs w:val="24"/>
        </w:rPr>
        <w:t>计；</w:t>
      </w:r>
    </w:p>
    <w:p w:rsidR="008E4D92" w:rsidRDefault="008B068A">
      <w:pPr>
        <w:spacing w:line="360" w:lineRule="auto"/>
        <w:ind w:firstLineChars="200" w:firstLine="480"/>
        <w:rPr>
          <w:szCs w:val="24"/>
        </w:rPr>
      </w:pPr>
      <w:r>
        <w:rPr>
          <w:szCs w:val="24"/>
        </w:rPr>
        <w:t>Tji——</w:t>
      </w:r>
      <w:r>
        <w:rPr>
          <w:szCs w:val="24"/>
        </w:rPr>
        <w:t>某时段某单元的预测时间，</w:t>
      </w:r>
      <w:r>
        <w:rPr>
          <w:szCs w:val="24"/>
        </w:rPr>
        <w:t>a</w:t>
      </w:r>
      <w:r>
        <w:rPr>
          <w:szCs w:val="24"/>
        </w:rPr>
        <w:t>。</w:t>
      </w:r>
    </w:p>
    <w:p w:rsidR="008E4D92" w:rsidRDefault="008B068A">
      <w:pPr>
        <w:spacing w:line="360" w:lineRule="auto"/>
        <w:ind w:firstLineChars="200" w:firstLine="480"/>
        <w:rPr>
          <w:szCs w:val="24"/>
        </w:rPr>
      </w:pPr>
      <w:r>
        <w:rPr>
          <w:szCs w:val="24"/>
        </w:rPr>
        <w:t>i——</w:t>
      </w:r>
      <w:r>
        <w:rPr>
          <w:szCs w:val="24"/>
        </w:rPr>
        <w:t>预测单元，</w:t>
      </w:r>
      <w:r>
        <w:rPr>
          <w:szCs w:val="24"/>
        </w:rPr>
        <w:t>1</w:t>
      </w:r>
      <w:r>
        <w:rPr>
          <w:szCs w:val="24"/>
        </w:rPr>
        <w:t>，</w:t>
      </w:r>
      <w:r>
        <w:rPr>
          <w:szCs w:val="24"/>
        </w:rPr>
        <w:t>2</w:t>
      </w:r>
      <w:r>
        <w:rPr>
          <w:szCs w:val="24"/>
        </w:rPr>
        <w:t>，</w:t>
      </w:r>
      <w:r>
        <w:rPr>
          <w:szCs w:val="24"/>
        </w:rPr>
        <w:t>3</w:t>
      </w:r>
      <w:r>
        <w:rPr>
          <w:szCs w:val="24"/>
        </w:rPr>
        <w:t>，</w:t>
      </w:r>
      <w:r>
        <w:rPr>
          <w:szCs w:val="24"/>
        </w:rPr>
        <w:t>……n</w:t>
      </w:r>
      <w:r>
        <w:rPr>
          <w:szCs w:val="24"/>
        </w:rPr>
        <w:t>；</w:t>
      </w:r>
    </w:p>
    <w:p w:rsidR="008E4D92" w:rsidRDefault="008B068A">
      <w:pPr>
        <w:spacing w:line="360" w:lineRule="auto"/>
        <w:ind w:firstLineChars="200" w:firstLine="480"/>
        <w:rPr>
          <w:szCs w:val="24"/>
        </w:rPr>
      </w:pPr>
      <w:r>
        <w:rPr>
          <w:szCs w:val="24"/>
        </w:rPr>
        <w:t>j——</w:t>
      </w:r>
      <w:r>
        <w:rPr>
          <w:szCs w:val="24"/>
        </w:rPr>
        <w:t>预测时段，</w:t>
      </w:r>
      <w:r>
        <w:rPr>
          <w:szCs w:val="24"/>
        </w:rPr>
        <w:t>1</w:t>
      </w:r>
      <w:r>
        <w:rPr>
          <w:szCs w:val="24"/>
        </w:rPr>
        <w:t>，</w:t>
      </w:r>
      <w:r>
        <w:rPr>
          <w:szCs w:val="24"/>
        </w:rPr>
        <w:t>2</w:t>
      </w:r>
      <w:r>
        <w:rPr>
          <w:szCs w:val="24"/>
        </w:rPr>
        <w:t>，指施工期、自然恢复期；</w:t>
      </w:r>
    </w:p>
    <w:p w:rsidR="008E4D92" w:rsidRDefault="008B068A">
      <w:pPr>
        <w:spacing w:line="360" w:lineRule="auto"/>
        <w:ind w:firstLineChars="200" w:firstLine="480"/>
        <w:rPr>
          <w:szCs w:val="24"/>
        </w:rPr>
      </w:pPr>
      <w:r>
        <w:rPr>
          <w:szCs w:val="24"/>
        </w:rPr>
        <w:t>（</w:t>
      </w:r>
      <w:r>
        <w:rPr>
          <w:szCs w:val="24"/>
        </w:rPr>
        <w:t>4</w:t>
      </w:r>
      <w:r>
        <w:rPr>
          <w:szCs w:val="24"/>
        </w:rPr>
        <w:t>）水土流失危害</w:t>
      </w:r>
    </w:p>
    <w:p w:rsidR="008E4D92" w:rsidRDefault="008B068A">
      <w:pPr>
        <w:spacing w:line="360" w:lineRule="auto"/>
        <w:ind w:firstLineChars="200" w:firstLine="480"/>
        <w:rPr>
          <w:szCs w:val="24"/>
        </w:rPr>
      </w:pPr>
      <w:r>
        <w:rPr>
          <w:szCs w:val="24"/>
        </w:rPr>
        <w:t>根据本工程的布局、施工工艺以及项目区地形地貌等，结合实地调查分析，分析可能造成的水土流失危害。</w:t>
      </w:r>
    </w:p>
    <w:p w:rsidR="008E4D92" w:rsidRDefault="008B068A">
      <w:pPr>
        <w:spacing w:line="360" w:lineRule="auto"/>
        <w:ind w:firstLineChars="200" w:firstLine="480"/>
        <w:rPr>
          <w:szCs w:val="24"/>
        </w:rPr>
      </w:pPr>
      <w:r>
        <w:rPr>
          <w:szCs w:val="24"/>
        </w:rPr>
        <w:t>二、预测参数</w:t>
      </w:r>
    </w:p>
    <w:p w:rsidR="008E4D92" w:rsidRDefault="008B068A">
      <w:pPr>
        <w:spacing w:line="360" w:lineRule="auto"/>
        <w:ind w:firstLineChars="200" w:firstLine="480"/>
        <w:rPr>
          <w:kern w:val="28"/>
          <w:szCs w:val="24"/>
        </w:rPr>
      </w:pPr>
      <w:r>
        <w:rPr>
          <w:kern w:val="28"/>
          <w:szCs w:val="24"/>
        </w:rPr>
        <w:t>（</w:t>
      </w:r>
      <w:r>
        <w:rPr>
          <w:kern w:val="28"/>
          <w:szCs w:val="24"/>
        </w:rPr>
        <w:t>1</w:t>
      </w:r>
      <w:r>
        <w:rPr>
          <w:kern w:val="28"/>
          <w:szCs w:val="24"/>
        </w:rPr>
        <w:t>）原地表侵蚀模数</w:t>
      </w:r>
    </w:p>
    <w:p w:rsidR="008E4D92" w:rsidRDefault="008B068A">
      <w:pPr>
        <w:spacing w:line="360" w:lineRule="auto"/>
        <w:ind w:firstLineChars="200" w:firstLine="480"/>
        <w:rPr>
          <w:szCs w:val="24"/>
        </w:rPr>
      </w:pPr>
      <w:r>
        <w:rPr>
          <w:color w:val="0000FF"/>
          <w:kern w:val="28"/>
          <w:szCs w:val="24"/>
          <w:lang w:val="zh-CN"/>
        </w:rPr>
        <w:t>原地表土壤侵蚀模数采用调查得到的侵蚀模数。通过对项目建设区水土流失现状调查，根据水土流失因子调查表，参照《土壤侵蚀分类分级标准》，计算出各预测单元的原地表土壤侵蚀模数，</w:t>
      </w:r>
      <w:r>
        <w:rPr>
          <w:color w:val="0000FF"/>
          <w:szCs w:val="24"/>
        </w:rPr>
        <w:t>平均土壤侵蚀模数为</w:t>
      </w:r>
      <w:r>
        <w:rPr>
          <w:rFonts w:hint="eastAsia"/>
          <w:color w:val="0000FF"/>
          <w:szCs w:val="24"/>
        </w:rPr>
        <w:t>549</w:t>
      </w:r>
      <w:r>
        <w:rPr>
          <w:color w:val="0000FF"/>
          <w:szCs w:val="24"/>
        </w:rPr>
        <w:t>t/(km</w:t>
      </w:r>
      <w:r>
        <w:rPr>
          <w:color w:val="0000FF"/>
          <w:szCs w:val="24"/>
          <w:vertAlign w:val="superscript"/>
        </w:rPr>
        <w:t>2</w:t>
      </w:r>
      <w:r>
        <w:rPr>
          <w:color w:val="0000FF"/>
          <w:szCs w:val="24"/>
        </w:rPr>
        <w:t>·a)</w:t>
      </w:r>
      <w:r>
        <w:rPr>
          <w:szCs w:val="24"/>
        </w:rPr>
        <w:t>。</w:t>
      </w:r>
    </w:p>
    <w:p w:rsidR="008E4D92" w:rsidRDefault="008B068A">
      <w:pPr>
        <w:spacing w:line="360" w:lineRule="auto"/>
        <w:ind w:firstLineChars="200" w:firstLine="480"/>
        <w:rPr>
          <w:kern w:val="28"/>
          <w:szCs w:val="24"/>
        </w:rPr>
      </w:pPr>
      <w:r>
        <w:rPr>
          <w:kern w:val="28"/>
          <w:szCs w:val="24"/>
        </w:rPr>
        <w:t>（</w:t>
      </w:r>
      <w:r>
        <w:rPr>
          <w:kern w:val="28"/>
          <w:szCs w:val="24"/>
        </w:rPr>
        <w:t>2</w:t>
      </w:r>
      <w:r>
        <w:rPr>
          <w:kern w:val="28"/>
          <w:szCs w:val="24"/>
        </w:rPr>
        <w:t>）自然恢复期侵蚀模数</w:t>
      </w:r>
    </w:p>
    <w:p w:rsidR="008E4D92" w:rsidRDefault="008B068A">
      <w:pPr>
        <w:widowControl/>
        <w:autoSpaceDE w:val="0"/>
        <w:autoSpaceDN w:val="0"/>
        <w:spacing w:line="360" w:lineRule="auto"/>
        <w:ind w:firstLineChars="200" w:firstLine="480"/>
        <w:rPr>
          <w:kern w:val="28"/>
          <w:szCs w:val="24"/>
          <w:lang w:val="zh-CN"/>
        </w:rPr>
      </w:pPr>
      <w:r>
        <w:rPr>
          <w:color w:val="0000FF"/>
          <w:szCs w:val="24"/>
        </w:rPr>
        <w:t>自然恢复期即指各单元施工扰动结束后未采取水土保持措施条件下，松散裸露面逐步趋于稳定、植被自然恢复，土壤侵蚀强度减弱并接近原背景值所需的时间。在这期间，空闲地和未治理区域在初期林草覆盖率短时间内很小，不能减缓雨滴对地表的溅蚀，拦蓄径流对地表冲刷。预测时采用侵蚀模数法进行，依据实施的植物措施后期生长情况，定期对水土流失情况进行调查，再结合项目区的植物措施实施地点的立地条件等各因素以及经验分析，确定自然恢复期各防治分区的侵蚀强度及其侵蚀模数</w:t>
      </w:r>
      <w:r>
        <w:rPr>
          <w:kern w:val="28"/>
          <w:szCs w:val="24"/>
          <w:lang w:val="zh-CN"/>
        </w:rPr>
        <w:t>。</w:t>
      </w:r>
    </w:p>
    <w:p w:rsidR="008E4D92" w:rsidRDefault="008B068A">
      <w:pPr>
        <w:pStyle w:val="3"/>
        <w:widowControl/>
        <w:rPr>
          <w:bCs/>
          <w:position w:val="4"/>
          <w:sz w:val="30"/>
          <w:szCs w:val="30"/>
          <w:lang w:val="zh-CN"/>
        </w:rPr>
      </w:pPr>
      <w:bookmarkStart w:id="187" w:name="_Toc32421"/>
      <w:bookmarkStart w:id="188" w:name="_Toc11376"/>
      <w:r>
        <w:rPr>
          <w:rFonts w:hint="eastAsia"/>
          <w:bCs/>
          <w:position w:val="4"/>
          <w:sz w:val="30"/>
          <w:szCs w:val="30"/>
        </w:rPr>
        <w:t>4</w:t>
      </w:r>
      <w:r>
        <w:rPr>
          <w:bCs/>
          <w:position w:val="4"/>
          <w:sz w:val="30"/>
          <w:szCs w:val="30"/>
        </w:rPr>
        <w:t>.3.4</w:t>
      </w:r>
      <w:r>
        <w:rPr>
          <w:rFonts w:hint="eastAsia"/>
          <w:bCs/>
          <w:position w:val="4"/>
          <w:sz w:val="30"/>
          <w:szCs w:val="30"/>
        </w:rPr>
        <w:t>水土流失</w:t>
      </w:r>
      <w:r>
        <w:rPr>
          <w:rFonts w:hint="eastAsia"/>
          <w:bCs/>
          <w:position w:val="4"/>
          <w:sz w:val="30"/>
          <w:szCs w:val="30"/>
          <w:lang w:val="zh-CN"/>
        </w:rPr>
        <w:t>调查</w:t>
      </w:r>
      <w:r>
        <w:rPr>
          <w:bCs/>
          <w:position w:val="4"/>
          <w:sz w:val="30"/>
          <w:szCs w:val="30"/>
          <w:lang w:val="zh-CN"/>
        </w:rPr>
        <w:t>结果</w:t>
      </w:r>
      <w:bookmarkEnd w:id="187"/>
      <w:bookmarkEnd w:id="188"/>
    </w:p>
    <w:p w:rsidR="008E4D92" w:rsidRDefault="008B068A">
      <w:pPr>
        <w:spacing w:line="500" w:lineRule="exact"/>
        <w:ind w:firstLineChars="200" w:firstLine="480"/>
        <w:rPr>
          <w:color w:val="000000" w:themeColor="text1"/>
        </w:rPr>
      </w:pPr>
      <w:r>
        <w:rPr>
          <w:color w:val="000000" w:themeColor="text1"/>
        </w:rPr>
        <w:t>根据以上水土流失调查分区和时段，</w:t>
      </w:r>
      <w:r>
        <w:rPr>
          <w:rFonts w:hint="eastAsia"/>
          <w:color w:val="000000" w:themeColor="text1"/>
        </w:rPr>
        <w:t>计算</w:t>
      </w:r>
      <w:r>
        <w:rPr>
          <w:color w:val="000000" w:themeColor="text1"/>
        </w:rPr>
        <w:t>项目各分区在各调查时段水土流失量的统</w:t>
      </w:r>
      <w:r>
        <w:rPr>
          <w:color w:val="000000" w:themeColor="text1"/>
        </w:rPr>
        <w:lastRenderedPageBreak/>
        <w:t>计表，具体详见表</w:t>
      </w:r>
      <w:r>
        <w:rPr>
          <w:rFonts w:hint="eastAsia"/>
          <w:color w:val="000000" w:themeColor="text1"/>
        </w:rPr>
        <w:t>4</w:t>
      </w:r>
      <w:r>
        <w:rPr>
          <w:color w:val="000000" w:themeColor="text1"/>
        </w:rPr>
        <w:t>-</w:t>
      </w:r>
      <w:r>
        <w:rPr>
          <w:rFonts w:hint="eastAsia"/>
          <w:color w:val="000000" w:themeColor="text1"/>
        </w:rPr>
        <w:t>4</w:t>
      </w:r>
      <w:r>
        <w:rPr>
          <w:color w:val="000000" w:themeColor="text1"/>
        </w:rPr>
        <w:t>。</w:t>
      </w:r>
    </w:p>
    <w:p w:rsidR="008E4D92" w:rsidRDefault="008B068A">
      <w:pPr>
        <w:jc w:val="center"/>
        <w:rPr>
          <w:b/>
          <w:spacing w:val="4"/>
          <w:sz w:val="22"/>
          <w:szCs w:val="22"/>
        </w:rPr>
      </w:pPr>
      <w:r>
        <w:rPr>
          <w:b/>
          <w:spacing w:val="4"/>
          <w:sz w:val="22"/>
          <w:szCs w:val="22"/>
        </w:rPr>
        <w:t>表</w:t>
      </w:r>
      <w:r>
        <w:rPr>
          <w:b/>
          <w:spacing w:val="4"/>
          <w:sz w:val="22"/>
          <w:szCs w:val="22"/>
        </w:rPr>
        <w:t>4-</w:t>
      </w:r>
      <w:r>
        <w:rPr>
          <w:rFonts w:hint="eastAsia"/>
          <w:b/>
          <w:spacing w:val="4"/>
          <w:sz w:val="22"/>
          <w:szCs w:val="22"/>
        </w:rPr>
        <w:t>4</w:t>
      </w:r>
      <w:r>
        <w:rPr>
          <w:b/>
          <w:spacing w:val="4"/>
          <w:sz w:val="22"/>
          <w:szCs w:val="22"/>
        </w:rPr>
        <w:t xml:space="preserve">   </w:t>
      </w:r>
      <w:r>
        <w:rPr>
          <w:b/>
          <w:spacing w:val="4"/>
          <w:sz w:val="22"/>
          <w:szCs w:val="22"/>
        </w:rPr>
        <w:t>水土流失量</w:t>
      </w:r>
      <w:r>
        <w:rPr>
          <w:rFonts w:hint="eastAsia"/>
          <w:b/>
          <w:spacing w:val="4"/>
          <w:sz w:val="22"/>
          <w:szCs w:val="22"/>
        </w:rPr>
        <w:t>调查</w:t>
      </w:r>
      <w:r>
        <w:rPr>
          <w:b/>
          <w:spacing w:val="4"/>
          <w:sz w:val="22"/>
          <w:szCs w:val="22"/>
        </w:rPr>
        <w:t>统计表</w:t>
      </w:r>
    </w:p>
    <w:tbl>
      <w:tblPr>
        <w:tblW w:w="0" w:type="auto"/>
        <w:tblInd w:w="96" w:type="dxa"/>
        <w:tblLook w:val="04A0" w:firstRow="1" w:lastRow="0" w:firstColumn="1" w:lastColumn="0" w:noHBand="0" w:noVBand="1"/>
      </w:tblPr>
      <w:tblGrid>
        <w:gridCol w:w="554"/>
        <w:gridCol w:w="554"/>
        <w:gridCol w:w="1328"/>
        <w:gridCol w:w="1368"/>
        <w:gridCol w:w="905"/>
        <w:gridCol w:w="695"/>
        <w:gridCol w:w="829"/>
        <w:gridCol w:w="829"/>
        <w:gridCol w:w="751"/>
        <w:gridCol w:w="1141"/>
      </w:tblGrid>
      <w:tr w:rsidR="008E4D92">
        <w:trPr>
          <w:trHeight w:val="804"/>
        </w:trPr>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调查时段</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调查单元</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土壤侵蚀模数背景值（</w:t>
            </w:r>
            <w:r>
              <w:rPr>
                <w:rFonts w:eastAsia="serif"/>
                <w:color w:val="0000FF"/>
                <w:kern w:val="0"/>
                <w:sz w:val="18"/>
                <w:szCs w:val="18"/>
                <w:lang w:bidi="ar"/>
              </w:rPr>
              <w:t>t/km</w:t>
            </w:r>
            <w:r>
              <w:rPr>
                <w:rFonts w:eastAsia="serif"/>
                <w:color w:val="0000FF"/>
                <w:kern w:val="0"/>
                <w:sz w:val="18"/>
                <w:szCs w:val="18"/>
                <w:vertAlign w:val="superscript"/>
                <w:lang w:bidi="ar"/>
              </w:rPr>
              <w:t>2</w:t>
            </w:r>
            <w:r>
              <w:rPr>
                <w:rFonts w:eastAsia="serif"/>
                <w:color w:val="0000FF"/>
                <w:kern w:val="0"/>
                <w:sz w:val="18"/>
                <w:szCs w:val="18"/>
                <w:lang w:bidi="ar"/>
              </w:rPr>
              <w:t>.a)</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扰动后土壤侵蚀模数值（</w:t>
            </w:r>
            <w:r>
              <w:rPr>
                <w:rFonts w:eastAsia="serif"/>
                <w:color w:val="0000FF"/>
                <w:kern w:val="0"/>
                <w:sz w:val="18"/>
                <w:szCs w:val="18"/>
                <w:lang w:bidi="ar"/>
              </w:rPr>
              <w:t>t/km</w:t>
            </w:r>
            <w:r>
              <w:rPr>
                <w:rFonts w:eastAsia="serif"/>
                <w:color w:val="0000FF"/>
                <w:kern w:val="0"/>
                <w:sz w:val="18"/>
                <w:szCs w:val="18"/>
                <w:vertAlign w:val="superscript"/>
                <w:lang w:bidi="ar"/>
              </w:rPr>
              <w:t>2</w:t>
            </w:r>
            <w:r>
              <w:rPr>
                <w:rFonts w:eastAsia="serif"/>
                <w:color w:val="0000FF"/>
                <w:kern w:val="0"/>
                <w:sz w:val="18"/>
                <w:szCs w:val="18"/>
                <w:lang w:bidi="ar"/>
              </w:rPr>
              <w:t>.a)</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侵蚀面积（</w:t>
            </w:r>
            <w:r>
              <w:rPr>
                <w:rFonts w:eastAsia="serif"/>
                <w:color w:val="0000FF"/>
                <w:kern w:val="0"/>
                <w:sz w:val="18"/>
                <w:szCs w:val="18"/>
                <w:lang w:bidi="ar"/>
              </w:rPr>
              <w:t>hm</w:t>
            </w:r>
            <w:r>
              <w:rPr>
                <w:rFonts w:eastAsia="serif"/>
                <w:color w:val="0000FF"/>
                <w:kern w:val="0"/>
                <w:sz w:val="18"/>
                <w:szCs w:val="18"/>
                <w:vertAlign w:val="superscript"/>
                <w:lang w:bidi="ar"/>
              </w:rPr>
              <w:t>2</w:t>
            </w:r>
            <w:r>
              <w:rPr>
                <w:rFonts w:eastAsia="serif"/>
                <w:color w:val="0000FF"/>
                <w:kern w:val="0"/>
                <w:sz w:val="18"/>
                <w:szCs w:val="18"/>
                <w:lang w:bidi="ar"/>
              </w:rPr>
              <w:t>)</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侵蚀时间（</w:t>
            </w:r>
            <w:r>
              <w:rPr>
                <w:rFonts w:eastAsia="serif"/>
                <w:color w:val="0000FF"/>
                <w:kern w:val="0"/>
                <w:sz w:val="18"/>
                <w:szCs w:val="18"/>
                <w:lang w:bidi="ar"/>
              </w:rPr>
              <w:t>a)</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背景流失量（</w:t>
            </w:r>
            <w:r>
              <w:rPr>
                <w:rFonts w:eastAsia="serif"/>
                <w:color w:val="0000FF"/>
                <w:kern w:val="0"/>
                <w:sz w:val="18"/>
                <w:szCs w:val="18"/>
                <w:lang w:bidi="ar"/>
              </w:rPr>
              <w:t>t)</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调查流失量（</w:t>
            </w:r>
            <w:r>
              <w:rPr>
                <w:rFonts w:eastAsia="serif"/>
                <w:color w:val="0000FF"/>
                <w:kern w:val="0"/>
                <w:sz w:val="18"/>
                <w:szCs w:val="18"/>
                <w:lang w:bidi="ar"/>
              </w:rPr>
              <w:t>t)</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新增流失量（</w:t>
            </w:r>
            <w:r>
              <w:rPr>
                <w:rFonts w:eastAsia="serif"/>
                <w:color w:val="0000FF"/>
                <w:kern w:val="0"/>
                <w:sz w:val="18"/>
                <w:szCs w:val="18"/>
                <w:lang w:bidi="ar"/>
              </w:rPr>
              <w:t>t)</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占新增流失比重（%</w:t>
            </w:r>
            <w:r>
              <w:rPr>
                <w:rFonts w:eastAsia="serif"/>
                <w:color w:val="0000FF"/>
                <w:kern w:val="0"/>
                <w:sz w:val="18"/>
                <w:szCs w:val="18"/>
                <w:lang w:bidi="ar"/>
              </w:rPr>
              <w:t>)</w:t>
            </w:r>
          </w:p>
        </w:tc>
      </w:tr>
      <w:tr w:rsidR="008E4D92">
        <w:trPr>
          <w:trHeight w:val="288"/>
        </w:trPr>
        <w:tc>
          <w:tcPr>
            <w:tcW w:w="0" w:type="auto"/>
            <w:vMerge w:val="restart"/>
            <w:tcBorders>
              <w:top w:val="nil"/>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施工期</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建构筑物区</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549</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760</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0.90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4.94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6.84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1.90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34.78%</w:t>
            </w:r>
          </w:p>
        </w:tc>
      </w:tr>
      <w:tr w:rsidR="008E4D92">
        <w:trPr>
          <w:trHeight w:val="288"/>
        </w:trPr>
        <w:tc>
          <w:tcPr>
            <w:tcW w:w="0" w:type="auto"/>
            <w:vMerge/>
            <w:tcBorders>
              <w:top w:val="nil"/>
              <w:left w:val="single" w:sz="8" w:space="0" w:color="000000"/>
              <w:bottom w:val="single" w:sz="8" w:space="0" w:color="000000"/>
              <w:right w:val="single" w:sz="8" w:space="0" w:color="000000"/>
            </w:tcBorders>
            <w:shd w:val="clear" w:color="auto" w:fill="auto"/>
            <w:vAlign w:val="center"/>
          </w:tcPr>
          <w:p w:rsidR="008E4D92" w:rsidRDefault="008E4D92">
            <w:pPr>
              <w:jc w:val="center"/>
              <w:rPr>
                <w:rFonts w:ascii="serif" w:eastAsia="serif" w:hAnsi="等线" w:cs="serif"/>
                <w:color w:val="0000FF"/>
                <w:sz w:val="18"/>
                <w:szCs w:val="18"/>
              </w:rPr>
            </w:pP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配套设施区</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549</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820</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0.41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2.25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3.36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1.11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20.35%</w:t>
            </w:r>
          </w:p>
        </w:tc>
      </w:tr>
      <w:tr w:rsidR="008E4D92">
        <w:trPr>
          <w:trHeight w:val="288"/>
        </w:trPr>
        <w:tc>
          <w:tcPr>
            <w:tcW w:w="0" w:type="auto"/>
            <w:vMerge/>
            <w:tcBorders>
              <w:top w:val="nil"/>
              <w:left w:val="single" w:sz="8" w:space="0" w:color="000000"/>
              <w:bottom w:val="single" w:sz="8" w:space="0" w:color="000000"/>
              <w:right w:val="single" w:sz="8" w:space="0" w:color="000000"/>
            </w:tcBorders>
            <w:shd w:val="clear" w:color="auto" w:fill="auto"/>
            <w:vAlign w:val="center"/>
          </w:tcPr>
          <w:p w:rsidR="008E4D92" w:rsidRDefault="008E4D92">
            <w:pPr>
              <w:jc w:val="center"/>
              <w:rPr>
                <w:rFonts w:ascii="serif" w:eastAsia="serif" w:hAnsi="等线" w:cs="serif"/>
                <w:color w:val="0000FF"/>
                <w:sz w:val="18"/>
                <w:szCs w:val="18"/>
              </w:rPr>
            </w:pP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小计</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1.31 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7.19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10.20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5.24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95.97%</w:t>
            </w:r>
          </w:p>
        </w:tc>
      </w:tr>
      <w:tr w:rsidR="008E4D92">
        <w:trPr>
          <w:trHeight w:val="288"/>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合计</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7.19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10.20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5.24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95.97%</w:t>
            </w:r>
          </w:p>
        </w:tc>
      </w:tr>
      <w:tr w:rsidR="008E4D92">
        <w:trPr>
          <w:trHeight w:val="288"/>
        </w:trPr>
        <w:tc>
          <w:tcPr>
            <w:tcW w:w="0" w:type="auto"/>
            <w:tcBorders>
              <w:top w:val="nil"/>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自然恢复期</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景观绿化区</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549</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600</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0.32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2</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3.51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3.84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0.22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4.03%</w:t>
            </w:r>
          </w:p>
        </w:tc>
      </w:tr>
      <w:tr w:rsidR="008E4D92">
        <w:trPr>
          <w:trHeight w:val="288"/>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ascii="serif" w:eastAsia="serif" w:hAnsi="等线" w:cs="serif"/>
                <w:color w:val="0000FF"/>
                <w:sz w:val="18"/>
                <w:szCs w:val="18"/>
              </w:rPr>
            </w:pPr>
            <w:r>
              <w:rPr>
                <w:rFonts w:ascii="serif" w:eastAsia="serif" w:hAnsi="等线" w:cs="serif"/>
                <w:color w:val="0000FF"/>
                <w:kern w:val="0"/>
                <w:sz w:val="18"/>
                <w:szCs w:val="18"/>
                <w:lang w:bidi="ar"/>
              </w:rPr>
              <w:t>总计</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10.71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14.04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5.46 </w:t>
            </w:r>
          </w:p>
        </w:tc>
        <w:tc>
          <w:tcPr>
            <w:tcW w:w="0" w:type="auto"/>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100.00%</w:t>
            </w:r>
          </w:p>
        </w:tc>
      </w:tr>
    </w:tbl>
    <w:p w:rsidR="008E4D92" w:rsidRDefault="008E4D92">
      <w:pPr>
        <w:pStyle w:val="30"/>
        <w:tabs>
          <w:tab w:val="left" w:pos="1620"/>
        </w:tabs>
        <w:spacing w:line="360" w:lineRule="auto"/>
        <w:ind w:firstLine="480"/>
        <w:rPr>
          <w:rFonts w:eastAsia="仿宋"/>
          <w:sz w:val="24"/>
          <w:szCs w:val="24"/>
        </w:rPr>
      </w:pPr>
    </w:p>
    <w:p w:rsidR="008E4D92" w:rsidRDefault="008B068A">
      <w:pPr>
        <w:pStyle w:val="1"/>
        <w:jc w:val="center"/>
      </w:pPr>
      <w:r>
        <w:br w:type="page"/>
      </w:r>
      <w:bookmarkStart w:id="189" w:name="_Toc12594"/>
      <w:r>
        <w:lastRenderedPageBreak/>
        <w:t>5</w:t>
      </w:r>
      <w:r>
        <w:t>水土保持措施</w:t>
      </w:r>
      <w:bookmarkEnd w:id="189"/>
    </w:p>
    <w:p w:rsidR="008E4D92" w:rsidRDefault="008B068A">
      <w:pPr>
        <w:pStyle w:val="2"/>
        <w:rPr>
          <w:bCs/>
          <w:spacing w:val="0"/>
          <w:kern w:val="30"/>
          <w:szCs w:val="30"/>
        </w:rPr>
      </w:pPr>
      <w:bookmarkStart w:id="190" w:name="_Toc28002"/>
      <w:bookmarkStart w:id="191" w:name="_Toc21842"/>
      <w:bookmarkStart w:id="192" w:name="_Toc32478"/>
      <w:bookmarkStart w:id="193" w:name="_Toc23784"/>
      <w:bookmarkStart w:id="194" w:name="_Toc32162"/>
      <w:r>
        <w:rPr>
          <w:bCs/>
          <w:spacing w:val="0"/>
          <w:kern w:val="30"/>
          <w:szCs w:val="30"/>
        </w:rPr>
        <w:t>5.1</w:t>
      </w:r>
      <w:r>
        <w:rPr>
          <w:bCs/>
          <w:spacing w:val="0"/>
          <w:kern w:val="30"/>
          <w:szCs w:val="30"/>
        </w:rPr>
        <w:t>防治区划分</w:t>
      </w:r>
      <w:bookmarkEnd w:id="190"/>
      <w:bookmarkEnd w:id="191"/>
      <w:bookmarkEnd w:id="192"/>
      <w:bookmarkEnd w:id="193"/>
    </w:p>
    <w:p w:rsidR="008E4D92" w:rsidRDefault="008B068A">
      <w:pPr>
        <w:pStyle w:val="3"/>
        <w:widowControl/>
        <w:tabs>
          <w:tab w:val="center" w:pos="4252"/>
        </w:tabs>
        <w:rPr>
          <w:szCs w:val="28"/>
        </w:rPr>
      </w:pPr>
      <w:r>
        <w:rPr>
          <w:szCs w:val="28"/>
        </w:rPr>
        <w:t>5.1.1</w:t>
      </w:r>
      <w:r>
        <w:rPr>
          <w:szCs w:val="28"/>
        </w:rPr>
        <w:t>防治分区原则</w:t>
      </w:r>
    </w:p>
    <w:p w:rsidR="008E4D92" w:rsidRDefault="008B068A">
      <w:pPr>
        <w:autoSpaceDE w:val="0"/>
        <w:autoSpaceDN w:val="0"/>
        <w:adjustRightInd/>
        <w:snapToGrid/>
        <w:spacing w:line="360" w:lineRule="auto"/>
        <w:ind w:firstLineChars="200" w:firstLine="480"/>
        <w:rPr>
          <w:bCs/>
          <w:szCs w:val="24"/>
        </w:rPr>
      </w:pPr>
      <w:r>
        <w:rPr>
          <w:bCs/>
          <w:szCs w:val="24"/>
        </w:rPr>
        <w:t>本《方案》水土流失防治分区遵循下列原则：</w:t>
      </w:r>
    </w:p>
    <w:p w:rsidR="008E4D92" w:rsidRDefault="008B068A">
      <w:pPr>
        <w:autoSpaceDE w:val="0"/>
        <w:autoSpaceDN w:val="0"/>
        <w:adjustRightInd/>
        <w:snapToGrid/>
        <w:spacing w:line="360" w:lineRule="auto"/>
        <w:ind w:firstLineChars="200" w:firstLine="480"/>
        <w:rPr>
          <w:bCs/>
          <w:szCs w:val="24"/>
        </w:rPr>
      </w:pPr>
      <w:r>
        <w:rPr>
          <w:bCs/>
          <w:szCs w:val="24"/>
        </w:rPr>
        <w:t>（</w:t>
      </w:r>
      <w:r>
        <w:rPr>
          <w:bCs/>
          <w:szCs w:val="24"/>
        </w:rPr>
        <w:t>1</w:t>
      </w:r>
      <w:r>
        <w:rPr>
          <w:bCs/>
          <w:szCs w:val="24"/>
        </w:rPr>
        <w:t>）差异性原则。各防治分区之间的的自然条件、造成水土流失的影响因素、水土流失的特点要具有显著的差异；</w:t>
      </w:r>
    </w:p>
    <w:p w:rsidR="008E4D92" w:rsidRDefault="008B068A">
      <w:pPr>
        <w:autoSpaceDE w:val="0"/>
        <w:autoSpaceDN w:val="0"/>
        <w:adjustRightInd/>
        <w:snapToGrid/>
        <w:spacing w:line="360" w:lineRule="auto"/>
        <w:ind w:firstLineChars="200" w:firstLine="480"/>
        <w:rPr>
          <w:bCs/>
          <w:szCs w:val="24"/>
        </w:rPr>
      </w:pPr>
      <w:r>
        <w:rPr>
          <w:bCs/>
          <w:szCs w:val="24"/>
        </w:rPr>
        <w:t>（</w:t>
      </w:r>
      <w:r>
        <w:rPr>
          <w:bCs/>
          <w:szCs w:val="24"/>
        </w:rPr>
        <w:t>2</w:t>
      </w:r>
      <w:r>
        <w:rPr>
          <w:bCs/>
          <w:szCs w:val="24"/>
        </w:rPr>
        <w:t>）相似性原则。各防治分区内造成的水土流失主导因子、水土流失防治措施布局或方向应相近或相似；</w:t>
      </w:r>
    </w:p>
    <w:p w:rsidR="008E4D92" w:rsidRDefault="008B068A">
      <w:pPr>
        <w:autoSpaceDE w:val="0"/>
        <w:autoSpaceDN w:val="0"/>
        <w:adjustRightInd/>
        <w:snapToGrid/>
        <w:spacing w:line="360" w:lineRule="auto"/>
        <w:ind w:firstLineChars="200" w:firstLine="480"/>
        <w:rPr>
          <w:bCs/>
          <w:szCs w:val="24"/>
        </w:rPr>
      </w:pPr>
      <w:r>
        <w:rPr>
          <w:bCs/>
          <w:szCs w:val="24"/>
        </w:rPr>
        <w:t>（</w:t>
      </w:r>
      <w:r>
        <w:rPr>
          <w:bCs/>
          <w:szCs w:val="24"/>
        </w:rPr>
        <w:t>3</w:t>
      </w:r>
      <w:r>
        <w:rPr>
          <w:bCs/>
          <w:szCs w:val="24"/>
        </w:rPr>
        <w:t>）整体性原则。各防治分区要覆盖整个防治责任范围，并考虑各分区相对集中和完整性。</w:t>
      </w:r>
    </w:p>
    <w:p w:rsidR="008E4D92" w:rsidRDefault="008B068A">
      <w:pPr>
        <w:autoSpaceDE w:val="0"/>
        <w:autoSpaceDN w:val="0"/>
        <w:adjustRightInd/>
        <w:snapToGrid/>
        <w:spacing w:line="360" w:lineRule="auto"/>
        <w:ind w:firstLineChars="200" w:firstLine="480"/>
        <w:rPr>
          <w:bCs/>
          <w:szCs w:val="24"/>
        </w:rPr>
      </w:pPr>
      <w:r>
        <w:rPr>
          <w:bCs/>
          <w:szCs w:val="24"/>
        </w:rPr>
        <w:t>（</w:t>
      </w:r>
      <w:r>
        <w:rPr>
          <w:bCs/>
          <w:szCs w:val="24"/>
        </w:rPr>
        <w:t>4</w:t>
      </w:r>
      <w:r>
        <w:rPr>
          <w:bCs/>
          <w:szCs w:val="24"/>
        </w:rPr>
        <w:t>）一级分区应具有控制性、整体性、全局性；二级及其以下分区应结合工程布局和施工区进行逐级分区。</w:t>
      </w:r>
    </w:p>
    <w:p w:rsidR="008E4D92" w:rsidRDefault="008B068A">
      <w:pPr>
        <w:pStyle w:val="3"/>
        <w:widowControl/>
        <w:tabs>
          <w:tab w:val="center" w:pos="4252"/>
        </w:tabs>
        <w:adjustRightInd/>
        <w:snapToGrid/>
        <w:rPr>
          <w:szCs w:val="28"/>
        </w:rPr>
      </w:pPr>
      <w:bookmarkStart w:id="195" w:name="_Toc179486846"/>
      <w:bookmarkStart w:id="196" w:name="_Toc205692980"/>
      <w:r>
        <w:rPr>
          <w:szCs w:val="28"/>
        </w:rPr>
        <w:t>5.1.2</w:t>
      </w:r>
      <w:r>
        <w:rPr>
          <w:szCs w:val="28"/>
        </w:rPr>
        <w:t>分区依据</w:t>
      </w:r>
      <w:bookmarkEnd w:id="195"/>
      <w:bookmarkEnd w:id="196"/>
    </w:p>
    <w:p w:rsidR="008E4D92" w:rsidRDefault="008B068A">
      <w:pPr>
        <w:autoSpaceDE w:val="0"/>
        <w:autoSpaceDN w:val="0"/>
        <w:adjustRightInd/>
        <w:snapToGrid/>
        <w:spacing w:line="360" w:lineRule="auto"/>
        <w:ind w:firstLineChars="200" w:firstLine="480"/>
        <w:rPr>
          <w:bCs/>
          <w:szCs w:val="24"/>
        </w:rPr>
      </w:pPr>
      <w:r>
        <w:rPr>
          <w:bCs/>
          <w:szCs w:val="24"/>
        </w:rPr>
        <w:t>根据野外调查结果，在确定的防治责任范围内，依据主体工程布局、施工扰动特点、建设时序、地貌特征、自然属性、水土流失影响等进行分区。</w:t>
      </w:r>
    </w:p>
    <w:p w:rsidR="008E4D92" w:rsidRDefault="008B068A">
      <w:pPr>
        <w:autoSpaceDE w:val="0"/>
        <w:autoSpaceDN w:val="0"/>
        <w:adjustRightInd/>
        <w:snapToGrid/>
        <w:spacing w:line="360" w:lineRule="auto"/>
        <w:ind w:firstLineChars="200" w:firstLine="480"/>
        <w:rPr>
          <w:bCs/>
          <w:szCs w:val="24"/>
        </w:rPr>
      </w:pPr>
      <w:r>
        <w:rPr>
          <w:bCs/>
          <w:szCs w:val="24"/>
        </w:rPr>
        <w:t>由于本项目造成的水土流失绝大部分发生在施工期，故在项目水土流失防治分区的划分过程中充分考虑主体工程布局和各类工程活动的特点和时序，同时结合本工程水土流失初步分析结果，将时序基本相同、功能接近、工程布局相对集中的工区划分为水土流失防治一级区，之后根据项目工程特征、施工工艺、施工组织等划分二级区。</w:t>
      </w:r>
    </w:p>
    <w:p w:rsidR="008E4D92" w:rsidRDefault="008B068A">
      <w:pPr>
        <w:pStyle w:val="3"/>
        <w:widowControl/>
        <w:tabs>
          <w:tab w:val="center" w:pos="4252"/>
        </w:tabs>
        <w:adjustRightInd/>
        <w:snapToGrid/>
        <w:rPr>
          <w:szCs w:val="28"/>
        </w:rPr>
      </w:pPr>
      <w:bookmarkStart w:id="197" w:name="_Toc205692981"/>
      <w:bookmarkStart w:id="198" w:name="_Toc179486847"/>
      <w:r>
        <w:rPr>
          <w:szCs w:val="28"/>
        </w:rPr>
        <w:t>5.1.3</w:t>
      </w:r>
      <w:r>
        <w:rPr>
          <w:szCs w:val="28"/>
        </w:rPr>
        <w:t>分区结果</w:t>
      </w:r>
      <w:bookmarkEnd w:id="197"/>
      <w:bookmarkEnd w:id="198"/>
    </w:p>
    <w:p w:rsidR="008E4D92" w:rsidRDefault="008B068A">
      <w:pPr>
        <w:widowControl/>
        <w:autoSpaceDE w:val="0"/>
        <w:autoSpaceDN w:val="0"/>
        <w:adjustRightInd/>
        <w:snapToGrid/>
        <w:spacing w:line="360" w:lineRule="auto"/>
        <w:ind w:firstLineChars="200" w:firstLine="480"/>
        <w:rPr>
          <w:bCs/>
          <w:szCs w:val="24"/>
        </w:rPr>
      </w:pPr>
      <w:r>
        <w:rPr>
          <w:bCs/>
          <w:szCs w:val="24"/>
        </w:rPr>
        <w:t>根据上述分区原则与依据，结合本项目的特点，将本项目划分成</w:t>
      </w:r>
      <w:r>
        <w:rPr>
          <w:bCs/>
          <w:szCs w:val="24"/>
        </w:rPr>
        <w:t>2</w:t>
      </w:r>
      <w:r>
        <w:rPr>
          <w:bCs/>
          <w:szCs w:val="24"/>
        </w:rPr>
        <w:t>个水土流失一级防治区，</w:t>
      </w:r>
      <w:r>
        <w:rPr>
          <w:rFonts w:hint="eastAsia"/>
          <w:bCs/>
          <w:szCs w:val="24"/>
        </w:rPr>
        <w:t>分别</w:t>
      </w:r>
      <w:r>
        <w:rPr>
          <w:bCs/>
          <w:szCs w:val="24"/>
        </w:rPr>
        <w:t>是</w:t>
      </w:r>
      <w:r>
        <w:rPr>
          <w:rFonts w:hint="eastAsia"/>
          <w:bCs/>
          <w:color w:val="0000FF"/>
          <w:szCs w:val="24"/>
        </w:rPr>
        <w:t>建构筑物区</w:t>
      </w:r>
      <w:r>
        <w:rPr>
          <w:color w:val="0000FF"/>
          <w:szCs w:val="24"/>
        </w:rPr>
        <w:t>、附属设施区</w:t>
      </w:r>
      <w:r>
        <w:rPr>
          <w:szCs w:val="24"/>
        </w:rPr>
        <w:t>，</w:t>
      </w:r>
      <w:r>
        <w:rPr>
          <w:bCs/>
          <w:szCs w:val="24"/>
        </w:rPr>
        <w:t>详见表</w:t>
      </w:r>
      <w:r>
        <w:rPr>
          <w:bCs/>
          <w:szCs w:val="24"/>
        </w:rPr>
        <w:t>5-1</w:t>
      </w:r>
      <w:r>
        <w:rPr>
          <w:bCs/>
          <w:szCs w:val="24"/>
        </w:rPr>
        <w:t>。根据现场调查，确定本项目水土保持防治责任范围，详见表</w:t>
      </w:r>
      <w:r>
        <w:rPr>
          <w:bCs/>
          <w:szCs w:val="24"/>
        </w:rPr>
        <w:t>5-2</w:t>
      </w:r>
      <w:r>
        <w:rPr>
          <w:bCs/>
          <w:szCs w:val="24"/>
        </w:rPr>
        <w:t>。</w:t>
      </w:r>
    </w:p>
    <w:p w:rsidR="008E4D92" w:rsidRDefault="008B068A">
      <w:pPr>
        <w:widowControl/>
        <w:autoSpaceDE w:val="0"/>
        <w:autoSpaceDN w:val="0"/>
        <w:adjustRightInd/>
        <w:snapToGrid/>
        <w:jc w:val="center"/>
        <w:rPr>
          <w:b/>
          <w:sz w:val="22"/>
          <w:szCs w:val="22"/>
        </w:rPr>
      </w:pPr>
      <w:r>
        <w:rPr>
          <w:b/>
          <w:sz w:val="22"/>
          <w:szCs w:val="22"/>
        </w:rPr>
        <w:t>表</w:t>
      </w:r>
      <w:r>
        <w:rPr>
          <w:b/>
          <w:sz w:val="22"/>
          <w:szCs w:val="22"/>
        </w:rPr>
        <w:t xml:space="preserve">5-1      </w:t>
      </w:r>
      <w:r>
        <w:rPr>
          <w:b/>
          <w:sz w:val="22"/>
          <w:szCs w:val="22"/>
        </w:rPr>
        <w:t>项目建设区水土流失防治分区表</w:t>
      </w:r>
    </w:p>
    <w:tbl>
      <w:tblPr>
        <w:tblW w:w="8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34"/>
      </w:tblGrid>
      <w:tr w:rsidR="008E4D92">
        <w:trPr>
          <w:trHeight w:hRule="exact" w:val="340"/>
        </w:trPr>
        <w:tc>
          <w:tcPr>
            <w:tcW w:w="8534" w:type="dxa"/>
            <w:tcBorders>
              <w:tl2br w:val="nil"/>
              <w:tr2bl w:val="nil"/>
            </w:tcBorders>
            <w:noWrap/>
            <w:tcMar>
              <w:top w:w="15" w:type="dxa"/>
              <w:left w:w="15" w:type="dxa"/>
              <w:right w:w="15" w:type="dxa"/>
            </w:tcMar>
            <w:vAlign w:val="center"/>
          </w:tcPr>
          <w:p w:rsidR="008E4D92" w:rsidRDefault="008B068A">
            <w:pPr>
              <w:widowControl/>
              <w:jc w:val="center"/>
              <w:textAlignment w:val="center"/>
              <w:rPr>
                <w:sz w:val="20"/>
              </w:rPr>
            </w:pPr>
            <w:r>
              <w:rPr>
                <w:kern w:val="0"/>
                <w:sz w:val="20"/>
                <w:lang w:bidi="ar"/>
              </w:rPr>
              <w:t>项目组成</w:t>
            </w:r>
          </w:p>
        </w:tc>
      </w:tr>
      <w:tr w:rsidR="008E4D92">
        <w:trPr>
          <w:trHeight w:hRule="exact" w:val="340"/>
        </w:trPr>
        <w:tc>
          <w:tcPr>
            <w:tcW w:w="8534" w:type="dxa"/>
            <w:tcBorders>
              <w:tl2br w:val="nil"/>
              <w:tr2bl w:val="nil"/>
            </w:tcBorders>
            <w:noWrap/>
            <w:tcMar>
              <w:top w:w="15" w:type="dxa"/>
              <w:left w:w="15" w:type="dxa"/>
              <w:right w:w="15" w:type="dxa"/>
            </w:tcMar>
            <w:vAlign w:val="center"/>
          </w:tcPr>
          <w:p w:rsidR="008E4D92" w:rsidRDefault="008B068A">
            <w:pPr>
              <w:widowControl/>
              <w:jc w:val="center"/>
              <w:textAlignment w:val="center"/>
              <w:rPr>
                <w:sz w:val="20"/>
              </w:rPr>
            </w:pPr>
            <w:r>
              <w:rPr>
                <w:rFonts w:hint="eastAsia"/>
                <w:kern w:val="0"/>
                <w:sz w:val="20"/>
                <w:lang w:bidi="ar"/>
              </w:rPr>
              <w:t>建构筑物区</w:t>
            </w:r>
          </w:p>
        </w:tc>
      </w:tr>
      <w:tr w:rsidR="008E4D92">
        <w:trPr>
          <w:trHeight w:hRule="exact" w:val="340"/>
        </w:trPr>
        <w:tc>
          <w:tcPr>
            <w:tcW w:w="8534" w:type="dxa"/>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0"/>
                <w:lang w:bidi="ar"/>
              </w:rPr>
            </w:pPr>
            <w:r>
              <w:rPr>
                <w:rFonts w:hint="eastAsia"/>
                <w:kern w:val="0"/>
                <w:sz w:val="20"/>
                <w:lang w:bidi="ar"/>
              </w:rPr>
              <w:t>附属设施区</w:t>
            </w:r>
          </w:p>
        </w:tc>
      </w:tr>
    </w:tbl>
    <w:p w:rsidR="008E4D92" w:rsidRDefault="008E4D92">
      <w:pPr>
        <w:pStyle w:val="08522"/>
        <w:ind w:firstLine="0"/>
        <w:rPr>
          <w:b/>
          <w:sz w:val="22"/>
          <w:szCs w:val="22"/>
        </w:rPr>
      </w:pPr>
      <w:bookmarkStart w:id="199" w:name="_Toc9351"/>
    </w:p>
    <w:p w:rsidR="008E4D92" w:rsidRDefault="008B068A">
      <w:pPr>
        <w:pStyle w:val="08522"/>
        <w:jc w:val="center"/>
        <w:rPr>
          <w:b/>
          <w:sz w:val="22"/>
          <w:szCs w:val="22"/>
        </w:rPr>
      </w:pPr>
      <w:r>
        <w:rPr>
          <w:b/>
          <w:sz w:val="22"/>
          <w:szCs w:val="22"/>
        </w:rPr>
        <w:t>表</w:t>
      </w:r>
      <w:r>
        <w:rPr>
          <w:b/>
          <w:sz w:val="22"/>
          <w:szCs w:val="22"/>
        </w:rPr>
        <w:t xml:space="preserve">5-2    </w:t>
      </w:r>
      <w:r>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1"/>
        <w:gridCol w:w="2264"/>
        <w:gridCol w:w="2264"/>
        <w:gridCol w:w="2266"/>
      </w:tblGrid>
      <w:tr w:rsidR="008E4D92">
        <w:trPr>
          <w:trHeight w:hRule="exact" w:val="415"/>
          <w:jc w:val="center"/>
        </w:trPr>
        <w:tc>
          <w:tcPr>
            <w:tcW w:w="1248" w:type="pct"/>
            <w:vMerge w:val="restart"/>
            <w:tcBorders>
              <w:tl2br w:val="nil"/>
              <w:tr2bl w:val="nil"/>
            </w:tcBorders>
            <w:noWrap/>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小计</w:t>
            </w:r>
          </w:p>
        </w:tc>
        <w:tc>
          <w:tcPr>
            <w:tcW w:w="2501" w:type="pct"/>
            <w:gridSpan w:val="2"/>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水土保持防治责任范围表</w:t>
            </w:r>
          </w:p>
        </w:tc>
      </w:tr>
      <w:tr w:rsidR="008E4D92">
        <w:trPr>
          <w:trHeight w:hRule="exact" w:val="419"/>
          <w:jc w:val="center"/>
        </w:trPr>
        <w:tc>
          <w:tcPr>
            <w:tcW w:w="1248" w:type="pct"/>
            <w:vMerge/>
            <w:tcBorders>
              <w:tl2br w:val="nil"/>
              <w:tr2bl w:val="nil"/>
            </w:tcBorders>
            <w:noWrap/>
            <w:tcMar>
              <w:top w:w="15" w:type="dxa"/>
              <w:left w:w="15" w:type="dxa"/>
              <w:right w:w="15" w:type="dxa"/>
            </w:tcMar>
            <w:vAlign w:val="center"/>
          </w:tcPr>
          <w:p w:rsidR="008E4D92" w:rsidRDefault="008E4D92">
            <w:pPr>
              <w:widowControl/>
              <w:jc w:val="center"/>
              <w:textAlignment w:val="center"/>
              <w:rPr>
                <w:sz w:val="21"/>
                <w:szCs w:val="21"/>
              </w:rPr>
            </w:pPr>
          </w:p>
        </w:tc>
        <w:tc>
          <w:tcPr>
            <w:tcW w:w="1250" w:type="pct"/>
            <w:vMerge/>
            <w:tcBorders>
              <w:tl2br w:val="nil"/>
              <w:tr2bl w:val="nil"/>
            </w:tcBorders>
            <w:noWrap/>
            <w:tcMar>
              <w:top w:w="15" w:type="dxa"/>
              <w:left w:w="15" w:type="dxa"/>
              <w:right w:w="15" w:type="dxa"/>
            </w:tcMar>
            <w:vAlign w:val="center"/>
          </w:tcPr>
          <w:p w:rsidR="008E4D92" w:rsidRDefault="008E4D92">
            <w:pPr>
              <w:widowControl/>
              <w:jc w:val="center"/>
              <w:textAlignment w:val="center"/>
              <w:rPr>
                <w:kern w:val="0"/>
                <w:sz w:val="21"/>
                <w:szCs w:val="21"/>
                <w:lang w:bidi="ar"/>
              </w:rPr>
            </w:pP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直接影响区</w:t>
            </w:r>
          </w:p>
        </w:tc>
      </w:tr>
      <w:tr w:rsidR="008E4D92">
        <w:trPr>
          <w:trHeight w:hRule="exact" w:val="427"/>
          <w:jc w:val="center"/>
        </w:trPr>
        <w:tc>
          <w:tcPr>
            <w:tcW w:w="1248" w:type="pct"/>
            <w:tcBorders>
              <w:tl2br w:val="nil"/>
              <w:tr2bl w:val="nil"/>
            </w:tcBorders>
            <w:noWrap/>
            <w:tcMar>
              <w:top w:w="15" w:type="dxa"/>
              <w:left w:w="15" w:type="dxa"/>
              <w:right w:w="15" w:type="dxa"/>
            </w:tcMar>
            <w:vAlign w:val="center"/>
          </w:tcPr>
          <w:p w:rsidR="008E4D92" w:rsidRDefault="008B068A">
            <w:pPr>
              <w:widowControl/>
              <w:jc w:val="center"/>
              <w:textAlignment w:val="center"/>
              <w:rPr>
                <w:sz w:val="21"/>
                <w:szCs w:val="21"/>
              </w:rPr>
            </w:pPr>
            <w:r>
              <w:rPr>
                <w:rFonts w:hint="eastAsia"/>
                <w:kern w:val="0"/>
                <w:sz w:val="21"/>
                <w:szCs w:val="21"/>
                <w:lang w:bidi="ar"/>
              </w:rPr>
              <w:t>建构筑物区</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0.90</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0.90</w:t>
            </w:r>
          </w:p>
        </w:tc>
        <w:tc>
          <w:tcPr>
            <w:tcW w:w="1251"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w:t>
            </w:r>
          </w:p>
        </w:tc>
      </w:tr>
      <w:tr w:rsidR="008E4D92">
        <w:trPr>
          <w:trHeight w:hRule="exact" w:val="575"/>
          <w:jc w:val="center"/>
        </w:trPr>
        <w:tc>
          <w:tcPr>
            <w:tcW w:w="1248" w:type="pct"/>
            <w:tcBorders>
              <w:tl2br w:val="nil"/>
              <w:tr2bl w:val="nil"/>
            </w:tcBorders>
            <w:noWrap/>
            <w:tcMar>
              <w:top w:w="15" w:type="dxa"/>
              <w:left w:w="15" w:type="dxa"/>
              <w:right w:w="15" w:type="dxa"/>
            </w:tcMar>
            <w:vAlign w:val="center"/>
          </w:tcPr>
          <w:p w:rsidR="008E4D92" w:rsidRDefault="008B068A">
            <w:pPr>
              <w:widowControl/>
              <w:jc w:val="center"/>
              <w:textAlignment w:val="center"/>
              <w:rPr>
                <w:sz w:val="21"/>
                <w:szCs w:val="21"/>
              </w:rPr>
            </w:pPr>
            <w:r>
              <w:rPr>
                <w:rFonts w:hint="eastAsia"/>
                <w:kern w:val="0"/>
                <w:sz w:val="21"/>
                <w:szCs w:val="21"/>
                <w:lang w:bidi="ar"/>
              </w:rPr>
              <w:t>附属设施区</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0.41</w:t>
            </w:r>
          </w:p>
        </w:tc>
        <w:tc>
          <w:tcPr>
            <w:tcW w:w="1250" w:type="pct"/>
            <w:tcBorders>
              <w:tl2br w:val="nil"/>
              <w:tr2bl w:val="nil"/>
            </w:tcBorders>
            <w:noWrap/>
            <w:tcMar>
              <w:top w:w="15" w:type="dxa"/>
              <w:left w:w="15" w:type="dxa"/>
              <w:right w:w="15" w:type="dxa"/>
            </w:tcMar>
            <w:vAlign w:val="center"/>
          </w:tcPr>
          <w:p w:rsidR="008E4D92" w:rsidRDefault="008B068A">
            <w:pPr>
              <w:widowControl/>
              <w:jc w:val="center"/>
              <w:textAlignment w:val="center"/>
              <w:rPr>
                <w:bCs/>
                <w:kern w:val="0"/>
                <w:sz w:val="21"/>
                <w:szCs w:val="21"/>
              </w:rPr>
            </w:pPr>
            <w:r>
              <w:rPr>
                <w:kern w:val="0"/>
                <w:sz w:val="21"/>
                <w:szCs w:val="21"/>
                <w:lang w:bidi="ar"/>
              </w:rPr>
              <w:t>0.41</w:t>
            </w:r>
          </w:p>
        </w:tc>
        <w:tc>
          <w:tcPr>
            <w:tcW w:w="1251" w:type="pct"/>
            <w:tcBorders>
              <w:tl2br w:val="nil"/>
              <w:tr2bl w:val="nil"/>
            </w:tcBorders>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w:t>
            </w:r>
          </w:p>
        </w:tc>
      </w:tr>
      <w:tr w:rsidR="008E4D92">
        <w:trPr>
          <w:trHeight w:hRule="exact" w:val="412"/>
          <w:jc w:val="center"/>
        </w:trPr>
        <w:tc>
          <w:tcPr>
            <w:tcW w:w="0" w:type="auto"/>
            <w:vAlign w:val="center"/>
          </w:tcPr>
          <w:p w:rsidR="008E4D92" w:rsidRDefault="008B068A">
            <w:pPr>
              <w:widowControl/>
              <w:jc w:val="center"/>
              <w:textAlignment w:val="center"/>
              <w:rPr>
                <w:sz w:val="21"/>
                <w:szCs w:val="21"/>
              </w:rPr>
            </w:pPr>
            <w:r>
              <w:rPr>
                <w:sz w:val="21"/>
                <w:szCs w:val="21"/>
              </w:rPr>
              <w:t>合计</w:t>
            </w:r>
          </w:p>
        </w:tc>
        <w:tc>
          <w:tcPr>
            <w:tcW w:w="0" w:type="auto"/>
            <w:vAlign w:val="center"/>
          </w:tcPr>
          <w:p w:rsidR="008E4D92" w:rsidRDefault="008B068A">
            <w:pPr>
              <w:widowControl/>
              <w:jc w:val="center"/>
              <w:textAlignment w:val="center"/>
              <w:rPr>
                <w:bCs/>
                <w:kern w:val="0"/>
                <w:sz w:val="21"/>
                <w:szCs w:val="21"/>
              </w:rPr>
            </w:pPr>
            <w:r>
              <w:rPr>
                <w:kern w:val="0"/>
                <w:sz w:val="21"/>
                <w:szCs w:val="21"/>
                <w:lang w:bidi="ar"/>
              </w:rPr>
              <w:t>1.31</w:t>
            </w:r>
          </w:p>
        </w:tc>
        <w:tc>
          <w:tcPr>
            <w:tcW w:w="0" w:type="auto"/>
            <w:vAlign w:val="center"/>
          </w:tcPr>
          <w:p w:rsidR="008E4D92" w:rsidRDefault="008B068A">
            <w:pPr>
              <w:widowControl/>
              <w:jc w:val="center"/>
              <w:textAlignment w:val="center"/>
              <w:rPr>
                <w:bCs/>
                <w:kern w:val="0"/>
                <w:sz w:val="21"/>
                <w:szCs w:val="21"/>
              </w:rPr>
            </w:pPr>
            <w:r>
              <w:rPr>
                <w:kern w:val="0"/>
                <w:sz w:val="21"/>
                <w:szCs w:val="21"/>
                <w:lang w:bidi="ar"/>
              </w:rPr>
              <w:t>1.31</w:t>
            </w:r>
          </w:p>
        </w:tc>
        <w:tc>
          <w:tcPr>
            <w:tcW w:w="0" w:type="auto"/>
            <w:vAlign w:val="center"/>
          </w:tcPr>
          <w:p w:rsidR="008E4D92" w:rsidRDefault="008B068A">
            <w:pPr>
              <w:widowControl/>
              <w:jc w:val="center"/>
              <w:textAlignment w:val="center"/>
              <w:rPr>
                <w:kern w:val="0"/>
                <w:sz w:val="21"/>
                <w:szCs w:val="21"/>
                <w:lang w:bidi="ar"/>
              </w:rPr>
            </w:pPr>
            <w:r>
              <w:rPr>
                <w:kern w:val="0"/>
                <w:sz w:val="21"/>
                <w:szCs w:val="21"/>
                <w:lang w:bidi="ar"/>
              </w:rPr>
              <w:t>-</w:t>
            </w:r>
          </w:p>
        </w:tc>
      </w:tr>
    </w:tbl>
    <w:p w:rsidR="008E4D92" w:rsidRDefault="008B068A">
      <w:pPr>
        <w:pStyle w:val="2"/>
        <w:spacing w:beforeLines="50" w:before="120"/>
      </w:pPr>
      <w:bookmarkStart w:id="200" w:name="_Toc4520"/>
      <w:r>
        <w:t>5.2</w:t>
      </w:r>
      <w:r>
        <w:t>主体工程设计中具有水土保持措施界定与评价</w:t>
      </w:r>
      <w:bookmarkEnd w:id="194"/>
      <w:bookmarkEnd w:id="199"/>
      <w:bookmarkEnd w:id="200"/>
    </w:p>
    <w:p w:rsidR="008E4D92" w:rsidRDefault="008B068A">
      <w:pPr>
        <w:pStyle w:val="3"/>
      </w:pPr>
      <w:r>
        <w:t>5.1.1</w:t>
      </w:r>
      <w:r>
        <w:t>界定原则</w:t>
      </w:r>
    </w:p>
    <w:p w:rsidR="008E4D92" w:rsidRDefault="008B068A">
      <w:pPr>
        <w:widowControl/>
        <w:adjustRightInd/>
        <w:snapToGrid/>
        <w:spacing w:line="360" w:lineRule="auto"/>
        <w:ind w:firstLine="420"/>
      </w:pPr>
      <w:r>
        <w:t>（</w:t>
      </w:r>
      <w:r>
        <w:t>1</w:t>
      </w:r>
      <w:r>
        <w:t>）主导功能原则</w:t>
      </w:r>
    </w:p>
    <w:p w:rsidR="008E4D92" w:rsidRDefault="008B068A">
      <w:pPr>
        <w:widowControl/>
        <w:adjustRightInd/>
        <w:snapToGrid/>
        <w:spacing w:line="360" w:lineRule="auto"/>
        <w:ind w:firstLine="420"/>
      </w:pPr>
      <w:r>
        <w:t>以防治水土流失为主要目标的工程，其设计、工程量、投资应纳入水土保持设计中，以主体工程设计功能为主、同时具有水土保持功能的工程，其设计、工程量、投资不纳入水土保持设计中，仅对其进行水土保持分析与评价。</w:t>
      </w:r>
    </w:p>
    <w:p w:rsidR="008E4D92" w:rsidRDefault="008B068A">
      <w:pPr>
        <w:widowControl/>
        <w:adjustRightInd/>
        <w:snapToGrid/>
        <w:spacing w:line="360" w:lineRule="auto"/>
        <w:ind w:firstLine="420"/>
      </w:pPr>
      <w:r>
        <w:t>（</w:t>
      </w:r>
      <w:r>
        <w:t>2</w:t>
      </w:r>
      <w:r>
        <w:t>）责任区分原则</w:t>
      </w:r>
    </w:p>
    <w:p w:rsidR="008E4D92" w:rsidRDefault="008B068A">
      <w:pPr>
        <w:widowControl/>
        <w:adjustRightInd/>
        <w:snapToGrid/>
        <w:spacing w:line="360" w:lineRule="auto"/>
        <w:ind w:firstLine="420"/>
      </w:pPr>
      <w:r>
        <w:t>对建设过程中的临时征地、临时占地，因施工结束后将归还当地群众或当地政府，基于水土保持工程具有公益性质的特点，需要将此范围的各项防护措施作为水土保持功能，计入水土保持设计。</w:t>
      </w:r>
    </w:p>
    <w:p w:rsidR="008E4D92" w:rsidRDefault="008B068A">
      <w:pPr>
        <w:widowControl/>
        <w:adjustRightInd/>
        <w:snapToGrid/>
        <w:spacing w:line="360" w:lineRule="auto"/>
        <w:ind w:firstLine="420"/>
      </w:pPr>
      <w:r>
        <w:t>（</w:t>
      </w:r>
      <w:r>
        <w:t>3</w:t>
      </w:r>
      <w:r>
        <w:t>）试验排除原则</w:t>
      </w:r>
    </w:p>
    <w:p w:rsidR="008E4D92" w:rsidRDefault="008B068A">
      <w:pPr>
        <w:widowControl/>
        <w:adjustRightInd/>
        <w:snapToGrid/>
        <w:spacing w:line="360" w:lineRule="auto"/>
        <w:ind w:firstLine="420"/>
      </w:pPr>
      <w:r>
        <w:t>对主体设计功能和水土保持功能结合较紧密的工程，可按破坏性试验的原则进行排除。假定没有这些工程，在没有受到土壤外营力的同时，主体设计功能仍旧可以发挥作用的，此类工程即可看作以防止土壤侵蚀为主要目标，应算做水土保持工程，计入水土保持设计。</w:t>
      </w:r>
    </w:p>
    <w:p w:rsidR="008E4D92" w:rsidRDefault="008B068A">
      <w:pPr>
        <w:pStyle w:val="3"/>
      </w:pPr>
      <w:r>
        <w:t>5.2.2</w:t>
      </w:r>
      <w:r>
        <w:t>主体工程设计中具有水土保持措施界定与评价</w:t>
      </w:r>
    </w:p>
    <w:p w:rsidR="008E4D92" w:rsidRDefault="008B068A">
      <w:pPr>
        <w:adjustRightInd/>
        <w:snapToGrid/>
        <w:spacing w:line="360" w:lineRule="auto"/>
        <w:ind w:firstLineChars="200" w:firstLine="480"/>
        <w:rPr>
          <w:szCs w:val="24"/>
        </w:rPr>
      </w:pPr>
      <w:r>
        <w:rPr>
          <w:szCs w:val="24"/>
        </w:rPr>
        <w:t>本方案根据主导功能原则、责任区分原则、试验排除原则，从综合防治水土流失角度出发，对主体设计的水土保持工程进行分析论证。现对主体设计的水土保持进行界定评价如下：</w:t>
      </w:r>
    </w:p>
    <w:p w:rsidR="008E4D92" w:rsidRDefault="008B068A">
      <w:pPr>
        <w:pStyle w:val="a0"/>
        <w:spacing w:after="0"/>
        <w:jc w:val="center"/>
        <w:rPr>
          <w:b/>
          <w:bCs/>
          <w:sz w:val="22"/>
          <w:szCs w:val="22"/>
        </w:rPr>
      </w:pPr>
      <w:r>
        <w:rPr>
          <w:b/>
          <w:bCs/>
          <w:sz w:val="22"/>
          <w:szCs w:val="22"/>
        </w:rPr>
        <w:t>表</w:t>
      </w:r>
      <w:r>
        <w:rPr>
          <w:b/>
          <w:bCs/>
          <w:sz w:val="22"/>
          <w:szCs w:val="22"/>
        </w:rPr>
        <w:t xml:space="preserve">5-3   </w:t>
      </w:r>
      <w:r>
        <w:rPr>
          <w:b/>
          <w:bCs/>
          <w:sz w:val="22"/>
          <w:szCs w:val="22"/>
        </w:rPr>
        <w:t>主体工程水土保持措施界定</w:t>
      </w:r>
    </w:p>
    <w:tbl>
      <w:tblPr>
        <w:tblStyle w:val="ab"/>
        <w:tblW w:w="4998" w:type="pct"/>
        <w:tblLook w:val="04A0" w:firstRow="1" w:lastRow="0" w:firstColumn="1" w:lastColumn="0" w:noHBand="0" w:noVBand="1"/>
      </w:tblPr>
      <w:tblGrid>
        <w:gridCol w:w="1416"/>
        <w:gridCol w:w="4153"/>
        <w:gridCol w:w="3487"/>
      </w:tblGrid>
      <w:tr w:rsidR="008E4D92">
        <w:trPr>
          <w:trHeight w:val="23"/>
        </w:trPr>
        <w:tc>
          <w:tcPr>
            <w:tcW w:w="782" w:type="pct"/>
            <w:tcBorders>
              <w:tl2br w:val="nil"/>
              <w:tr2bl w:val="nil"/>
            </w:tcBorders>
          </w:tcPr>
          <w:p w:rsidR="008E4D92" w:rsidRDefault="008B068A">
            <w:pPr>
              <w:pStyle w:val="af0"/>
            </w:pPr>
            <w:r>
              <w:t>项目组成</w:t>
            </w:r>
          </w:p>
        </w:tc>
        <w:tc>
          <w:tcPr>
            <w:tcW w:w="2293" w:type="pct"/>
            <w:tcBorders>
              <w:tl2br w:val="nil"/>
              <w:tr2bl w:val="nil"/>
            </w:tcBorders>
          </w:tcPr>
          <w:p w:rsidR="008E4D92" w:rsidRDefault="008B068A">
            <w:pPr>
              <w:pStyle w:val="af0"/>
            </w:pPr>
            <w:r>
              <w:t>界定为水土保持措施的工程</w:t>
            </w:r>
          </w:p>
        </w:tc>
        <w:tc>
          <w:tcPr>
            <w:tcW w:w="1925" w:type="pct"/>
            <w:tcBorders>
              <w:tl2br w:val="nil"/>
              <w:tr2bl w:val="nil"/>
            </w:tcBorders>
          </w:tcPr>
          <w:p w:rsidR="008E4D92" w:rsidRDefault="008B068A">
            <w:pPr>
              <w:pStyle w:val="af0"/>
            </w:pPr>
            <w:r>
              <w:t>不界定为水土保持措施的工程</w:t>
            </w:r>
          </w:p>
        </w:tc>
      </w:tr>
      <w:tr w:rsidR="008E4D92">
        <w:trPr>
          <w:trHeight w:val="23"/>
        </w:trPr>
        <w:tc>
          <w:tcPr>
            <w:tcW w:w="782" w:type="pct"/>
            <w:tcBorders>
              <w:tl2br w:val="nil"/>
              <w:tr2bl w:val="nil"/>
            </w:tcBorders>
          </w:tcPr>
          <w:p w:rsidR="008E4D92" w:rsidRDefault="008B068A">
            <w:pPr>
              <w:pStyle w:val="af0"/>
            </w:pPr>
            <w:r>
              <w:rPr>
                <w:rFonts w:hint="eastAsia"/>
              </w:rPr>
              <w:t>建构筑物区</w:t>
            </w:r>
          </w:p>
        </w:tc>
        <w:tc>
          <w:tcPr>
            <w:tcW w:w="2293" w:type="pct"/>
            <w:tcBorders>
              <w:tl2br w:val="nil"/>
              <w:tr2bl w:val="nil"/>
            </w:tcBorders>
          </w:tcPr>
          <w:p w:rsidR="008E4D92" w:rsidRDefault="008B068A">
            <w:pPr>
              <w:pStyle w:val="af0"/>
            </w:pPr>
            <w:r>
              <w:rPr>
                <w:rFonts w:hint="eastAsia"/>
              </w:rPr>
              <w:t>雨水</w:t>
            </w:r>
            <w:r>
              <w:t>管、</w:t>
            </w:r>
            <w:r>
              <w:rPr>
                <w:rFonts w:hint="eastAsia"/>
              </w:rPr>
              <w:t>表</w:t>
            </w:r>
            <w:r>
              <w:t>土剥离、覆土整治、植物绿化</w:t>
            </w:r>
          </w:p>
        </w:tc>
        <w:tc>
          <w:tcPr>
            <w:tcW w:w="1925" w:type="pct"/>
            <w:tcBorders>
              <w:tl2br w:val="nil"/>
              <w:tr2bl w:val="nil"/>
            </w:tcBorders>
          </w:tcPr>
          <w:p w:rsidR="008E4D92" w:rsidRDefault="008B068A">
            <w:pPr>
              <w:pStyle w:val="af0"/>
            </w:pPr>
            <w:r>
              <w:t>围墙</w:t>
            </w:r>
          </w:p>
        </w:tc>
      </w:tr>
      <w:tr w:rsidR="008E4D92">
        <w:trPr>
          <w:trHeight w:val="23"/>
        </w:trPr>
        <w:tc>
          <w:tcPr>
            <w:tcW w:w="782" w:type="pct"/>
            <w:tcBorders>
              <w:tl2br w:val="nil"/>
              <w:tr2bl w:val="nil"/>
            </w:tcBorders>
          </w:tcPr>
          <w:p w:rsidR="008E4D92" w:rsidRDefault="008B068A">
            <w:pPr>
              <w:pStyle w:val="af0"/>
            </w:pPr>
            <w:r>
              <w:rPr>
                <w:rFonts w:hint="eastAsia"/>
              </w:rPr>
              <w:t>附属设施区</w:t>
            </w:r>
          </w:p>
        </w:tc>
        <w:tc>
          <w:tcPr>
            <w:tcW w:w="2293" w:type="pct"/>
            <w:tcBorders>
              <w:tl2br w:val="nil"/>
              <w:tr2bl w:val="nil"/>
            </w:tcBorders>
          </w:tcPr>
          <w:p w:rsidR="008E4D92" w:rsidRDefault="008B068A">
            <w:pPr>
              <w:pStyle w:val="af0"/>
            </w:pPr>
            <w:r>
              <w:t>表土剥离、覆土整治、植物绿化</w:t>
            </w:r>
          </w:p>
        </w:tc>
        <w:tc>
          <w:tcPr>
            <w:tcW w:w="1925" w:type="pct"/>
            <w:tcBorders>
              <w:tl2br w:val="nil"/>
              <w:tr2bl w:val="nil"/>
            </w:tcBorders>
          </w:tcPr>
          <w:p w:rsidR="008E4D92" w:rsidRDefault="008B068A">
            <w:pPr>
              <w:pStyle w:val="af0"/>
            </w:pPr>
            <w:r>
              <w:rPr>
                <w:rFonts w:hint="eastAsia"/>
              </w:rPr>
              <w:t>围墙</w:t>
            </w:r>
          </w:p>
        </w:tc>
      </w:tr>
    </w:tbl>
    <w:p w:rsidR="008E4D92" w:rsidRDefault="008B068A">
      <w:pPr>
        <w:pStyle w:val="af3"/>
        <w:ind w:firstLine="482"/>
        <w:rPr>
          <w:b/>
          <w:bCs/>
          <w:color w:val="auto"/>
        </w:rPr>
      </w:pPr>
      <w:r>
        <w:rPr>
          <w:b/>
          <w:bCs/>
          <w:color w:val="auto"/>
        </w:rPr>
        <w:t>一、</w:t>
      </w:r>
      <w:r>
        <w:rPr>
          <w:rFonts w:hint="eastAsia"/>
          <w:b/>
          <w:bCs/>
          <w:color w:val="auto"/>
        </w:rPr>
        <w:t>建构筑物区</w:t>
      </w:r>
    </w:p>
    <w:p w:rsidR="008E4D92" w:rsidRDefault="008B068A">
      <w:pPr>
        <w:pStyle w:val="af3"/>
        <w:ind w:firstLine="482"/>
        <w:rPr>
          <w:b/>
          <w:bCs/>
          <w:color w:val="auto"/>
        </w:rPr>
      </w:pPr>
      <w:r>
        <w:rPr>
          <w:b/>
          <w:bCs/>
          <w:color w:val="auto"/>
        </w:rPr>
        <w:t>主体设计措施：</w:t>
      </w:r>
    </w:p>
    <w:p w:rsidR="008E4D92" w:rsidRDefault="008B068A">
      <w:pPr>
        <w:pStyle w:val="af3"/>
        <w:ind w:firstLine="482"/>
        <w:rPr>
          <w:b/>
          <w:bCs/>
          <w:color w:val="auto"/>
        </w:rPr>
      </w:pPr>
      <w:r>
        <w:rPr>
          <w:b/>
          <w:bCs/>
          <w:color w:val="auto"/>
        </w:rPr>
        <w:t>1</w:t>
      </w:r>
      <w:r>
        <w:rPr>
          <w:b/>
          <w:bCs/>
          <w:color w:val="auto"/>
        </w:rPr>
        <w:t>、工程措施</w:t>
      </w:r>
    </w:p>
    <w:p w:rsidR="008E4D92" w:rsidRDefault="008B068A">
      <w:pPr>
        <w:pStyle w:val="af3"/>
        <w:ind w:firstLine="482"/>
        <w:rPr>
          <w:b/>
          <w:bCs/>
          <w:color w:val="auto"/>
        </w:rPr>
      </w:pPr>
      <w:r>
        <w:rPr>
          <w:b/>
          <w:bCs/>
          <w:color w:val="auto"/>
        </w:rPr>
        <w:t>（</w:t>
      </w:r>
      <w:r>
        <w:rPr>
          <w:b/>
          <w:bCs/>
          <w:color w:val="auto"/>
        </w:rPr>
        <w:t>1</w:t>
      </w:r>
      <w:r>
        <w:rPr>
          <w:b/>
          <w:bCs/>
          <w:color w:val="auto"/>
        </w:rPr>
        <w:t>）</w:t>
      </w:r>
      <w:r>
        <w:rPr>
          <w:rFonts w:hint="eastAsia"/>
          <w:b/>
          <w:bCs/>
          <w:color w:val="auto"/>
        </w:rPr>
        <w:t>雨水管</w:t>
      </w:r>
    </w:p>
    <w:p w:rsidR="008E4D92" w:rsidRDefault="008B068A">
      <w:pPr>
        <w:spacing w:line="360" w:lineRule="auto"/>
        <w:ind w:firstLine="562"/>
        <w:rPr>
          <w:bCs/>
        </w:rPr>
      </w:pPr>
      <w:r>
        <w:lastRenderedPageBreak/>
        <w:t>根据主体资料及现场调查，</w:t>
      </w:r>
      <w:bookmarkStart w:id="201" w:name="_Hlk57368190"/>
      <w:r>
        <w:t>主体</w:t>
      </w:r>
      <w:r>
        <w:rPr>
          <w:rFonts w:hint="eastAsia"/>
        </w:rPr>
        <w:t>排水系统主要以布置雨水管和雨水井为主，</w:t>
      </w:r>
      <w:r>
        <w:t>在</w:t>
      </w:r>
      <w:r>
        <w:rPr>
          <w:rFonts w:hint="eastAsia"/>
        </w:rPr>
        <w:t>综合楼、生活楼、辅助用房等建筑物四周埋设雨水管，雨水管道共计长</w:t>
      </w:r>
      <w:r>
        <w:t>540</w:t>
      </w:r>
      <w:r>
        <w:rPr>
          <w:rFonts w:hint="eastAsia"/>
        </w:rPr>
        <w:t>米。</w:t>
      </w:r>
      <w:bookmarkEnd w:id="201"/>
      <w:r>
        <w:rPr>
          <w:rFonts w:hint="eastAsia"/>
        </w:rPr>
        <w:t>雨水管采用Ⅱ级钢筋混凝土管直径</w:t>
      </w:r>
      <w:r>
        <w:rPr>
          <w:rFonts w:hint="eastAsia"/>
        </w:rPr>
        <w:t>800</w:t>
      </w:r>
      <w:r>
        <w:rPr>
          <w:rFonts w:hint="eastAsia"/>
        </w:rPr>
        <w:t>，</w:t>
      </w:r>
      <w:r>
        <w:rPr>
          <w:rFonts w:hint="eastAsia"/>
        </w:rPr>
        <w:t>120</w:t>
      </w:r>
      <w:r>
        <w:rPr>
          <w:rFonts w:hint="eastAsia"/>
        </w:rPr>
        <w:t>度混凝土基础，雨水支管采用</w:t>
      </w:r>
      <w:r>
        <w:rPr>
          <w:rFonts w:hint="eastAsia"/>
        </w:rPr>
        <w:t>DN300</w:t>
      </w:r>
      <w:r>
        <w:rPr>
          <w:rFonts w:hint="eastAsia"/>
        </w:rPr>
        <w:t>，</w:t>
      </w:r>
      <w:r>
        <w:rPr>
          <w:rFonts w:hint="eastAsia"/>
        </w:rPr>
        <w:t>HDPE</w:t>
      </w:r>
      <w:r>
        <w:rPr>
          <w:rFonts w:hint="eastAsia"/>
        </w:rPr>
        <w:t>管，沙土垫层。</w:t>
      </w:r>
      <w:r>
        <w:rPr>
          <w:bCs/>
        </w:rPr>
        <w:t>根据</w:t>
      </w:r>
      <w:r>
        <w:rPr>
          <w:szCs w:val="24"/>
          <w:lang w:val="zh-CN"/>
        </w:rPr>
        <w:t>《生产建设项目水土保持技术标准（</w:t>
      </w:r>
      <w:r>
        <w:rPr>
          <w:szCs w:val="24"/>
        </w:rPr>
        <w:t>GB50433-2018</w:t>
      </w:r>
      <w:r>
        <w:rPr>
          <w:szCs w:val="24"/>
          <w:lang w:val="zh-CN"/>
        </w:rPr>
        <w:t>）》附录</w:t>
      </w:r>
      <w:r>
        <w:rPr>
          <w:szCs w:val="24"/>
        </w:rPr>
        <w:t xml:space="preserve">D </w:t>
      </w:r>
      <w:r>
        <w:rPr>
          <w:szCs w:val="24"/>
          <w:lang w:val="zh-CN"/>
        </w:rPr>
        <w:t>主体工程设计中水土保持措施界定，</w:t>
      </w:r>
      <w:r>
        <w:rPr>
          <w:rFonts w:hint="eastAsia"/>
          <w:szCs w:val="24"/>
          <w:lang w:val="zh-CN"/>
        </w:rPr>
        <w:t>雨水管排水系统</w:t>
      </w:r>
      <w:r>
        <w:rPr>
          <w:szCs w:val="24"/>
          <w:lang w:val="zh-CN"/>
        </w:rPr>
        <w:t>应纳入水土保持工程措施。</w:t>
      </w:r>
    </w:p>
    <w:p w:rsidR="008E4D92" w:rsidRDefault="008B068A">
      <w:pPr>
        <w:pStyle w:val="af3"/>
        <w:ind w:firstLine="480"/>
        <w:rPr>
          <w:color w:val="auto"/>
          <w:szCs w:val="24"/>
        </w:rPr>
      </w:pPr>
      <w:r>
        <w:rPr>
          <w:color w:val="auto"/>
          <w:szCs w:val="24"/>
        </w:rPr>
        <w:t>分析评价：本区</w:t>
      </w:r>
      <w:r>
        <w:rPr>
          <w:rFonts w:hint="eastAsia"/>
          <w:color w:val="auto"/>
          <w:szCs w:val="24"/>
        </w:rPr>
        <w:t>排水系统</w:t>
      </w:r>
      <w:r>
        <w:rPr>
          <w:color w:val="auto"/>
          <w:szCs w:val="24"/>
        </w:rPr>
        <w:t>已修建完成并运行，经现场勘查，现有</w:t>
      </w:r>
      <w:r>
        <w:rPr>
          <w:rFonts w:hint="eastAsia"/>
          <w:color w:val="auto"/>
          <w:szCs w:val="24"/>
        </w:rPr>
        <w:t>排水系统</w:t>
      </w:r>
      <w:r>
        <w:rPr>
          <w:color w:val="auto"/>
          <w:szCs w:val="24"/>
        </w:rPr>
        <w:t>满足本区排水要求且保存较好，本方案不再新增排水措施。</w:t>
      </w:r>
    </w:p>
    <w:p w:rsidR="008E4D92" w:rsidRDefault="008B068A">
      <w:pPr>
        <w:pStyle w:val="08522"/>
        <w:spacing w:line="360" w:lineRule="auto"/>
        <w:ind w:firstLine="482"/>
        <w:rPr>
          <w:szCs w:val="24"/>
        </w:rPr>
      </w:pPr>
      <w:r>
        <w:rPr>
          <w:b/>
          <w:bCs/>
          <w:szCs w:val="24"/>
        </w:rPr>
        <w:t>（</w:t>
      </w:r>
      <w:r>
        <w:rPr>
          <w:b/>
          <w:bCs/>
          <w:szCs w:val="24"/>
        </w:rPr>
        <w:t>2</w:t>
      </w:r>
      <w:r>
        <w:rPr>
          <w:b/>
          <w:bCs/>
          <w:szCs w:val="24"/>
        </w:rPr>
        <w:t>）表土剥离：</w:t>
      </w:r>
      <w:r>
        <w:rPr>
          <w:szCs w:val="24"/>
        </w:rPr>
        <w:t>根据主体资料及现场勘查，主体工程在施工前对本区进行了表土剥离，共剥离表土</w:t>
      </w:r>
      <w:r>
        <w:rPr>
          <w:szCs w:val="24"/>
        </w:rPr>
        <w:t>1080m</w:t>
      </w:r>
      <w:r>
        <w:rPr>
          <w:szCs w:val="24"/>
          <w:vertAlign w:val="superscript"/>
        </w:rPr>
        <w:t>3</w:t>
      </w:r>
      <w:r>
        <w:rPr>
          <w:szCs w:val="24"/>
        </w:rPr>
        <w:t>，剥离表土用于本区可绿化区域绿化覆土用土。根据《生产建设项目水土保持技术标准（</w:t>
      </w:r>
      <w:r>
        <w:rPr>
          <w:szCs w:val="24"/>
        </w:rPr>
        <w:t>GB50433-2018</w:t>
      </w:r>
      <w:r>
        <w:rPr>
          <w:szCs w:val="24"/>
        </w:rPr>
        <w:t>）》附录</w:t>
      </w:r>
      <w:r>
        <w:rPr>
          <w:szCs w:val="24"/>
        </w:rPr>
        <w:t xml:space="preserve">D </w:t>
      </w:r>
      <w:r>
        <w:rPr>
          <w:szCs w:val="24"/>
        </w:rPr>
        <w:t>主体工程设计中水土保持措施界定，表土剥离应纳入水土保持工程措施。</w:t>
      </w:r>
    </w:p>
    <w:p w:rsidR="008E4D92" w:rsidRDefault="008B068A">
      <w:pPr>
        <w:spacing w:line="360" w:lineRule="auto"/>
        <w:ind w:firstLineChars="200" w:firstLine="480"/>
        <w:rPr>
          <w:szCs w:val="24"/>
          <w:lang w:val="zh-CN"/>
        </w:rPr>
      </w:pPr>
      <w:r>
        <w:rPr>
          <w:szCs w:val="24"/>
        </w:rPr>
        <w:t>分析评价：主体工程设计的表土剥离措施，有利于防治水土流失，经本《方案》复核之后，主体设计的表土剥离措施能满足要求，且项目已建设完成，目前不存在水土流失区域，因此，本方案不进行新增措施设计。</w:t>
      </w:r>
    </w:p>
    <w:p w:rsidR="008E4D92" w:rsidRDefault="008B068A">
      <w:pPr>
        <w:pStyle w:val="08522"/>
        <w:spacing w:line="360" w:lineRule="auto"/>
        <w:ind w:firstLine="482"/>
        <w:rPr>
          <w:szCs w:val="24"/>
        </w:rPr>
      </w:pPr>
      <w:r>
        <w:rPr>
          <w:b/>
          <w:bCs/>
          <w:szCs w:val="24"/>
        </w:rPr>
        <w:t>（</w:t>
      </w:r>
      <w:r>
        <w:rPr>
          <w:b/>
          <w:bCs/>
          <w:szCs w:val="24"/>
        </w:rPr>
        <w:t>3</w:t>
      </w:r>
      <w:r>
        <w:rPr>
          <w:b/>
          <w:bCs/>
          <w:szCs w:val="24"/>
        </w:rPr>
        <w:t>）覆土整治：</w:t>
      </w:r>
      <w:r>
        <w:rPr>
          <w:bCs/>
          <w:kern w:val="0"/>
          <w:szCs w:val="24"/>
        </w:rPr>
        <w:t>主体设计在植物绿化之前进行覆土整治，</w:t>
      </w:r>
      <w:r>
        <w:rPr>
          <w:szCs w:val="24"/>
        </w:rPr>
        <w:t>覆土厚度</w:t>
      </w:r>
      <w:r>
        <w:rPr>
          <w:szCs w:val="24"/>
        </w:rPr>
        <w:t>0.15m</w:t>
      </w:r>
      <w:r>
        <w:rPr>
          <w:szCs w:val="24"/>
        </w:rPr>
        <w:t>，</w:t>
      </w:r>
      <w:r>
        <w:rPr>
          <w:bCs/>
          <w:kern w:val="0"/>
          <w:szCs w:val="24"/>
        </w:rPr>
        <w:t>覆土量</w:t>
      </w:r>
      <w:r>
        <w:rPr>
          <w:bCs/>
          <w:kern w:val="0"/>
          <w:szCs w:val="24"/>
        </w:rPr>
        <w:t>1080m</w:t>
      </w:r>
      <w:r>
        <w:rPr>
          <w:bCs/>
          <w:kern w:val="0"/>
          <w:szCs w:val="24"/>
          <w:vertAlign w:val="superscript"/>
        </w:rPr>
        <w:t>3</w:t>
      </w:r>
      <w:r>
        <w:rPr>
          <w:bCs/>
          <w:kern w:val="0"/>
          <w:szCs w:val="24"/>
        </w:rPr>
        <w:t>，覆土来源于本项目前期剥离的表土。</w:t>
      </w:r>
      <w:r>
        <w:rPr>
          <w:szCs w:val="24"/>
        </w:rPr>
        <w:t>根据《生产建设项目水土保持技术标准（</w:t>
      </w:r>
      <w:r>
        <w:rPr>
          <w:szCs w:val="24"/>
        </w:rPr>
        <w:t>GB50433-2018</w:t>
      </w:r>
      <w:r>
        <w:rPr>
          <w:szCs w:val="24"/>
        </w:rPr>
        <w:t>）》附录</w:t>
      </w:r>
      <w:r>
        <w:rPr>
          <w:szCs w:val="24"/>
        </w:rPr>
        <w:t xml:space="preserve">D </w:t>
      </w:r>
      <w:r>
        <w:rPr>
          <w:szCs w:val="24"/>
        </w:rPr>
        <w:t>主体工程设计中水土保持措施界定，覆土整治应纳入水土保持工程措施。</w:t>
      </w:r>
    </w:p>
    <w:p w:rsidR="008E4D92" w:rsidRDefault="008B068A">
      <w:pPr>
        <w:spacing w:line="360" w:lineRule="auto"/>
        <w:ind w:firstLineChars="200" w:firstLine="480"/>
        <w:rPr>
          <w:szCs w:val="24"/>
          <w:lang w:val="zh-CN"/>
        </w:rPr>
      </w:pPr>
      <w:r>
        <w:rPr>
          <w:szCs w:val="24"/>
        </w:rPr>
        <w:t>分析评价：主体工程设计的覆土整治措施，有利于防治水土流失，经本《方案》复核之后，主体设计的覆土整治措施能满足要求，且项目已建设完成，目前不存在水土流失区域，因此，本方案不进行新增措施设计。</w:t>
      </w:r>
    </w:p>
    <w:p w:rsidR="008E4D92" w:rsidRDefault="008B068A">
      <w:pPr>
        <w:pStyle w:val="af3"/>
        <w:ind w:firstLine="482"/>
        <w:rPr>
          <w:b/>
          <w:bCs/>
          <w:color w:val="auto"/>
        </w:rPr>
      </w:pPr>
      <w:r>
        <w:rPr>
          <w:b/>
          <w:bCs/>
          <w:color w:val="auto"/>
        </w:rPr>
        <w:t>2</w:t>
      </w:r>
      <w:r>
        <w:rPr>
          <w:b/>
          <w:bCs/>
          <w:color w:val="auto"/>
        </w:rPr>
        <w:t>、植物措施</w:t>
      </w:r>
    </w:p>
    <w:p w:rsidR="008E4D92" w:rsidRDefault="008B068A">
      <w:pPr>
        <w:pStyle w:val="08522"/>
        <w:spacing w:line="360" w:lineRule="auto"/>
        <w:ind w:firstLine="562"/>
        <w:rPr>
          <w:szCs w:val="32"/>
        </w:rPr>
      </w:pPr>
      <w:bookmarkStart w:id="202" w:name="_Hlk57365909"/>
      <w:r>
        <w:t>根据主体设计资料及现场踏勘，主体在本区实施植物措施</w:t>
      </w:r>
      <w:r>
        <w:t>0.26hm</w:t>
      </w:r>
      <w:r>
        <w:rPr>
          <w:vertAlign w:val="superscript"/>
        </w:rPr>
        <w:t>2</w:t>
      </w:r>
      <w:r>
        <w:t>，主要栽种</w:t>
      </w:r>
      <w:r>
        <w:rPr>
          <w:rFonts w:hint="eastAsia"/>
        </w:rPr>
        <w:t>小叶黄杨树</w:t>
      </w:r>
      <w:r>
        <w:t>，结缕草。其中</w:t>
      </w:r>
      <w:r>
        <w:rPr>
          <w:szCs w:val="32"/>
        </w:rPr>
        <w:t>栽种</w:t>
      </w:r>
      <w:r>
        <w:rPr>
          <w:rFonts w:hint="eastAsia"/>
          <w:szCs w:val="32"/>
        </w:rPr>
        <w:t>小叶黄杨树</w:t>
      </w:r>
      <w:r>
        <w:rPr>
          <w:szCs w:val="32"/>
        </w:rPr>
        <w:t>80</w:t>
      </w:r>
      <w:r>
        <w:rPr>
          <w:szCs w:val="32"/>
        </w:rPr>
        <w:t>株，单位投资</w:t>
      </w:r>
      <w:r>
        <w:rPr>
          <w:szCs w:val="32"/>
        </w:rPr>
        <w:t>88</w:t>
      </w:r>
      <w:r>
        <w:rPr>
          <w:szCs w:val="32"/>
        </w:rPr>
        <w:t>元</w:t>
      </w:r>
      <w:r>
        <w:rPr>
          <w:szCs w:val="32"/>
        </w:rPr>
        <w:t>/</w:t>
      </w:r>
      <w:r>
        <w:rPr>
          <w:szCs w:val="32"/>
        </w:rPr>
        <w:t>株，总投资共</w:t>
      </w:r>
      <w:r>
        <w:rPr>
          <w:szCs w:val="32"/>
        </w:rPr>
        <w:t>7040</w:t>
      </w:r>
      <w:r>
        <w:rPr>
          <w:szCs w:val="32"/>
        </w:rPr>
        <w:t>元，撒播草种</w:t>
      </w:r>
      <w:r>
        <w:rPr>
          <w:szCs w:val="32"/>
        </w:rPr>
        <w:t>1880m</w:t>
      </w:r>
      <w:r>
        <w:rPr>
          <w:szCs w:val="32"/>
          <w:vertAlign w:val="superscript"/>
        </w:rPr>
        <w:t>2</w:t>
      </w:r>
      <w:r>
        <w:rPr>
          <w:szCs w:val="32"/>
        </w:rPr>
        <w:t>，单位投资</w:t>
      </w:r>
      <w:r>
        <w:rPr>
          <w:szCs w:val="32"/>
        </w:rPr>
        <w:t>2.2</w:t>
      </w:r>
      <w:r>
        <w:rPr>
          <w:szCs w:val="32"/>
        </w:rPr>
        <w:t>元</w:t>
      </w:r>
      <w:r>
        <w:rPr>
          <w:szCs w:val="32"/>
        </w:rPr>
        <w:t>/m</w:t>
      </w:r>
      <w:r>
        <w:rPr>
          <w:szCs w:val="32"/>
          <w:vertAlign w:val="superscript"/>
        </w:rPr>
        <w:t>2</w:t>
      </w:r>
      <w:r>
        <w:rPr>
          <w:szCs w:val="32"/>
        </w:rPr>
        <w:t>，总投资共</w:t>
      </w:r>
      <w:r>
        <w:rPr>
          <w:szCs w:val="32"/>
        </w:rPr>
        <w:t>4136</w:t>
      </w:r>
      <w:r>
        <w:rPr>
          <w:szCs w:val="32"/>
        </w:rPr>
        <w:t>元。</w:t>
      </w:r>
    </w:p>
    <w:bookmarkEnd w:id="202"/>
    <w:p w:rsidR="008E4D92" w:rsidRDefault="008B068A">
      <w:pPr>
        <w:pStyle w:val="af1"/>
        <w:ind w:firstLine="480"/>
      </w:pPr>
      <w:r>
        <w:rPr>
          <w:szCs w:val="24"/>
        </w:rPr>
        <w:t>分析评价：该区大部分地表已硬化，由于项目的特殊性，布置的植物措施为灌木及草坪。数量充足、布置较为合理，能有效的防治水土流失，满足本区水土保持的要求</w:t>
      </w:r>
      <w:r>
        <w:rPr>
          <w:kern w:val="28"/>
          <w:szCs w:val="24"/>
        </w:rPr>
        <w:t>，不再补充设计</w:t>
      </w:r>
      <w:r>
        <w:t>。</w:t>
      </w:r>
    </w:p>
    <w:p w:rsidR="008E4D92" w:rsidRDefault="008B068A">
      <w:pPr>
        <w:pStyle w:val="08522"/>
        <w:spacing w:line="360" w:lineRule="auto"/>
      </w:pPr>
      <w:r>
        <w:rPr>
          <w:b/>
          <w:bCs/>
          <w:szCs w:val="32"/>
        </w:rPr>
        <w:t>方案新增措施：</w:t>
      </w:r>
      <w:r>
        <w:rPr>
          <w:szCs w:val="32"/>
        </w:rPr>
        <w:t>经本方案复核，项目大部分建设完工，主体布设的措施能满足要求，本方案不对该区新增措施。</w:t>
      </w:r>
    </w:p>
    <w:p w:rsidR="008E4D92" w:rsidRDefault="008B068A">
      <w:pPr>
        <w:pStyle w:val="af3"/>
        <w:ind w:firstLine="482"/>
        <w:rPr>
          <w:b/>
          <w:bCs/>
          <w:color w:val="auto"/>
        </w:rPr>
      </w:pPr>
      <w:r>
        <w:rPr>
          <w:b/>
          <w:bCs/>
          <w:color w:val="auto"/>
        </w:rPr>
        <w:lastRenderedPageBreak/>
        <w:t>二、</w:t>
      </w:r>
      <w:r>
        <w:rPr>
          <w:rFonts w:hint="eastAsia"/>
          <w:b/>
          <w:bCs/>
          <w:color w:val="auto"/>
        </w:rPr>
        <w:t>附属设施区</w:t>
      </w:r>
    </w:p>
    <w:p w:rsidR="008E4D92" w:rsidRDefault="008B068A">
      <w:pPr>
        <w:pStyle w:val="af3"/>
        <w:ind w:firstLine="482"/>
        <w:rPr>
          <w:b/>
          <w:bCs/>
          <w:color w:val="auto"/>
        </w:rPr>
      </w:pPr>
      <w:bookmarkStart w:id="203" w:name="_Toc14361"/>
      <w:r>
        <w:rPr>
          <w:b/>
          <w:bCs/>
          <w:color w:val="auto"/>
        </w:rPr>
        <w:t>主体设计措施：</w:t>
      </w:r>
    </w:p>
    <w:p w:rsidR="008E4D92" w:rsidRDefault="008B068A">
      <w:pPr>
        <w:pStyle w:val="af3"/>
        <w:ind w:firstLine="482"/>
        <w:rPr>
          <w:b/>
          <w:bCs/>
          <w:color w:val="auto"/>
        </w:rPr>
      </w:pPr>
      <w:r>
        <w:rPr>
          <w:b/>
          <w:bCs/>
          <w:color w:val="auto"/>
        </w:rPr>
        <w:t>1</w:t>
      </w:r>
      <w:r>
        <w:rPr>
          <w:b/>
          <w:bCs/>
          <w:color w:val="auto"/>
        </w:rPr>
        <w:t>、工程措施</w:t>
      </w:r>
    </w:p>
    <w:p w:rsidR="008E4D92" w:rsidRDefault="008B068A">
      <w:pPr>
        <w:pStyle w:val="08522"/>
        <w:spacing w:line="360" w:lineRule="auto"/>
        <w:ind w:firstLine="482"/>
        <w:rPr>
          <w:szCs w:val="24"/>
        </w:rPr>
      </w:pPr>
      <w:r>
        <w:rPr>
          <w:b/>
          <w:bCs/>
          <w:szCs w:val="24"/>
        </w:rPr>
        <w:t>（</w:t>
      </w:r>
      <w:r>
        <w:rPr>
          <w:b/>
          <w:bCs/>
          <w:szCs w:val="24"/>
        </w:rPr>
        <w:t>1</w:t>
      </w:r>
      <w:r>
        <w:rPr>
          <w:b/>
          <w:bCs/>
          <w:szCs w:val="24"/>
        </w:rPr>
        <w:t>）表土剥离：</w:t>
      </w:r>
      <w:r>
        <w:rPr>
          <w:szCs w:val="24"/>
        </w:rPr>
        <w:t>根据主体资料及现场勘查，主体工程在施工前对本区进行了表土剥离，共剥离表土</w:t>
      </w:r>
      <w:r>
        <w:rPr>
          <w:rFonts w:hint="eastAsia"/>
          <w:szCs w:val="24"/>
        </w:rPr>
        <w:t>8</w:t>
      </w:r>
      <w:r>
        <w:rPr>
          <w:szCs w:val="24"/>
        </w:rPr>
        <w:t>20m</w:t>
      </w:r>
      <w:r>
        <w:rPr>
          <w:szCs w:val="24"/>
          <w:vertAlign w:val="superscript"/>
        </w:rPr>
        <w:t>3</w:t>
      </w:r>
      <w:r>
        <w:rPr>
          <w:szCs w:val="24"/>
        </w:rPr>
        <w:t>，剥离表土用于本区可绿化区域绿化覆土用土。根据《生产建设项目水土保持技术标准（</w:t>
      </w:r>
      <w:r>
        <w:rPr>
          <w:szCs w:val="24"/>
        </w:rPr>
        <w:t>GB50433-2018</w:t>
      </w:r>
      <w:r>
        <w:rPr>
          <w:szCs w:val="24"/>
        </w:rPr>
        <w:t>）》附录</w:t>
      </w:r>
      <w:r>
        <w:rPr>
          <w:szCs w:val="24"/>
        </w:rPr>
        <w:t xml:space="preserve">D </w:t>
      </w:r>
      <w:r>
        <w:rPr>
          <w:szCs w:val="24"/>
        </w:rPr>
        <w:t>主体工程设计中水土保持措施界定，表土剥离应纳入水土保持工程措施。</w:t>
      </w:r>
    </w:p>
    <w:p w:rsidR="008E4D92" w:rsidRDefault="008B068A">
      <w:pPr>
        <w:spacing w:line="360" w:lineRule="auto"/>
        <w:ind w:firstLineChars="200" w:firstLine="480"/>
        <w:rPr>
          <w:szCs w:val="24"/>
          <w:lang w:val="zh-CN"/>
        </w:rPr>
      </w:pPr>
      <w:r>
        <w:rPr>
          <w:szCs w:val="24"/>
        </w:rPr>
        <w:t>分析评价：主体工程设计的表土剥离措施，有利于防治水土流失，经本《方案》复核之后，主体设计的表土剥离措施能满足要求，且项目已建设完成，目前不存在水土流失区域，因此，本方案不进行新增措施设计。</w:t>
      </w:r>
    </w:p>
    <w:p w:rsidR="008E4D92" w:rsidRDefault="008B068A">
      <w:pPr>
        <w:pStyle w:val="08522"/>
        <w:spacing w:line="360" w:lineRule="auto"/>
        <w:ind w:firstLine="482"/>
        <w:rPr>
          <w:szCs w:val="24"/>
        </w:rPr>
      </w:pPr>
      <w:r>
        <w:rPr>
          <w:b/>
          <w:bCs/>
          <w:szCs w:val="24"/>
        </w:rPr>
        <w:t>（</w:t>
      </w:r>
      <w:r>
        <w:rPr>
          <w:b/>
          <w:bCs/>
          <w:szCs w:val="24"/>
        </w:rPr>
        <w:t>2</w:t>
      </w:r>
      <w:r>
        <w:rPr>
          <w:b/>
          <w:bCs/>
          <w:szCs w:val="24"/>
        </w:rPr>
        <w:t>）覆土整治：</w:t>
      </w:r>
      <w:r>
        <w:rPr>
          <w:bCs/>
          <w:kern w:val="0"/>
          <w:szCs w:val="24"/>
        </w:rPr>
        <w:t>主体设计在植物绿化之前进行覆土整治，</w:t>
      </w:r>
      <w:r>
        <w:rPr>
          <w:szCs w:val="24"/>
        </w:rPr>
        <w:t>覆土厚度</w:t>
      </w:r>
      <w:r>
        <w:rPr>
          <w:szCs w:val="24"/>
        </w:rPr>
        <w:t>0.2m</w:t>
      </w:r>
      <w:r>
        <w:rPr>
          <w:szCs w:val="24"/>
        </w:rPr>
        <w:t>，</w:t>
      </w:r>
      <w:r>
        <w:rPr>
          <w:bCs/>
          <w:kern w:val="0"/>
          <w:szCs w:val="24"/>
        </w:rPr>
        <w:t>覆土量</w:t>
      </w:r>
      <w:r>
        <w:rPr>
          <w:bCs/>
          <w:kern w:val="0"/>
          <w:szCs w:val="24"/>
        </w:rPr>
        <w:t>820m</w:t>
      </w:r>
      <w:r>
        <w:rPr>
          <w:bCs/>
          <w:kern w:val="0"/>
          <w:szCs w:val="24"/>
          <w:vertAlign w:val="superscript"/>
        </w:rPr>
        <w:t>3</w:t>
      </w:r>
      <w:r>
        <w:rPr>
          <w:bCs/>
          <w:kern w:val="0"/>
          <w:szCs w:val="24"/>
        </w:rPr>
        <w:t>，覆土来源于本项目前期剥离的表土。</w:t>
      </w:r>
      <w:r>
        <w:rPr>
          <w:szCs w:val="24"/>
        </w:rPr>
        <w:t>根据《生产建设项目水土保持技术标准（</w:t>
      </w:r>
      <w:r>
        <w:rPr>
          <w:szCs w:val="24"/>
        </w:rPr>
        <w:t>GB50433-2018</w:t>
      </w:r>
      <w:r>
        <w:rPr>
          <w:szCs w:val="24"/>
        </w:rPr>
        <w:t>）》附录</w:t>
      </w:r>
      <w:r>
        <w:rPr>
          <w:szCs w:val="24"/>
        </w:rPr>
        <w:t xml:space="preserve">D </w:t>
      </w:r>
      <w:r>
        <w:rPr>
          <w:szCs w:val="24"/>
        </w:rPr>
        <w:t>主体工程设计中水土保持措施界定，覆土整治应纳入水土保持工程措施。</w:t>
      </w:r>
    </w:p>
    <w:p w:rsidR="008E4D92" w:rsidRDefault="008B068A">
      <w:pPr>
        <w:spacing w:line="360" w:lineRule="auto"/>
        <w:ind w:firstLineChars="200" w:firstLine="480"/>
        <w:rPr>
          <w:szCs w:val="24"/>
          <w:lang w:val="zh-CN"/>
        </w:rPr>
      </w:pPr>
      <w:r>
        <w:rPr>
          <w:szCs w:val="24"/>
        </w:rPr>
        <w:t>分析评价：主体工程设计的覆土整治措施，有利于防治水土流失，经本《方案》复核之后，主体设计的覆土整治措施能满足要求，且项目已建设完成，目前不存在水土流失区域，因此，本方案不进行新增措施设计。</w:t>
      </w:r>
    </w:p>
    <w:p w:rsidR="008E4D92" w:rsidRDefault="008B068A">
      <w:pPr>
        <w:pStyle w:val="af3"/>
        <w:ind w:firstLine="482"/>
        <w:rPr>
          <w:b/>
          <w:bCs/>
          <w:color w:val="auto"/>
        </w:rPr>
      </w:pPr>
      <w:r>
        <w:rPr>
          <w:b/>
          <w:bCs/>
          <w:color w:val="auto"/>
        </w:rPr>
        <w:t>2</w:t>
      </w:r>
      <w:r>
        <w:rPr>
          <w:b/>
          <w:bCs/>
          <w:color w:val="auto"/>
        </w:rPr>
        <w:t>、植物措施</w:t>
      </w:r>
    </w:p>
    <w:p w:rsidR="008E4D92" w:rsidRDefault="008B068A">
      <w:pPr>
        <w:pStyle w:val="08522"/>
        <w:spacing w:line="360" w:lineRule="auto"/>
        <w:ind w:firstLine="562"/>
        <w:rPr>
          <w:szCs w:val="32"/>
        </w:rPr>
      </w:pPr>
      <w:r>
        <w:t>根据主体设计资料及现场踏勘，主体在本区实施植物措施</w:t>
      </w:r>
      <w:r>
        <w:t>0.2hm</w:t>
      </w:r>
      <w:r>
        <w:rPr>
          <w:vertAlign w:val="superscript"/>
        </w:rPr>
        <w:t>2</w:t>
      </w:r>
      <w:r>
        <w:t>，主要栽种</w:t>
      </w:r>
      <w:r>
        <w:rPr>
          <w:rFonts w:hint="eastAsia"/>
        </w:rPr>
        <w:t>玉兰树</w:t>
      </w:r>
      <w:r>
        <w:t>，</w:t>
      </w:r>
      <w:r>
        <w:rPr>
          <w:rFonts w:hint="eastAsia"/>
        </w:rPr>
        <w:t>果岭</w:t>
      </w:r>
      <w:r>
        <w:t>草。其中</w:t>
      </w:r>
      <w:r>
        <w:rPr>
          <w:szCs w:val="32"/>
        </w:rPr>
        <w:t>栽种</w:t>
      </w:r>
      <w:r>
        <w:rPr>
          <w:rFonts w:hint="eastAsia"/>
          <w:szCs w:val="32"/>
        </w:rPr>
        <w:t>玉兰树</w:t>
      </w:r>
      <w:r>
        <w:rPr>
          <w:szCs w:val="32"/>
        </w:rPr>
        <w:t>30</w:t>
      </w:r>
      <w:r>
        <w:rPr>
          <w:szCs w:val="32"/>
        </w:rPr>
        <w:t>株，单位投资</w:t>
      </w:r>
      <w:r>
        <w:rPr>
          <w:szCs w:val="32"/>
        </w:rPr>
        <w:t>108</w:t>
      </w:r>
      <w:r>
        <w:rPr>
          <w:szCs w:val="32"/>
        </w:rPr>
        <w:t>元</w:t>
      </w:r>
      <w:r>
        <w:rPr>
          <w:szCs w:val="32"/>
        </w:rPr>
        <w:t>/</w:t>
      </w:r>
      <w:r>
        <w:rPr>
          <w:szCs w:val="32"/>
        </w:rPr>
        <w:t>株，总投资共</w:t>
      </w:r>
      <w:r>
        <w:rPr>
          <w:szCs w:val="32"/>
        </w:rPr>
        <w:t>3240</w:t>
      </w:r>
      <w:r>
        <w:rPr>
          <w:szCs w:val="32"/>
        </w:rPr>
        <w:t>元，撒播草种</w:t>
      </w:r>
      <w:r>
        <w:rPr>
          <w:szCs w:val="32"/>
        </w:rPr>
        <w:t>1730m</w:t>
      </w:r>
      <w:r>
        <w:rPr>
          <w:szCs w:val="32"/>
          <w:vertAlign w:val="superscript"/>
        </w:rPr>
        <w:t>2</w:t>
      </w:r>
      <w:r>
        <w:rPr>
          <w:szCs w:val="32"/>
        </w:rPr>
        <w:t>，单位投资</w:t>
      </w:r>
      <w:r>
        <w:rPr>
          <w:szCs w:val="32"/>
        </w:rPr>
        <w:t>3.6</w:t>
      </w:r>
      <w:r>
        <w:rPr>
          <w:szCs w:val="32"/>
        </w:rPr>
        <w:t>元</w:t>
      </w:r>
      <w:r>
        <w:rPr>
          <w:szCs w:val="32"/>
        </w:rPr>
        <w:t>/m</w:t>
      </w:r>
      <w:r>
        <w:rPr>
          <w:szCs w:val="32"/>
          <w:vertAlign w:val="superscript"/>
        </w:rPr>
        <w:t>2</w:t>
      </w:r>
      <w:r>
        <w:rPr>
          <w:szCs w:val="32"/>
        </w:rPr>
        <w:t>，总投资共</w:t>
      </w:r>
      <w:r>
        <w:rPr>
          <w:szCs w:val="32"/>
        </w:rPr>
        <w:t>4325</w:t>
      </w:r>
      <w:r>
        <w:rPr>
          <w:szCs w:val="32"/>
        </w:rPr>
        <w:t>元。</w:t>
      </w:r>
    </w:p>
    <w:p w:rsidR="008E4D92" w:rsidRDefault="008B068A">
      <w:pPr>
        <w:pStyle w:val="af1"/>
        <w:ind w:firstLine="480"/>
      </w:pPr>
      <w:r>
        <w:rPr>
          <w:szCs w:val="24"/>
        </w:rPr>
        <w:t>分析评价：本区</w:t>
      </w:r>
      <w:r>
        <w:rPr>
          <w:rFonts w:hint="eastAsia"/>
          <w:szCs w:val="24"/>
        </w:rPr>
        <w:t>主要承载活动、休闲和游玩等功能</w:t>
      </w:r>
      <w:r>
        <w:rPr>
          <w:szCs w:val="24"/>
        </w:rPr>
        <w:t>，布置的草坪数量充足且合理，能有效的防治水土流失，满足本区水土保持的要求</w:t>
      </w:r>
      <w:r>
        <w:rPr>
          <w:kern w:val="28"/>
          <w:szCs w:val="24"/>
        </w:rPr>
        <w:t>，不再补充设计</w:t>
      </w:r>
      <w:r>
        <w:t>。</w:t>
      </w:r>
    </w:p>
    <w:p w:rsidR="008E4D92" w:rsidRDefault="008B068A">
      <w:pPr>
        <w:pStyle w:val="08522"/>
        <w:spacing w:line="360" w:lineRule="auto"/>
      </w:pPr>
      <w:r>
        <w:rPr>
          <w:b/>
          <w:bCs/>
          <w:szCs w:val="32"/>
        </w:rPr>
        <w:t>方案新增措施：</w:t>
      </w:r>
      <w:r>
        <w:rPr>
          <w:szCs w:val="32"/>
        </w:rPr>
        <w:t>经本方案复核，主体布设的措施能满足要求，本方案不对该区新增措施。</w:t>
      </w:r>
    </w:p>
    <w:p w:rsidR="008E4D92" w:rsidRDefault="008B068A">
      <w:pPr>
        <w:pStyle w:val="2"/>
      </w:pPr>
      <w:bookmarkStart w:id="204" w:name="_Toc24576"/>
      <w:bookmarkStart w:id="205" w:name="_Toc2735"/>
      <w:r>
        <w:t>5.2</w:t>
      </w:r>
      <w:r>
        <w:t>措施总体布局</w:t>
      </w:r>
      <w:bookmarkEnd w:id="204"/>
      <w:bookmarkEnd w:id="205"/>
    </w:p>
    <w:p w:rsidR="008E4D92" w:rsidRDefault="008B068A">
      <w:pPr>
        <w:pStyle w:val="30"/>
        <w:widowControl/>
        <w:spacing w:line="360" w:lineRule="auto"/>
        <w:ind w:firstLineChars="0" w:firstLine="0"/>
        <w:outlineLvl w:val="2"/>
        <w:rPr>
          <w:b/>
          <w:bCs/>
          <w:spacing w:val="-2"/>
          <w:szCs w:val="28"/>
        </w:rPr>
      </w:pPr>
      <w:r>
        <w:rPr>
          <w:b/>
          <w:bCs/>
          <w:spacing w:val="-2"/>
          <w:szCs w:val="28"/>
        </w:rPr>
        <w:t>5.2.1</w:t>
      </w:r>
      <w:r>
        <w:rPr>
          <w:b/>
          <w:bCs/>
          <w:spacing w:val="-2"/>
          <w:szCs w:val="28"/>
        </w:rPr>
        <w:t>防治措施体系</w:t>
      </w:r>
    </w:p>
    <w:p w:rsidR="008E4D92" w:rsidRDefault="008B068A">
      <w:pPr>
        <w:pStyle w:val="30"/>
        <w:widowControl/>
        <w:adjustRightInd/>
        <w:snapToGrid/>
        <w:spacing w:line="360" w:lineRule="auto"/>
        <w:ind w:firstLine="472"/>
        <w:rPr>
          <w:spacing w:val="-2"/>
          <w:sz w:val="24"/>
          <w:szCs w:val="24"/>
        </w:rPr>
      </w:pPr>
      <w:r>
        <w:rPr>
          <w:spacing w:val="-2"/>
          <w:sz w:val="24"/>
          <w:szCs w:val="24"/>
        </w:rPr>
        <w:t>根据本项目特点和防治措施布局原则，水土保持防治措施体系由</w:t>
      </w:r>
      <w:r>
        <w:rPr>
          <w:rFonts w:hint="eastAsia"/>
          <w:bCs/>
          <w:sz w:val="24"/>
          <w:szCs w:val="24"/>
        </w:rPr>
        <w:t>建构筑物区</w:t>
      </w:r>
      <w:r>
        <w:rPr>
          <w:bCs/>
          <w:sz w:val="24"/>
          <w:szCs w:val="24"/>
        </w:rPr>
        <w:t>、测试场地区</w:t>
      </w:r>
      <w:r>
        <w:rPr>
          <w:bCs/>
          <w:sz w:val="24"/>
          <w:szCs w:val="24"/>
        </w:rPr>
        <w:t>2</w:t>
      </w:r>
      <w:r>
        <w:rPr>
          <w:bCs/>
          <w:sz w:val="24"/>
          <w:szCs w:val="24"/>
        </w:rPr>
        <w:t>个</w:t>
      </w:r>
      <w:r>
        <w:rPr>
          <w:spacing w:val="-2"/>
          <w:sz w:val="24"/>
          <w:szCs w:val="24"/>
        </w:rPr>
        <w:t>防治区构成。根据本《方案》水土流失预测结果，结合主体工程已有水土保持</w:t>
      </w:r>
      <w:r>
        <w:rPr>
          <w:spacing w:val="-2"/>
          <w:sz w:val="24"/>
          <w:szCs w:val="24"/>
        </w:rPr>
        <w:lastRenderedPageBreak/>
        <w:t>工程等内容。建立以水土保持工程措施和植物措施相结合的生态恢复体系，最大限度地减少水土流失量。</w:t>
      </w:r>
    </w:p>
    <w:p w:rsidR="008E4D92" w:rsidRDefault="008B068A">
      <w:pPr>
        <w:pStyle w:val="30"/>
        <w:widowControl/>
        <w:adjustRightInd/>
        <w:snapToGrid/>
        <w:spacing w:line="360" w:lineRule="auto"/>
        <w:ind w:firstLine="472"/>
        <w:rPr>
          <w:spacing w:val="-2"/>
          <w:sz w:val="24"/>
          <w:szCs w:val="24"/>
        </w:rPr>
      </w:pPr>
      <w:r>
        <w:rPr>
          <w:spacing w:val="-2"/>
          <w:sz w:val="24"/>
          <w:szCs w:val="24"/>
        </w:rPr>
        <w:t>项目工程水土流失治理措施体系由工程措施、植物措施构成。工程措施主要是</w:t>
      </w:r>
      <w:r>
        <w:rPr>
          <w:rFonts w:hint="eastAsia"/>
          <w:sz w:val="24"/>
          <w:szCs w:val="24"/>
        </w:rPr>
        <w:t>雨水管</w:t>
      </w:r>
      <w:r>
        <w:rPr>
          <w:sz w:val="24"/>
          <w:szCs w:val="24"/>
        </w:rPr>
        <w:t>、表土剥离、覆土整治</w:t>
      </w:r>
      <w:r>
        <w:rPr>
          <w:spacing w:val="-2"/>
          <w:sz w:val="24"/>
          <w:szCs w:val="24"/>
        </w:rPr>
        <w:t>；植物措施包括植树、种草等。详见表</w:t>
      </w:r>
      <w:r>
        <w:rPr>
          <w:spacing w:val="-2"/>
          <w:sz w:val="24"/>
          <w:szCs w:val="24"/>
        </w:rPr>
        <w:t>5-4</w:t>
      </w:r>
      <w:r>
        <w:rPr>
          <w:spacing w:val="-2"/>
          <w:sz w:val="24"/>
          <w:szCs w:val="24"/>
        </w:rPr>
        <w:t>。</w:t>
      </w:r>
    </w:p>
    <w:p w:rsidR="008E4D92" w:rsidRDefault="008B068A">
      <w:pPr>
        <w:widowControl/>
        <w:adjustRightInd/>
        <w:snapToGrid/>
        <w:jc w:val="center"/>
        <w:rPr>
          <w:b/>
          <w:sz w:val="22"/>
          <w:szCs w:val="22"/>
        </w:rPr>
      </w:pPr>
      <w:r>
        <w:rPr>
          <w:b/>
          <w:sz w:val="22"/>
          <w:szCs w:val="22"/>
        </w:rPr>
        <w:t>表</w:t>
      </w:r>
      <w:r>
        <w:rPr>
          <w:b/>
          <w:sz w:val="22"/>
          <w:szCs w:val="22"/>
        </w:rPr>
        <w:t xml:space="preserve">5-4              </w:t>
      </w:r>
      <w:r>
        <w:rPr>
          <w:b/>
          <w:sz w:val="22"/>
          <w:szCs w:val="22"/>
        </w:rPr>
        <w:t>水土保持分区防治措施体系表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4"/>
        <w:gridCol w:w="4722"/>
        <w:gridCol w:w="1729"/>
        <w:gridCol w:w="1415"/>
      </w:tblGrid>
      <w:tr w:rsidR="008E4D92">
        <w:trPr>
          <w:trHeight w:val="23"/>
        </w:trPr>
        <w:tc>
          <w:tcPr>
            <w:tcW w:w="5000" w:type="pct"/>
            <w:gridSpan w:val="4"/>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kern w:val="0"/>
                <w:sz w:val="20"/>
                <w:lang w:bidi="ar"/>
              </w:rPr>
              <w:t>水土保持防治措施体系表</w:t>
            </w:r>
          </w:p>
        </w:tc>
      </w:tr>
      <w:tr w:rsidR="008E4D92">
        <w:trPr>
          <w:trHeight w:val="23"/>
        </w:trPr>
        <w:tc>
          <w:tcPr>
            <w:tcW w:w="659" w:type="pct"/>
            <w:vMerge w:val="restart"/>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kern w:val="0"/>
                <w:sz w:val="20"/>
                <w:lang w:bidi="ar"/>
              </w:rPr>
              <w:t>项目组成</w:t>
            </w:r>
          </w:p>
        </w:tc>
        <w:tc>
          <w:tcPr>
            <w:tcW w:w="4340" w:type="pct"/>
            <w:gridSpan w:val="3"/>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kern w:val="0"/>
                <w:sz w:val="20"/>
                <w:lang w:bidi="ar"/>
              </w:rPr>
              <w:t>治</w:t>
            </w:r>
            <w:r>
              <w:rPr>
                <w:kern w:val="0"/>
                <w:sz w:val="20"/>
                <w:lang w:bidi="ar"/>
              </w:rPr>
              <w:t xml:space="preserve">   </w:t>
            </w:r>
            <w:r>
              <w:rPr>
                <w:kern w:val="0"/>
                <w:sz w:val="20"/>
                <w:lang w:bidi="ar"/>
              </w:rPr>
              <w:t>理</w:t>
            </w:r>
            <w:r>
              <w:rPr>
                <w:kern w:val="0"/>
                <w:sz w:val="20"/>
                <w:lang w:bidi="ar"/>
              </w:rPr>
              <w:t xml:space="preserve">   </w:t>
            </w:r>
            <w:r>
              <w:rPr>
                <w:kern w:val="0"/>
                <w:sz w:val="20"/>
                <w:lang w:bidi="ar"/>
              </w:rPr>
              <w:t>措</w:t>
            </w:r>
            <w:r>
              <w:rPr>
                <w:kern w:val="0"/>
                <w:sz w:val="20"/>
                <w:lang w:bidi="ar"/>
              </w:rPr>
              <w:t xml:space="preserve">   </w:t>
            </w:r>
            <w:r>
              <w:rPr>
                <w:kern w:val="0"/>
                <w:sz w:val="20"/>
                <w:lang w:bidi="ar"/>
              </w:rPr>
              <w:t>施</w:t>
            </w:r>
          </w:p>
        </w:tc>
      </w:tr>
      <w:tr w:rsidR="008E4D92">
        <w:trPr>
          <w:trHeight w:val="23"/>
        </w:trPr>
        <w:tc>
          <w:tcPr>
            <w:tcW w:w="659" w:type="pct"/>
            <w:vMerge/>
            <w:tcBorders>
              <w:tl2br w:val="nil"/>
              <w:tr2bl w:val="nil"/>
            </w:tcBorders>
            <w:tcMar>
              <w:top w:w="15" w:type="dxa"/>
              <w:left w:w="15" w:type="dxa"/>
              <w:right w:w="15" w:type="dxa"/>
            </w:tcMar>
            <w:vAlign w:val="center"/>
          </w:tcPr>
          <w:p w:rsidR="008E4D92" w:rsidRDefault="008E4D92">
            <w:pPr>
              <w:jc w:val="center"/>
              <w:rPr>
                <w:sz w:val="20"/>
              </w:rPr>
            </w:pPr>
          </w:p>
        </w:tc>
        <w:tc>
          <w:tcPr>
            <w:tcW w:w="2606" w:type="pct"/>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kern w:val="0"/>
                <w:sz w:val="20"/>
                <w:lang w:bidi="ar"/>
              </w:rPr>
              <w:t>工程措施</w:t>
            </w:r>
          </w:p>
        </w:tc>
        <w:tc>
          <w:tcPr>
            <w:tcW w:w="954" w:type="pct"/>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kern w:val="0"/>
                <w:sz w:val="20"/>
                <w:lang w:bidi="ar"/>
              </w:rPr>
              <w:t>植物措施</w:t>
            </w:r>
          </w:p>
        </w:tc>
        <w:tc>
          <w:tcPr>
            <w:tcW w:w="779" w:type="pct"/>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kern w:val="0"/>
                <w:sz w:val="20"/>
                <w:lang w:bidi="ar"/>
              </w:rPr>
              <w:t>临时措施</w:t>
            </w:r>
          </w:p>
        </w:tc>
      </w:tr>
      <w:tr w:rsidR="008E4D92">
        <w:trPr>
          <w:trHeight w:val="23"/>
        </w:trPr>
        <w:tc>
          <w:tcPr>
            <w:tcW w:w="659" w:type="pct"/>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rFonts w:hint="eastAsia"/>
                <w:kern w:val="0"/>
                <w:sz w:val="20"/>
                <w:lang w:bidi="ar"/>
              </w:rPr>
              <w:t>建构筑物区</w:t>
            </w:r>
          </w:p>
        </w:tc>
        <w:tc>
          <w:tcPr>
            <w:tcW w:w="2606" w:type="pct"/>
            <w:tcBorders>
              <w:tl2br w:val="nil"/>
              <w:tr2bl w:val="nil"/>
            </w:tcBorders>
            <w:tcMar>
              <w:top w:w="15" w:type="dxa"/>
              <w:left w:w="15" w:type="dxa"/>
              <w:right w:w="15" w:type="dxa"/>
            </w:tcMar>
            <w:vAlign w:val="center"/>
          </w:tcPr>
          <w:p w:rsidR="008E4D92" w:rsidRDefault="008B068A">
            <w:pPr>
              <w:widowControl/>
              <w:jc w:val="center"/>
              <w:textAlignment w:val="center"/>
              <w:rPr>
                <w:b/>
                <w:i/>
                <w:sz w:val="20"/>
              </w:rPr>
            </w:pPr>
            <w:r>
              <w:rPr>
                <w:rFonts w:hint="eastAsia"/>
                <w:b/>
                <w:i/>
                <w:sz w:val="20"/>
              </w:rPr>
              <w:t>雨水管</w:t>
            </w:r>
            <w:r>
              <w:rPr>
                <w:rFonts w:hint="eastAsia"/>
                <w:b/>
                <w:i/>
                <w:sz w:val="20"/>
              </w:rPr>
              <w:t>5</w:t>
            </w:r>
            <w:r>
              <w:rPr>
                <w:b/>
                <w:i/>
                <w:sz w:val="20"/>
              </w:rPr>
              <w:t>40m</w:t>
            </w:r>
            <w:r>
              <w:rPr>
                <w:b/>
                <w:i/>
                <w:sz w:val="20"/>
              </w:rPr>
              <w:t>、表土剥离</w:t>
            </w:r>
            <w:r>
              <w:rPr>
                <w:rFonts w:hint="eastAsia"/>
                <w:b/>
                <w:i/>
                <w:sz w:val="20"/>
              </w:rPr>
              <w:t>1</w:t>
            </w:r>
            <w:r>
              <w:rPr>
                <w:b/>
                <w:i/>
                <w:sz w:val="20"/>
              </w:rPr>
              <w:t>080m</w:t>
            </w:r>
            <w:r>
              <w:rPr>
                <w:b/>
                <w:i/>
                <w:sz w:val="20"/>
                <w:vertAlign w:val="superscript"/>
              </w:rPr>
              <w:t>3</w:t>
            </w:r>
            <w:r>
              <w:rPr>
                <w:b/>
                <w:i/>
                <w:sz w:val="20"/>
              </w:rPr>
              <w:t>、覆土整治</w:t>
            </w:r>
            <w:r>
              <w:rPr>
                <w:rFonts w:hint="eastAsia"/>
                <w:b/>
                <w:i/>
                <w:sz w:val="20"/>
              </w:rPr>
              <w:t>1</w:t>
            </w:r>
            <w:r>
              <w:rPr>
                <w:b/>
                <w:i/>
                <w:sz w:val="20"/>
              </w:rPr>
              <w:t>080m</w:t>
            </w:r>
            <w:r>
              <w:rPr>
                <w:b/>
                <w:i/>
                <w:sz w:val="20"/>
                <w:vertAlign w:val="superscript"/>
              </w:rPr>
              <w:t>3</w:t>
            </w:r>
          </w:p>
        </w:tc>
        <w:tc>
          <w:tcPr>
            <w:tcW w:w="954" w:type="pct"/>
            <w:tcBorders>
              <w:tl2br w:val="nil"/>
              <w:tr2bl w:val="nil"/>
            </w:tcBorders>
            <w:tcMar>
              <w:top w:w="15" w:type="dxa"/>
              <w:left w:w="15" w:type="dxa"/>
              <w:right w:w="15" w:type="dxa"/>
            </w:tcMar>
            <w:vAlign w:val="center"/>
          </w:tcPr>
          <w:p w:rsidR="008E4D92" w:rsidRDefault="008B068A">
            <w:pPr>
              <w:jc w:val="center"/>
              <w:rPr>
                <w:b/>
                <w:i/>
                <w:sz w:val="20"/>
              </w:rPr>
            </w:pPr>
            <w:r>
              <w:rPr>
                <w:b/>
                <w:sz w:val="20"/>
              </w:rPr>
              <w:t>/</w:t>
            </w:r>
          </w:p>
        </w:tc>
        <w:tc>
          <w:tcPr>
            <w:tcW w:w="779" w:type="pct"/>
            <w:tcBorders>
              <w:tl2br w:val="nil"/>
              <w:tr2bl w:val="nil"/>
            </w:tcBorders>
            <w:tcMar>
              <w:top w:w="15" w:type="dxa"/>
              <w:left w:w="15" w:type="dxa"/>
              <w:right w:w="15" w:type="dxa"/>
            </w:tcMar>
            <w:vAlign w:val="center"/>
          </w:tcPr>
          <w:p w:rsidR="008E4D92" w:rsidRDefault="008B068A">
            <w:pPr>
              <w:widowControl/>
              <w:jc w:val="center"/>
              <w:textAlignment w:val="center"/>
              <w:rPr>
                <w:b/>
                <w:sz w:val="20"/>
              </w:rPr>
            </w:pPr>
            <w:r>
              <w:rPr>
                <w:b/>
                <w:sz w:val="20"/>
              </w:rPr>
              <w:t>/</w:t>
            </w:r>
          </w:p>
        </w:tc>
      </w:tr>
      <w:tr w:rsidR="008E4D92">
        <w:trPr>
          <w:trHeight w:val="23"/>
        </w:trPr>
        <w:tc>
          <w:tcPr>
            <w:tcW w:w="659" w:type="pct"/>
            <w:tcBorders>
              <w:tl2br w:val="nil"/>
              <w:tr2bl w:val="nil"/>
            </w:tcBorders>
            <w:tcMar>
              <w:top w:w="15" w:type="dxa"/>
              <w:left w:w="15" w:type="dxa"/>
              <w:right w:w="15" w:type="dxa"/>
            </w:tcMar>
            <w:vAlign w:val="center"/>
          </w:tcPr>
          <w:p w:rsidR="008E4D92" w:rsidRDefault="008B068A">
            <w:pPr>
              <w:widowControl/>
              <w:jc w:val="center"/>
              <w:textAlignment w:val="center"/>
              <w:rPr>
                <w:sz w:val="20"/>
              </w:rPr>
            </w:pPr>
            <w:r>
              <w:rPr>
                <w:rFonts w:hint="eastAsia"/>
                <w:kern w:val="0"/>
                <w:sz w:val="20"/>
                <w:lang w:bidi="ar"/>
              </w:rPr>
              <w:t>附属设施区</w:t>
            </w:r>
          </w:p>
        </w:tc>
        <w:tc>
          <w:tcPr>
            <w:tcW w:w="2606" w:type="pct"/>
            <w:tcBorders>
              <w:tl2br w:val="nil"/>
              <w:tr2bl w:val="nil"/>
            </w:tcBorders>
            <w:tcMar>
              <w:top w:w="15" w:type="dxa"/>
              <w:left w:w="15" w:type="dxa"/>
              <w:right w:w="15" w:type="dxa"/>
            </w:tcMar>
            <w:vAlign w:val="center"/>
          </w:tcPr>
          <w:p w:rsidR="008E4D92" w:rsidRDefault="008B068A">
            <w:pPr>
              <w:widowControl/>
              <w:jc w:val="center"/>
              <w:textAlignment w:val="center"/>
              <w:rPr>
                <w:b/>
                <w:i/>
                <w:sz w:val="20"/>
              </w:rPr>
            </w:pPr>
            <w:r>
              <w:rPr>
                <w:b/>
                <w:i/>
                <w:sz w:val="20"/>
              </w:rPr>
              <w:t>表土剥离</w:t>
            </w:r>
            <w:r>
              <w:rPr>
                <w:rFonts w:hint="eastAsia"/>
                <w:b/>
                <w:i/>
                <w:sz w:val="20"/>
              </w:rPr>
              <w:t>8</w:t>
            </w:r>
            <w:r>
              <w:rPr>
                <w:b/>
                <w:i/>
                <w:sz w:val="20"/>
              </w:rPr>
              <w:t>20m</w:t>
            </w:r>
            <w:r>
              <w:rPr>
                <w:b/>
                <w:i/>
                <w:sz w:val="20"/>
                <w:vertAlign w:val="superscript"/>
              </w:rPr>
              <w:t>3</w:t>
            </w:r>
            <w:r>
              <w:rPr>
                <w:b/>
                <w:i/>
                <w:sz w:val="20"/>
              </w:rPr>
              <w:t>、覆土整治</w:t>
            </w:r>
            <w:r>
              <w:rPr>
                <w:rFonts w:hint="eastAsia"/>
                <w:b/>
                <w:i/>
                <w:sz w:val="20"/>
              </w:rPr>
              <w:t>8</w:t>
            </w:r>
            <w:r>
              <w:rPr>
                <w:b/>
                <w:i/>
                <w:sz w:val="20"/>
              </w:rPr>
              <w:t>20m</w:t>
            </w:r>
            <w:r>
              <w:rPr>
                <w:b/>
                <w:i/>
                <w:sz w:val="20"/>
                <w:vertAlign w:val="superscript"/>
              </w:rPr>
              <w:t>3</w:t>
            </w:r>
          </w:p>
        </w:tc>
        <w:tc>
          <w:tcPr>
            <w:tcW w:w="954" w:type="pct"/>
            <w:tcBorders>
              <w:tl2br w:val="nil"/>
              <w:tr2bl w:val="nil"/>
            </w:tcBorders>
            <w:tcMar>
              <w:top w:w="15" w:type="dxa"/>
              <w:left w:w="15" w:type="dxa"/>
              <w:right w:w="15" w:type="dxa"/>
            </w:tcMar>
            <w:vAlign w:val="center"/>
          </w:tcPr>
          <w:p w:rsidR="008E4D92" w:rsidRDefault="008B068A">
            <w:pPr>
              <w:widowControl/>
              <w:jc w:val="center"/>
              <w:textAlignment w:val="center"/>
              <w:rPr>
                <w:b/>
                <w:i/>
                <w:sz w:val="20"/>
              </w:rPr>
            </w:pPr>
            <w:r>
              <w:rPr>
                <w:b/>
                <w:i/>
                <w:sz w:val="20"/>
              </w:rPr>
              <w:t>植物措施</w:t>
            </w:r>
            <w:r>
              <w:rPr>
                <w:b/>
                <w:i/>
                <w:sz w:val="20"/>
              </w:rPr>
              <w:t>0.2</w:t>
            </w:r>
            <w:r>
              <w:rPr>
                <w:rFonts w:hint="eastAsia"/>
                <w:b/>
                <w:i/>
                <w:sz w:val="20"/>
              </w:rPr>
              <w:t>6</w:t>
            </w:r>
            <w:r>
              <w:rPr>
                <w:b/>
                <w:i/>
                <w:sz w:val="20"/>
              </w:rPr>
              <w:t>hm</w:t>
            </w:r>
            <w:r>
              <w:rPr>
                <w:b/>
                <w:i/>
                <w:sz w:val="20"/>
                <w:vertAlign w:val="superscript"/>
              </w:rPr>
              <w:t>2</w:t>
            </w:r>
          </w:p>
        </w:tc>
        <w:tc>
          <w:tcPr>
            <w:tcW w:w="779" w:type="pct"/>
            <w:tcBorders>
              <w:tl2br w:val="nil"/>
              <w:tr2bl w:val="nil"/>
            </w:tcBorders>
            <w:tcMar>
              <w:top w:w="15" w:type="dxa"/>
              <w:left w:w="15" w:type="dxa"/>
              <w:right w:w="15" w:type="dxa"/>
            </w:tcMar>
            <w:vAlign w:val="center"/>
          </w:tcPr>
          <w:p w:rsidR="008E4D92" w:rsidRDefault="008B068A">
            <w:pPr>
              <w:widowControl/>
              <w:jc w:val="center"/>
              <w:textAlignment w:val="center"/>
              <w:rPr>
                <w:b/>
                <w:sz w:val="20"/>
              </w:rPr>
            </w:pPr>
            <w:r>
              <w:rPr>
                <w:bCs/>
                <w:sz w:val="20"/>
              </w:rPr>
              <w:t>/</w:t>
            </w:r>
          </w:p>
        </w:tc>
      </w:tr>
    </w:tbl>
    <w:p w:rsidR="008E4D92" w:rsidRDefault="008B068A">
      <w:pPr>
        <w:pStyle w:val="30"/>
        <w:adjustRightInd/>
        <w:snapToGrid/>
        <w:spacing w:line="360" w:lineRule="auto"/>
        <w:ind w:firstLineChars="0" w:firstLine="0"/>
        <w:rPr>
          <w:sz w:val="18"/>
          <w:szCs w:val="18"/>
        </w:rPr>
      </w:pPr>
      <w:r>
        <w:rPr>
          <w:b/>
          <w:bCs/>
          <w:sz w:val="18"/>
          <w:szCs w:val="18"/>
        </w:rPr>
        <w:t>注：加粗斜体为主体工程已设计措施，其余为本《方案》补充设计的措施。</w:t>
      </w:r>
    </w:p>
    <w:p w:rsidR="008E4D92" w:rsidRDefault="008B068A">
      <w:pPr>
        <w:pStyle w:val="3"/>
        <w:rPr>
          <w:lang w:val="zh-CN"/>
        </w:rPr>
      </w:pPr>
      <w:r>
        <w:t>5.2.2</w:t>
      </w:r>
      <w:bookmarkEnd w:id="203"/>
      <w:r>
        <w:rPr>
          <w:lang w:val="zh-CN"/>
        </w:rPr>
        <w:t>水土保持措施布设的成果</w:t>
      </w:r>
    </w:p>
    <w:p w:rsidR="008E4D92" w:rsidRDefault="008B068A">
      <w:pPr>
        <w:spacing w:line="360" w:lineRule="auto"/>
        <w:ind w:firstLine="472"/>
        <w:rPr>
          <w:spacing w:val="-2"/>
        </w:rPr>
      </w:pPr>
      <w:r>
        <w:rPr>
          <w:spacing w:val="-2"/>
        </w:rPr>
        <w:t>针对项目建设区过程中新增水土流失特征，在综合分析评价主体工程施工工艺的基础上，建立由各个分区构成的防治体系。结合本《方案》与主体工程分析结果，本项目工程水土流失综合防治措施体系分为工程措施、植物措施。</w:t>
      </w:r>
    </w:p>
    <w:p w:rsidR="008E4D92" w:rsidRDefault="008B068A">
      <w:pPr>
        <w:spacing w:line="360" w:lineRule="auto"/>
        <w:ind w:firstLine="472"/>
        <w:rPr>
          <w:spacing w:val="-2"/>
        </w:rPr>
      </w:pPr>
      <w:r>
        <w:rPr>
          <w:spacing w:val="-2"/>
        </w:rPr>
        <w:t>根据主体设计资料及实际调查，对本项目各类水土保持措施进行设计，形成水土保持措施综合防护体系。项目建设区水土保持措施布局如下：</w:t>
      </w:r>
    </w:p>
    <w:p w:rsidR="008E4D92" w:rsidRDefault="008B068A">
      <w:pPr>
        <w:pStyle w:val="af1"/>
        <w:ind w:firstLine="482"/>
        <w:rPr>
          <w:b/>
          <w:bCs/>
        </w:rPr>
      </w:pPr>
      <w:r>
        <w:rPr>
          <w:b/>
          <w:bCs/>
        </w:rPr>
        <w:t>（一）</w:t>
      </w:r>
      <w:r>
        <w:rPr>
          <w:rFonts w:hint="eastAsia"/>
          <w:b/>
          <w:bCs/>
        </w:rPr>
        <w:t>建构筑物区</w:t>
      </w:r>
    </w:p>
    <w:p w:rsidR="008E4D92" w:rsidRDefault="008B068A">
      <w:pPr>
        <w:pStyle w:val="08522"/>
        <w:spacing w:line="360" w:lineRule="auto"/>
        <w:rPr>
          <w:szCs w:val="32"/>
        </w:rPr>
      </w:pPr>
      <w:r>
        <w:rPr>
          <w:b/>
          <w:bCs/>
        </w:rPr>
        <w:t>主体设计措施：</w:t>
      </w:r>
      <w:r>
        <w:t>根据主体设计资料及现场调查，</w:t>
      </w:r>
      <w:bookmarkStart w:id="206" w:name="_Hlk57368480"/>
      <w:r>
        <w:t>主体在施工在进行了</w:t>
      </w:r>
      <w:r>
        <w:rPr>
          <w:spacing w:val="-2"/>
        </w:rPr>
        <w:t>表土剥离</w:t>
      </w:r>
      <w:r>
        <w:rPr>
          <w:szCs w:val="22"/>
        </w:rPr>
        <w:t>1080m</w:t>
      </w:r>
      <w:r>
        <w:rPr>
          <w:szCs w:val="22"/>
          <w:vertAlign w:val="superscript"/>
        </w:rPr>
        <w:t>3</w:t>
      </w:r>
      <w:r>
        <w:t>。</w:t>
      </w:r>
      <w:r>
        <w:rPr>
          <w:rFonts w:hint="eastAsia"/>
        </w:rPr>
        <w:t>主体排水系统主要以布置雨水管和雨水井为主，在综合楼、生活楼、辅助用房等建筑物四周埋设雨水管，雨水管道共计长</w:t>
      </w:r>
      <w:r>
        <w:rPr>
          <w:rFonts w:hint="eastAsia"/>
        </w:rPr>
        <w:t>540</w:t>
      </w:r>
      <w:r>
        <w:rPr>
          <w:rFonts w:hint="eastAsia"/>
        </w:rPr>
        <w:t>米。</w:t>
      </w:r>
      <w:r>
        <w:rPr>
          <w:szCs w:val="24"/>
        </w:rPr>
        <w:t>施工结束后，</w:t>
      </w:r>
      <w:r>
        <w:rPr>
          <w:bCs/>
        </w:rPr>
        <w:t>在绿化区域进行覆土整治</w:t>
      </w:r>
      <w:r>
        <w:rPr>
          <w:bCs/>
        </w:rPr>
        <w:t>1080</w:t>
      </w:r>
      <w:r>
        <w:rPr>
          <w:szCs w:val="22"/>
        </w:rPr>
        <w:t>m</w:t>
      </w:r>
      <w:r>
        <w:rPr>
          <w:szCs w:val="22"/>
          <w:vertAlign w:val="superscript"/>
        </w:rPr>
        <w:t>3</w:t>
      </w:r>
      <w:r>
        <w:rPr>
          <w:bCs/>
        </w:rPr>
        <w:t>。在植物绿化区域</w:t>
      </w:r>
      <w:r>
        <w:rPr>
          <w:rFonts w:hint="eastAsia"/>
          <w:bCs/>
        </w:rPr>
        <w:t>实施小叶黄杨树</w:t>
      </w:r>
      <w:r>
        <w:rPr>
          <w:bCs/>
        </w:rPr>
        <w:t>80</w:t>
      </w:r>
      <w:r>
        <w:rPr>
          <w:bCs/>
        </w:rPr>
        <w:t>株，结缕草</w:t>
      </w:r>
      <w:r>
        <w:rPr>
          <w:szCs w:val="32"/>
        </w:rPr>
        <w:t>1880m</w:t>
      </w:r>
      <w:r>
        <w:rPr>
          <w:szCs w:val="32"/>
          <w:vertAlign w:val="superscript"/>
        </w:rPr>
        <w:t>2</w:t>
      </w:r>
      <w:r>
        <w:rPr>
          <w:szCs w:val="32"/>
        </w:rPr>
        <w:t>。</w:t>
      </w:r>
    </w:p>
    <w:bookmarkEnd w:id="206"/>
    <w:p w:rsidR="008E4D92" w:rsidRDefault="008B068A">
      <w:pPr>
        <w:pStyle w:val="08522"/>
        <w:spacing w:line="360" w:lineRule="auto"/>
        <w:rPr>
          <w:szCs w:val="32"/>
        </w:rPr>
      </w:pPr>
      <w:r>
        <w:rPr>
          <w:b/>
          <w:bCs/>
          <w:szCs w:val="32"/>
        </w:rPr>
        <w:t>方案新增措施：</w:t>
      </w:r>
      <w:r>
        <w:rPr>
          <w:szCs w:val="32"/>
        </w:rPr>
        <w:t>经本方案复核，项目已建设完成，主体布设的措施能满足要求，本方案不对该区新增措施。</w:t>
      </w:r>
    </w:p>
    <w:p w:rsidR="008E4D92" w:rsidRDefault="008B068A">
      <w:pPr>
        <w:pStyle w:val="08522"/>
        <w:spacing w:line="360" w:lineRule="auto"/>
        <w:rPr>
          <w:b/>
          <w:bCs/>
        </w:rPr>
      </w:pPr>
      <w:r>
        <w:rPr>
          <w:b/>
          <w:bCs/>
        </w:rPr>
        <w:t>（二）</w:t>
      </w:r>
      <w:r>
        <w:rPr>
          <w:rFonts w:hint="eastAsia"/>
          <w:b/>
          <w:bCs/>
        </w:rPr>
        <w:t>附属设施区</w:t>
      </w:r>
    </w:p>
    <w:p w:rsidR="008E4D92" w:rsidRDefault="008B068A">
      <w:pPr>
        <w:pStyle w:val="08522"/>
        <w:spacing w:line="360" w:lineRule="auto"/>
        <w:rPr>
          <w:szCs w:val="32"/>
        </w:rPr>
      </w:pPr>
      <w:r>
        <w:rPr>
          <w:b/>
          <w:bCs/>
        </w:rPr>
        <w:t>主体设计措施：</w:t>
      </w:r>
      <w:r>
        <w:t>根据主体设计资料及现场调查，主体在施工在进行了</w:t>
      </w:r>
      <w:r>
        <w:rPr>
          <w:spacing w:val="-2"/>
        </w:rPr>
        <w:t>表土剥离</w:t>
      </w:r>
      <w:r>
        <w:rPr>
          <w:szCs w:val="22"/>
        </w:rPr>
        <w:t>820m</w:t>
      </w:r>
      <w:r>
        <w:rPr>
          <w:szCs w:val="22"/>
          <w:vertAlign w:val="superscript"/>
        </w:rPr>
        <w:t>3</w:t>
      </w:r>
      <w:r>
        <w:t>。</w:t>
      </w:r>
      <w:r>
        <w:rPr>
          <w:szCs w:val="24"/>
        </w:rPr>
        <w:t>施工结束后，</w:t>
      </w:r>
      <w:r>
        <w:rPr>
          <w:bCs/>
        </w:rPr>
        <w:t>在绿化区域进行覆土整治</w:t>
      </w:r>
      <w:r>
        <w:rPr>
          <w:bCs/>
        </w:rPr>
        <w:t>820</w:t>
      </w:r>
      <w:r>
        <w:rPr>
          <w:szCs w:val="22"/>
        </w:rPr>
        <w:t>m</w:t>
      </w:r>
      <w:r>
        <w:rPr>
          <w:szCs w:val="22"/>
          <w:vertAlign w:val="superscript"/>
        </w:rPr>
        <w:t>3</w:t>
      </w:r>
      <w:r>
        <w:rPr>
          <w:bCs/>
        </w:rPr>
        <w:t>。在植物绿化区域</w:t>
      </w:r>
      <w:r>
        <w:rPr>
          <w:szCs w:val="32"/>
        </w:rPr>
        <w:t>栽种</w:t>
      </w:r>
      <w:r>
        <w:rPr>
          <w:rFonts w:hint="eastAsia"/>
          <w:szCs w:val="32"/>
        </w:rPr>
        <w:t>玉兰树</w:t>
      </w:r>
      <w:r>
        <w:rPr>
          <w:szCs w:val="32"/>
        </w:rPr>
        <w:t>30</w:t>
      </w:r>
      <w:r>
        <w:rPr>
          <w:szCs w:val="32"/>
        </w:rPr>
        <w:t>株，单位撒播</w:t>
      </w:r>
      <w:r>
        <w:rPr>
          <w:rFonts w:hint="eastAsia"/>
          <w:szCs w:val="32"/>
        </w:rPr>
        <w:t>果岭</w:t>
      </w:r>
      <w:r>
        <w:rPr>
          <w:szCs w:val="32"/>
        </w:rPr>
        <w:t>草种</w:t>
      </w:r>
      <w:r>
        <w:rPr>
          <w:szCs w:val="32"/>
        </w:rPr>
        <w:t>1730m</w:t>
      </w:r>
      <w:r>
        <w:rPr>
          <w:szCs w:val="32"/>
          <w:vertAlign w:val="superscript"/>
        </w:rPr>
        <w:t>2</w:t>
      </w:r>
      <w:r>
        <w:rPr>
          <w:szCs w:val="32"/>
        </w:rPr>
        <w:t>。</w:t>
      </w:r>
    </w:p>
    <w:p w:rsidR="008E4D92" w:rsidRDefault="008B068A">
      <w:pPr>
        <w:pStyle w:val="af1"/>
        <w:ind w:firstLine="482"/>
        <w:rPr>
          <w:szCs w:val="32"/>
        </w:rPr>
      </w:pPr>
      <w:r>
        <w:rPr>
          <w:b/>
          <w:bCs/>
          <w:szCs w:val="32"/>
        </w:rPr>
        <w:t>方案新增措施：</w:t>
      </w:r>
      <w:r>
        <w:rPr>
          <w:szCs w:val="32"/>
        </w:rPr>
        <w:t>经本方案复核，项目大部分已建设完成，主体布设的措施能满足要求，本方案不对该区新增措施</w:t>
      </w:r>
      <w:bookmarkStart w:id="207" w:name="_Hlk57368428"/>
      <w:r>
        <w:rPr>
          <w:szCs w:val="32"/>
        </w:rPr>
        <w:t>。</w:t>
      </w:r>
      <w:bookmarkEnd w:id="207"/>
    </w:p>
    <w:p w:rsidR="008E4D92" w:rsidRDefault="008B068A">
      <w:pPr>
        <w:pStyle w:val="2"/>
      </w:pPr>
      <w:bookmarkStart w:id="208" w:name="_Toc2723"/>
      <w:bookmarkStart w:id="209" w:name="_Toc23798"/>
      <w:r>
        <w:t>5.3</w:t>
      </w:r>
      <w:r>
        <w:rPr>
          <w:lang w:val="zh-CN"/>
        </w:rPr>
        <w:t>分区措施布设</w:t>
      </w:r>
      <w:bookmarkEnd w:id="208"/>
      <w:bookmarkEnd w:id="209"/>
    </w:p>
    <w:p w:rsidR="008E4D92" w:rsidRDefault="008B068A">
      <w:pPr>
        <w:pStyle w:val="af1"/>
        <w:ind w:firstLine="482"/>
        <w:rPr>
          <w:b/>
          <w:bCs/>
        </w:rPr>
      </w:pPr>
      <w:r>
        <w:rPr>
          <w:b/>
          <w:bCs/>
        </w:rPr>
        <w:t>（一）</w:t>
      </w:r>
      <w:r>
        <w:rPr>
          <w:rFonts w:hint="eastAsia"/>
          <w:b/>
          <w:bCs/>
        </w:rPr>
        <w:t>建构筑物区</w:t>
      </w:r>
    </w:p>
    <w:p w:rsidR="008E4D92" w:rsidRDefault="008B068A">
      <w:pPr>
        <w:pStyle w:val="08522"/>
        <w:spacing w:line="360" w:lineRule="auto"/>
        <w:rPr>
          <w:szCs w:val="32"/>
        </w:rPr>
      </w:pPr>
      <w:r>
        <w:lastRenderedPageBreak/>
        <w:t>根据主体设计资料及现场调查，主体在施工在进行了</w:t>
      </w:r>
      <w:r>
        <w:rPr>
          <w:spacing w:val="-2"/>
        </w:rPr>
        <w:t>表土剥离</w:t>
      </w:r>
      <w:r>
        <w:rPr>
          <w:szCs w:val="22"/>
        </w:rPr>
        <w:t>1080m</w:t>
      </w:r>
      <w:r>
        <w:rPr>
          <w:szCs w:val="22"/>
          <w:vertAlign w:val="superscript"/>
        </w:rPr>
        <w:t>3</w:t>
      </w:r>
      <w:r>
        <w:t>。</w:t>
      </w:r>
      <w:r>
        <w:rPr>
          <w:rFonts w:hint="eastAsia"/>
        </w:rPr>
        <w:t>主体排水系统主要以布置雨水管和雨水井为主，在综合楼、生活楼、辅助用房等建筑物四周埋设雨水管，雨水管道共计长</w:t>
      </w:r>
      <w:r>
        <w:rPr>
          <w:rFonts w:hint="eastAsia"/>
        </w:rPr>
        <w:t>540</w:t>
      </w:r>
      <w:r>
        <w:rPr>
          <w:rFonts w:hint="eastAsia"/>
        </w:rPr>
        <w:t>米。</w:t>
      </w:r>
      <w:r>
        <w:rPr>
          <w:szCs w:val="24"/>
        </w:rPr>
        <w:t>施工结束后，</w:t>
      </w:r>
      <w:r>
        <w:rPr>
          <w:bCs/>
        </w:rPr>
        <w:t>在绿化区域进行覆土整治</w:t>
      </w:r>
      <w:r>
        <w:rPr>
          <w:bCs/>
        </w:rPr>
        <w:t>1080</w:t>
      </w:r>
      <w:r>
        <w:rPr>
          <w:szCs w:val="22"/>
        </w:rPr>
        <w:t>m</w:t>
      </w:r>
      <w:r>
        <w:rPr>
          <w:szCs w:val="22"/>
          <w:vertAlign w:val="superscript"/>
        </w:rPr>
        <w:t>3</w:t>
      </w:r>
      <w:r>
        <w:rPr>
          <w:bCs/>
        </w:rPr>
        <w:t>。在植物绿化区域</w:t>
      </w:r>
      <w:r>
        <w:rPr>
          <w:rFonts w:hint="eastAsia"/>
          <w:bCs/>
        </w:rPr>
        <w:t>实施小叶黄杨树</w:t>
      </w:r>
      <w:r>
        <w:rPr>
          <w:bCs/>
        </w:rPr>
        <w:t>80</w:t>
      </w:r>
      <w:r>
        <w:rPr>
          <w:bCs/>
        </w:rPr>
        <w:t>株，结缕草</w:t>
      </w:r>
      <w:r>
        <w:rPr>
          <w:szCs w:val="32"/>
        </w:rPr>
        <w:t>1880m</w:t>
      </w:r>
      <w:r>
        <w:rPr>
          <w:szCs w:val="32"/>
          <w:vertAlign w:val="superscript"/>
        </w:rPr>
        <w:t>2</w:t>
      </w:r>
      <w:r>
        <w:rPr>
          <w:szCs w:val="32"/>
        </w:rPr>
        <w:t>。</w:t>
      </w:r>
    </w:p>
    <w:p w:rsidR="008E4D92" w:rsidRDefault="008B068A">
      <w:pPr>
        <w:pStyle w:val="08522"/>
        <w:spacing w:line="360" w:lineRule="auto"/>
        <w:rPr>
          <w:b/>
          <w:bCs/>
        </w:rPr>
      </w:pPr>
      <w:r>
        <w:rPr>
          <w:b/>
          <w:bCs/>
        </w:rPr>
        <w:t>（二）</w:t>
      </w:r>
      <w:r>
        <w:rPr>
          <w:rFonts w:hint="eastAsia"/>
          <w:b/>
          <w:bCs/>
        </w:rPr>
        <w:t>附属设施区</w:t>
      </w:r>
    </w:p>
    <w:p w:rsidR="008E4D92" w:rsidRDefault="008B068A">
      <w:pPr>
        <w:pStyle w:val="08522"/>
        <w:spacing w:line="360" w:lineRule="auto"/>
        <w:rPr>
          <w:szCs w:val="32"/>
        </w:rPr>
      </w:pPr>
      <w:r>
        <w:t>根据主体设计资料及现场调查</w:t>
      </w:r>
      <w:r>
        <w:rPr>
          <w:rFonts w:hint="eastAsia"/>
        </w:rPr>
        <w:t>，</w:t>
      </w:r>
      <w:r>
        <w:t>主体在施工在进行了</w:t>
      </w:r>
      <w:r>
        <w:rPr>
          <w:spacing w:val="-2"/>
        </w:rPr>
        <w:t>表土剥离</w:t>
      </w:r>
      <w:r>
        <w:rPr>
          <w:szCs w:val="22"/>
        </w:rPr>
        <w:t>820m</w:t>
      </w:r>
      <w:r>
        <w:rPr>
          <w:szCs w:val="22"/>
          <w:vertAlign w:val="superscript"/>
        </w:rPr>
        <w:t>3</w:t>
      </w:r>
      <w:r>
        <w:t>。</w:t>
      </w:r>
      <w:r>
        <w:rPr>
          <w:szCs w:val="24"/>
        </w:rPr>
        <w:t>施工结束后，</w:t>
      </w:r>
      <w:r>
        <w:rPr>
          <w:bCs/>
        </w:rPr>
        <w:t>在绿化区域进行覆土整治</w:t>
      </w:r>
      <w:r>
        <w:rPr>
          <w:bCs/>
        </w:rPr>
        <w:t>820</w:t>
      </w:r>
      <w:r>
        <w:rPr>
          <w:szCs w:val="22"/>
        </w:rPr>
        <w:t>m</w:t>
      </w:r>
      <w:r>
        <w:rPr>
          <w:szCs w:val="22"/>
          <w:vertAlign w:val="superscript"/>
        </w:rPr>
        <w:t>3</w:t>
      </w:r>
      <w:r>
        <w:rPr>
          <w:bCs/>
        </w:rPr>
        <w:t>。在植物绿化区域</w:t>
      </w:r>
      <w:r>
        <w:rPr>
          <w:szCs w:val="32"/>
        </w:rPr>
        <w:t>栽种</w:t>
      </w:r>
      <w:r>
        <w:rPr>
          <w:rFonts w:hint="eastAsia"/>
          <w:szCs w:val="32"/>
        </w:rPr>
        <w:t>玉兰树</w:t>
      </w:r>
      <w:r>
        <w:rPr>
          <w:szCs w:val="32"/>
        </w:rPr>
        <w:t>30</w:t>
      </w:r>
      <w:r>
        <w:rPr>
          <w:szCs w:val="32"/>
        </w:rPr>
        <w:t>株，单位撒播</w:t>
      </w:r>
      <w:r>
        <w:rPr>
          <w:rFonts w:hint="eastAsia"/>
          <w:szCs w:val="32"/>
        </w:rPr>
        <w:t>果岭</w:t>
      </w:r>
      <w:r>
        <w:rPr>
          <w:szCs w:val="32"/>
        </w:rPr>
        <w:t>草种</w:t>
      </w:r>
      <w:r>
        <w:rPr>
          <w:szCs w:val="32"/>
        </w:rPr>
        <w:t>1730m</w:t>
      </w:r>
      <w:r>
        <w:rPr>
          <w:szCs w:val="32"/>
          <w:vertAlign w:val="superscript"/>
        </w:rPr>
        <w:t>2</w:t>
      </w:r>
      <w:r>
        <w:rPr>
          <w:szCs w:val="32"/>
        </w:rPr>
        <w:t>。</w:t>
      </w:r>
    </w:p>
    <w:p w:rsidR="008E4D92" w:rsidRDefault="008B068A">
      <w:pPr>
        <w:pStyle w:val="08522"/>
        <w:spacing w:line="360" w:lineRule="auto"/>
        <w:rPr>
          <w:szCs w:val="24"/>
        </w:rPr>
      </w:pPr>
      <w:r>
        <w:rPr>
          <w:szCs w:val="24"/>
        </w:rPr>
        <w:t>由于本项目大部分建设完成，施工期水土流失已得到妥善治理，已实施的各项水土保持防护措施完善，现状及后期已无水土流失产生，方案着重对已建成的水土保持措施运行管理提出要求，为及早完成水土保持工程竣工验收，提高工程运行管理水平，巩固完善综合防护体系，发挥工程的整体效益而提出以下几点要求。</w:t>
      </w:r>
    </w:p>
    <w:p w:rsidR="008E4D92" w:rsidRDefault="008B068A">
      <w:pPr>
        <w:pStyle w:val="ad"/>
        <w:ind w:firstLine="480"/>
        <w:rPr>
          <w:szCs w:val="24"/>
        </w:rPr>
      </w:pPr>
      <w:r>
        <w:rPr>
          <w:szCs w:val="24"/>
        </w:rPr>
        <w:t>（</w:t>
      </w:r>
      <w:r>
        <w:rPr>
          <w:szCs w:val="24"/>
        </w:rPr>
        <w:t>1</w:t>
      </w:r>
      <w:r>
        <w:rPr>
          <w:szCs w:val="24"/>
        </w:rPr>
        <w:t>）健全水土保持工程运行技术制度，加强工程的统一管理，保证各项工程安全运行。</w:t>
      </w:r>
    </w:p>
    <w:p w:rsidR="008E4D92" w:rsidRDefault="008B068A">
      <w:pPr>
        <w:pStyle w:val="ad"/>
        <w:ind w:firstLine="480"/>
        <w:rPr>
          <w:szCs w:val="24"/>
        </w:rPr>
      </w:pPr>
      <w:r>
        <w:rPr>
          <w:szCs w:val="24"/>
        </w:rPr>
        <w:t>（</w:t>
      </w:r>
      <w:r>
        <w:rPr>
          <w:szCs w:val="24"/>
        </w:rPr>
        <w:t>2</w:t>
      </w:r>
      <w:r>
        <w:rPr>
          <w:szCs w:val="24"/>
        </w:rPr>
        <w:t>）坚持</w:t>
      </w:r>
      <w:r>
        <w:rPr>
          <w:szCs w:val="24"/>
        </w:rPr>
        <w:t>“</w:t>
      </w:r>
      <w:r>
        <w:rPr>
          <w:szCs w:val="24"/>
        </w:rPr>
        <w:t>谁受益，谁管理</w:t>
      </w:r>
      <w:r>
        <w:rPr>
          <w:szCs w:val="24"/>
        </w:rPr>
        <w:t>”</w:t>
      </w:r>
      <w:r>
        <w:rPr>
          <w:szCs w:val="24"/>
        </w:rPr>
        <w:t>，落实工程管护的责任主体。</w:t>
      </w:r>
    </w:p>
    <w:p w:rsidR="008E4D92" w:rsidRDefault="008B068A">
      <w:pPr>
        <w:pStyle w:val="0"/>
        <w:spacing w:line="360" w:lineRule="auto"/>
        <w:rPr>
          <w:rFonts w:ascii="Times New Roman" w:hAnsi="Times New Roman"/>
          <w:color w:val="auto"/>
          <w:kern w:val="2"/>
          <w:szCs w:val="24"/>
        </w:rPr>
      </w:pPr>
      <w:r>
        <w:rPr>
          <w:rFonts w:ascii="Times New Roman" w:hAnsi="Times New Roman"/>
          <w:color w:val="auto"/>
          <w:kern w:val="2"/>
          <w:szCs w:val="24"/>
        </w:rPr>
        <w:t>（</w:t>
      </w:r>
      <w:r>
        <w:rPr>
          <w:rFonts w:ascii="Times New Roman" w:hAnsi="Times New Roman"/>
          <w:color w:val="auto"/>
          <w:kern w:val="2"/>
          <w:szCs w:val="24"/>
        </w:rPr>
        <w:t>3</w:t>
      </w:r>
      <w:r>
        <w:rPr>
          <w:rFonts w:ascii="Times New Roman" w:hAnsi="Times New Roman"/>
          <w:color w:val="auto"/>
          <w:kern w:val="2"/>
          <w:szCs w:val="24"/>
        </w:rPr>
        <w:t>）坚持日常维护管理和重点检查维护相结合的原则，落实好植被的定期管护，为提高保存率，栽植后应根据造林立地条件、生长发育时期要求等，及时进行松土、除草、踏穴、培土、选苗、定株、抹芽、打杈和必要的修枝、病虫害防治、护林防火等抚育管理措施，严禁人为破坏。</w:t>
      </w:r>
    </w:p>
    <w:p w:rsidR="008E4D92" w:rsidRDefault="008B068A">
      <w:pPr>
        <w:pStyle w:val="0"/>
        <w:spacing w:line="360" w:lineRule="auto"/>
        <w:rPr>
          <w:rFonts w:ascii="Times New Roman" w:hAnsi="Times New Roman"/>
          <w:color w:val="auto"/>
        </w:rPr>
      </w:pPr>
      <w:r>
        <w:rPr>
          <w:rFonts w:ascii="Times New Roman" w:hAnsi="Times New Roman"/>
          <w:color w:val="auto"/>
        </w:rPr>
        <w:t>现阶段项目已建设完</w:t>
      </w:r>
      <w:r>
        <w:rPr>
          <w:rFonts w:ascii="Times New Roman" w:hAnsi="Times New Roman" w:hint="eastAsia"/>
          <w:color w:val="auto"/>
        </w:rPr>
        <w:t>工</w:t>
      </w:r>
      <w:r>
        <w:rPr>
          <w:rFonts w:ascii="Times New Roman" w:hAnsi="Times New Roman"/>
          <w:color w:val="auto"/>
        </w:rPr>
        <w:t>，现有的水土保持措施能够满足水土流失的防治要求，本《方案》不再新增任何水土保持的措施。各项措施工程量详见表</w:t>
      </w:r>
      <w:r>
        <w:rPr>
          <w:rFonts w:ascii="Times New Roman" w:hAnsi="Times New Roman"/>
          <w:color w:val="auto"/>
        </w:rPr>
        <w:t>5-5</w:t>
      </w:r>
      <w:r>
        <w:rPr>
          <w:rFonts w:ascii="Times New Roman" w:hAnsi="Times New Roman"/>
          <w:color w:val="auto"/>
        </w:rPr>
        <w:t>。</w:t>
      </w:r>
    </w:p>
    <w:p w:rsidR="008E4D92" w:rsidRDefault="008B068A">
      <w:pPr>
        <w:pStyle w:val="0"/>
        <w:ind w:firstLineChars="0" w:firstLine="0"/>
        <w:jc w:val="center"/>
        <w:rPr>
          <w:rFonts w:ascii="Times New Roman" w:hAnsi="Times New Roman"/>
          <w:b/>
          <w:bCs/>
          <w:color w:val="auto"/>
        </w:rPr>
      </w:pPr>
      <w:r>
        <w:rPr>
          <w:rFonts w:ascii="Times New Roman" w:hAnsi="Times New Roman"/>
          <w:b/>
          <w:color w:val="auto"/>
          <w:kern w:val="2"/>
          <w:sz w:val="22"/>
          <w:szCs w:val="22"/>
        </w:rPr>
        <w:t>表</w:t>
      </w:r>
      <w:r>
        <w:rPr>
          <w:rFonts w:ascii="Times New Roman" w:hAnsi="Times New Roman"/>
          <w:b/>
          <w:color w:val="auto"/>
          <w:kern w:val="2"/>
          <w:sz w:val="22"/>
          <w:szCs w:val="22"/>
        </w:rPr>
        <w:t xml:space="preserve">5-5 </w:t>
      </w:r>
      <w:r>
        <w:rPr>
          <w:rFonts w:ascii="Times New Roman" w:hAnsi="Times New Roman" w:hint="eastAsia"/>
          <w:b/>
          <w:color w:val="auto"/>
          <w:kern w:val="2"/>
          <w:sz w:val="22"/>
          <w:szCs w:val="22"/>
        </w:rPr>
        <w:t xml:space="preserve">      </w:t>
      </w:r>
      <w:r>
        <w:rPr>
          <w:rFonts w:ascii="Times New Roman" w:hAnsi="Times New Roman"/>
          <w:b/>
          <w:color w:val="auto"/>
          <w:kern w:val="2"/>
          <w:sz w:val="22"/>
          <w:szCs w:val="22"/>
        </w:rPr>
        <w:t>主体设计的水土保持措施工程量及投资统计表</w:t>
      </w:r>
    </w:p>
    <w:tbl>
      <w:tblPr>
        <w:tblW w:w="4997" w:type="pct"/>
        <w:tblLayout w:type="fixed"/>
        <w:tblCellMar>
          <w:left w:w="0" w:type="dxa"/>
          <w:right w:w="0" w:type="dxa"/>
        </w:tblCellMar>
        <w:tblLook w:val="04A0" w:firstRow="1" w:lastRow="0" w:firstColumn="1" w:lastColumn="0" w:noHBand="0" w:noVBand="1"/>
      </w:tblPr>
      <w:tblGrid>
        <w:gridCol w:w="1166"/>
        <w:gridCol w:w="1242"/>
        <w:gridCol w:w="1210"/>
        <w:gridCol w:w="1029"/>
        <w:gridCol w:w="1029"/>
        <w:gridCol w:w="1029"/>
        <w:gridCol w:w="1175"/>
        <w:gridCol w:w="1175"/>
      </w:tblGrid>
      <w:tr w:rsidR="008E4D92">
        <w:trPr>
          <w:trHeight w:val="270"/>
        </w:trPr>
        <w:tc>
          <w:tcPr>
            <w:tcW w:w="64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bookmarkStart w:id="210" w:name="_Hlk57382686"/>
            <w:r>
              <w:rPr>
                <w:sz w:val="21"/>
                <w:szCs w:val="21"/>
                <w:shd w:val="clear" w:color="auto" w:fill="FFFFFF"/>
              </w:rPr>
              <w:t>项目组成</w:t>
            </w:r>
          </w:p>
        </w:tc>
        <w:tc>
          <w:tcPr>
            <w:tcW w:w="68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措施类型</w:t>
            </w: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措施名称</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规格</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单位</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数量</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单价（元）</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总价（元）</w:t>
            </w:r>
          </w:p>
        </w:tc>
      </w:tr>
      <w:tr w:rsidR="008E4D92">
        <w:trPr>
          <w:trHeight w:val="270"/>
        </w:trPr>
        <w:tc>
          <w:tcPr>
            <w:tcW w:w="644"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建构筑物区</w:t>
            </w:r>
          </w:p>
        </w:tc>
        <w:tc>
          <w:tcPr>
            <w:tcW w:w="68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工程措施</w:t>
            </w: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雨水管</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DH800</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 xml:space="preserve">m </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5</w:t>
            </w:r>
            <w:r>
              <w:rPr>
                <w:sz w:val="21"/>
                <w:szCs w:val="21"/>
                <w:shd w:val="clear" w:color="auto" w:fill="FFFFFF"/>
              </w:rPr>
              <w:t>40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92</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49680</w:t>
            </w:r>
          </w:p>
        </w:tc>
      </w:tr>
      <w:tr w:rsidR="008E4D92">
        <w:trPr>
          <w:trHeight w:val="270"/>
        </w:trPr>
        <w:tc>
          <w:tcPr>
            <w:tcW w:w="64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表土剥离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m</w:t>
            </w:r>
            <w:r>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1080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26.13</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28220.4</w:t>
            </w:r>
          </w:p>
        </w:tc>
      </w:tr>
      <w:tr w:rsidR="008E4D92">
        <w:trPr>
          <w:trHeight w:val="270"/>
        </w:trPr>
        <w:tc>
          <w:tcPr>
            <w:tcW w:w="64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覆土整治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m</w:t>
            </w:r>
            <w:r>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1</w:t>
            </w:r>
            <w:r>
              <w:rPr>
                <w:sz w:val="21"/>
                <w:szCs w:val="21"/>
                <w:shd w:val="clear" w:color="auto" w:fill="FFFFFF"/>
              </w:rPr>
              <w:t>080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38.29</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41353.2</w:t>
            </w:r>
          </w:p>
        </w:tc>
      </w:tr>
      <w:tr w:rsidR="008E4D92">
        <w:trPr>
          <w:trHeight w:val="270"/>
        </w:trPr>
        <w:tc>
          <w:tcPr>
            <w:tcW w:w="64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植物措施</w:t>
            </w: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小叶黄杨</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株</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80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88</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7040</w:t>
            </w:r>
          </w:p>
        </w:tc>
      </w:tr>
      <w:tr w:rsidR="008E4D92">
        <w:trPr>
          <w:trHeight w:val="270"/>
        </w:trPr>
        <w:tc>
          <w:tcPr>
            <w:tcW w:w="64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结缕草</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m</w:t>
            </w:r>
            <w:r>
              <w:rPr>
                <w:sz w:val="21"/>
                <w:szCs w:val="21"/>
                <w:shd w:val="clear" w:color="auto" w:fill="FFFFFF"/>
                <w:vertAlign w:val="superscript"/>
              </w:rPr>
              <w:t>2</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1880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2.2</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4136</w:t>
            </w:r>
          </w:p>
        </w:tc>
      </w:tr>
      <w:tr w:rsidR="008E4D92">
        <w:trPr>
          <w:trHeight w:val="270"/>
        </w:trPr>
        <w:tc>
          <w:tcPr>
            <w:tcW w:w="644" w:type="pct"/>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附属设施区</w:t>
            </w:r>
          </w:p>
        </w:tc>
        <w:tc>
          <w:tcPr>
            <w:tcW w:w="68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工程措施</w:t>
            </w: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表土剥离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m</w:t>
            </w:r>
            <w:r>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1076</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26.13</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28115.88</w:t>
            </w:r>
          </w:p>
        </w:tc>
      </w:tr>
      <w:tr w:rsidR="008E4D92">
        <w:trPr>
          <w:trHeight w:val="270"/>
        </w:trPr>
        <w:tc>
          <w:tcPr>
            <w:tcW w:w="644" w:type="pct"/>
            <w:vMerge/>
            <w:tcBorders>
              <w:left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覆土整治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m</w:t>
            </w:r>
            <w:r>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1076</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3</w:t>
            </w:r>
            <w:r>
              <w:rPr>
                <w:sz w:val="21"/>
                <w:szCs w:val="21"/>
                <w:shd w:val="clear" w:color="auto" w:fill="FFFFFF"/>
              </w:rPr>
              <w:t>8.29</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41200.04</w:t>
            </w:r>
          </w:p>
        </w:tc>
      </w:tr>
      <w:tr w:rsidR="008E4D92">
        <w:trPr>
          <w:trHeight w:val="270"/>
        </w:trPr>
        <w:tc>
          <w:tcPr>
            <w:tcW w:w="644" w:type="pct"/>
            <w:vMerge/>
            <w:tcBorders>
              <w:left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植物措施</w:t>
            </w: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玉兰树</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株</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30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108</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3240</w:t>
            </w:r>
          </w:p>
        </w:tc>
      </w:tr>
      <w:tr w:rsidR="008E4D92">
        <w:trPr>
          <w:trHeight w:val="270"/>
        </w:trPr>
        <w:tc>
          <w:tcPr>
            <w:tcW w:w="644" w:type="pct"/>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85" w:type="pct"/>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果岭草</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m</w:t>
            </w:r>
            <w:r>
              <w:rPr>
                <w:sz w:val="21"/>
                <w:szCs w:val="21"/>
                <w:shd w:val="clear" w:color="auto" w:fill="FFFFFF"/>
                <w:vertAlign w:val="superscript"/>
              </w:rPr>
              <w:t>2</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1</w:t>
            </w:r>
            <w:r>
              <w:rPr>
                <w:sz w:val="21"/>
                <w:szCs w:val="21"/>
                <w:shd w:val="clear" w:color="auto" w:fill="FFFFFF"/>
              </w:rPr>
              <w:t>730</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3</w:t>
            </w:r>
            <w:r>
              <w:rPr>
                <w:sz w:val="21"/>
                <w:szCs w:val="21"/>
                <w:shd w:val="clear" w:color="auto" w:fill="FFFFFF"/>
              </w:rPr>
              <w:t>.6</w:t>
            </w: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rFonts w:hint="eastAsia"/>
                <w:sz w:val="21"/>
                <w:szCs w:val="21"/>
                <w:shd w:val="clear" w:color="auto" w:fill="FFFFFF"/>
              </w:rPr>
              <w:t>6</w:t>
            </w:r>
            <w:r>
              <w:rPr>
                <w:sz w:val="21"/>
                <w:szCs w:val="21"/>
                <w:shd w:val="clear" w:color="auto" w:fill="FFFFFF"/>
              </w:rPr>
              <w:t>228</w:t>
            </w:r>
          </w:p>
        </w:tc>
      </w:tr>
      <w:tr w:rsidR="008E4D92">
        <w:trPr>
          <w:trHeight w:val="270"/>
        </w:trPr>
        <w:tc>
          <w:tcPr>
            <w:tcW w:w="1330"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合计</w:t>
            </w:r>
          </w:p>
        </w:tc>
        <w:tc>
          <w:tcPr>
            <w:tcW w:w="6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E4D92">
            <w:pPr>
              <w:widowControl/>
              <w:jc w:val="center"/>
              <w:rPr>
                <w:sz w:val="21"/>
                <w:szCs w:val="21"/>
                <w:shd w:val="clear" w:color="auto" w:fill="FFFFFF"/>
              </w:rPr>
            </w:pPr>
          </w:p>
        </w:tc>
        <w:tc>
          <w:tcPr>
            <w:tcW w:w="64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rPr>
                <w:sz w:val="21"/>
                <w:szCs w:val="21"/>
                <w:shd w:val="clear" w:color="auto" w:fill="FFFFFF"/>
              </w:rPr>
            </w:pPr>
            <w:r>
              <w:rPr>
                <w:sz w:val="21"/>
                <w:szCs w:val="21"/>
                <w:shd w:val="clear" w:color="auto" w:fill="FFFFFF"/>
              </w:rPr>
              <w:t>209213.52</w:t>
            </w:r>
          </w:p>
        </w:tc>
      </w:tr>
      <w:bookmarkEnd w:id="210"/>
    </w:tbl>
    <w:p w:rsidR="008E4D92" w:rsidRDefault="008E4D92">
      <w:pPr>
        <w:sectPr w:rsidR="008E4D92">
          <w:pgSz w:w="11906" w:h="16838"/>
          <w:pgMar w:top="1417" w:right="1418" w:bottom="1417" w:left="1418" w:header="851" w:footer="992" w:gutter="0"/>
          <w:cols w:space="720"/>
          <w:docGrid w:linePitch="312"/>
        </w:sectPr>
      </w:pPr>
    </w:p>
    <w:p w:rsidR="008E4D92" w:rsidRDefault="008B068A">
      <w:pPr>
        <w:pStyle w:val="1"/>
        <w:jc w:val="left"/>
        <w:rPr>
          <w:szCs w:val="22"/>
        </w:rPr>
      </w:pPr>
      <w:bookmarkStart w:id="211" w:name="_Toc2131"/>
      <w:bookmarkStart w:id="212" w:name="_Toc25727"/>
      <w:bookmarkEnd w:id="124"/>
      <w:bookmarkEnd w:id="125"/>
      <w:bookmarkEnd w:id="126"/>
      <w:bookmarkEnd w:id="127"/>
      <w:bookmarkEnd w:id="128"/>
      <w:bookmarkEnd w:id="129"/>
      <w:bookmarkEnd w:id="130"/>
      <w:bookmarkEnd w:id="131"/>
      <w:r>
        <w:rPr>
          <w:rFonts w:hint="eastAsia"/>
          <w:szCs w:val="22"/>
        </w:rPr>
        <w:lastRenderedPageBreak/>
        <w:t>6</w:t>
      </w:r>
      <w:r>
        <w:rPr>
          <w:rFonts w:hint="eastAsia"/>
          <w:szCs w:val="22"/>
        </w:rPr>
        <w:t>水土保持监测</w:t>
      </w:r>
      <w:bookmarkEnd w:id="211"/>
      <w:bookmarkEnd w:id="212"/>
    </w:p>
    <w:p w:rsidR="008E4D92" w:rsidRDefault="008B068A">
      <w:pPr>
        <w:pStyle w:val="2"/>
        <w:spacing w:beforeLines="50" w:before="120"/>
        <w:rPr>
          <w:color w:val="0000FF"/>
          <w:szCs w:val="22"/>
        </w:rPr>
      </w:pPr>
      <w:bookmarkStart w:id="213" w:name="_Toc21229"/>
      <w:bookmarkStart w:id="214" w:name="_Toc5749"/>
      <w:bookmarkStart w:id="215" w:name="_Toc28533"/>
      <w:r>
        <w:rPr>
          <w:rFonts w:hint="eastAsia"/>
          <w:color w:val="0000FF"/>
          <w:szCs w:val="22"/>
        </w:rPr>
        <w:t>6.1</w:t>
      </w:r>
      <w:r>
        <w:rPr>
          <w:rFonts w:hint="eastAsia"/>
          <w:color w:val="0000FF"/>
          <w:szCs w:val="22"/>
        </w:rPr>
        <w:t>监测范围</w:t>
      </w:r>
      <w:bookmarkEnd w:id="213"/>
      <w:bookmarkEnd w:id="214"/>
      <w:bookmarkEnd w:id="215"/>
    </w:p>
    <w:p w:rsidR="008E4D92" w:rsidRDefault="008B068A">
      <w:pPr>
        <w:pStyle w:val="13"/>
        <w:ind w:firstLine="480"/>
        <w:rPr>
          <w:color w:val="0000FF"/>
          <w:kern w:val="0"/>
        </w:rPr>
      </w:pPr>
      <w:r>
        <w:rPr>
          <w:color w:val="0000FF"/>
        </w:rPr>
        <w:t>本项目为建设类项目，根据《生产建设项目水土保持监测与评价标准》（</w:t>
      </w:r>
      <w:r>
        <w:rPr>
          <w:color w:val="0000FF"/>
        </w:rPr>
        <w:t>GB/T51240-2018</w:t>
      </w:r>
      <w:r>
        <w:rPr>
          <w:color w:val="0000FF"/>
        </w:rPr>
        <w:t>），水土保持监测范围包括工程建设征占、使用和其他扰动区域。结合本项目水土流失防治责任范围，确定本项目水土保持监测范围为</w:t>
      </w:r>
      <w:r>
        <w:rPr>
          <w:color w:val="0000FF"/>
          <w:kern w:val="0"/>
        </w:rPr>
        <w:t>建构筑物区、道路及硬化铺装区、景观绿化区及地下</w:t>
      </w:r>
      <w:r>
        <w:rPr>
          <w:rFonts w:hint="eastAsia"/>
          <w:color w:val="0000FF"/>
          <w:kern w:val="0"/>
        </w:rPr>
        <w:t>建构筑物区</w:t>
      </w:r>
      <w:r>
        <w:rPr>
          <w:color w:val="0000FF"/>
          <w:kern w:val="0"/>
        </w:rPr>
        <w:t>，防治范围共</w:t>
      </w:r>
      <w:r>
        <w:rPr>
          <w:rFonts w:hint="eastAsia"/>
          <w:color w:val="0000FF"/>
          <w:kern w:val="0"/>
        </w:rPr>
        <w:t>1.31</w:t>
      </w:r>
      <w:r>
        <w:rPr>
          <w:color w:val="0000FF"/>
          <w:kern w:val="0"/>
        </w:rPr>
        <w:t>hm</w:t>
      </w:r>
      <w:r>
        <w:rPr>
          <w:color w:val="0000FF"/>
          <w:kern w:val="0"/>
          <w:vertAlign w:val="superscript"/>
        </w:rPr>
        <w:t>2</w:t>
      </w:r>
      <w:r>
        <w:rPr>
          <w:color w:val="0000FF"/>
          <w:kern w:val="0"/>
        </w:rPr>
        <w:t>。</w:t>
      </w:r>
    </w:p>
    <w:p w:rsidR="008E4D92" w:rsidRDefault="008B068A">
      <w:pPr>
        <w:pStyle w:val="13"/>
        <w:ind w:firstLine="480"/>
        <w:rPr>
          <w:color w:val="0000FF"/>
        </w:rPr>
      </w:pPr>
      <w:r>
        <w:rPr>
          <w:rFonts w:hint="eastAsia"/>
          <w:color w:val="0000FF"/>
        </w:rPr>
        <w:t>监测时段：</w:t>
      </w:r>
      <w:r>
        <w:rPr>
          <w:color w:val="0000FF"/>
        </w:rPr>
        <w:t>按照《开发建设项目水土保持技术规范》，该项目属于建设类点型项目。监测时段应从施工准备期前的背景值监测开始，至设计水平年结束。</w:t>
      </w:r>
    </w:p>
    <w:p w:rsidR="008E4D92" w:rsidRDefault="008B068A">
      <w:pPr>
        <w:pStyle w:val="13"/>
        <w:ind w:firstLine="480"/>
        <w:rPr>
          <w:color w:val="0000FF"/>
          <w:lang w:val="zh-CN"/>
        </w:rPr>
      </w:pPr>
      <w:r>
        <w:rPr>
          <w:color w:val="0000FF"/>
          <w:kern w:val="0"/>
        </w:rPr>
        <w:t>由于本项目已于</w:t>
      </w:r>
      <w:r>
        <w:rPr>
          <w:color w:val="0000FF"/>
          <w:kern w:val="0"/>
        </w:rPr>
        <w:t>201</w:t>
      </w:r>
      <w:r>
        <w:rPr>
          <w:rFonts w:hint="eastAsia"/>
          <w:color w:val="0000FF"/>
          <w:kern w:val="0"/>
        </w:rPr>
        <w:t>5</w:t>
      </w:r>
      <w:r>
        <w:rPr>
          <w:color w:val="0000FF"/>
          <w:kern w:val="0"/>
        </w:rPr>
        <w:t>年</w:t>
      </w:r>
      <w:r>
        <w:rPr>
          <w:rFonts w:hint="eastAsia"/>
          <w:color w:val="0000FF"/>
          <w:kern w:val="0"/>
        </w:rPr>
        <w:t>3</w:t>
      </w:r>
      <w:r>
        <w:rPr>
          <w:color w:val="0000FF"/>
          <w:kern w:val="0"/>
        </w:rPr>
        <w:t>月底施工结束，本项目建设期间未开展水土保持监测工作，鉴于此，本方案补充试运行期间的监测，重点对项目林草恢复、工程措施运行及其防治效果进行监测。</w:t>
      </w:r>
      <w:r>
        <w:rPr>
          <w:rFonts w:hint="eastAsia"/>
          <w:color w:val="0000FF"/>
          <w:kern w:val="0"/>
        </w:rPr>
        <w:t>由于本方案布设了植物措施，故本项目监测时段至</w:t>
      </w:r>
      <w:r>
        <w:rPr>
          <w:rFonts w:hint="eastAsia"/>
          <w:color w:val="0000FF"/>
          <w:kern w:val="0"/>
        </w:rPr>
        <w:t>2021</w:t>
      </w:r>
      <w:r>
        <w:rPr>
          <w:rFonts w:hint="eastAsia"/>
          <w:color w:val="0000FF"/>
          <w:kern w:val="0"/>
        </w:rPr>
        <w:t>年</w:t>
      </w:r>
      <w:r>
        <w:rPr>
          <w:rFonts w:hint="eastAsia"/>
          <w:color w:val="0000FF"/>
          <w:kern w:val="0"/>
        </w:rPr>
        <w:t>12</w:t>
      </w:r>
      <w:r>
        <w:rPr>
          <w:rFonts w:hint="eastAsia"/>
          <w:color w:val="0000FF"/>
          <w:kern w:val="0"/>
        </w:rPr>
        <w:t>月底。监测时长为</w:t>
      </w:r>
      <w:r>
        <w:rPr>
          <w:rFonts w:hint="eastAsia"/>
          <w:color w:val="0000FF"/>
        </w:rPr>
        <w:t>10</w:t>
      </w:r>
      <w:r>
        <w:rPr>
          <w:rFonts w:hint="eastAsia"/>
          <w:color w:val="0000FF"/>
        </w:rPr>
        <w:t>个月</w:t>
      </w:r>
      <w:r>
        <w:rPr>
          <w:color w:val="0000FF"/>
          <w:lang w:val="zh-CN"/>
        </w:rPr>
        <w:t>。</w:t>
      </w:r>
    </w:p>
    <w:p w:rsidR="008E4D92" w:rsidRDefault="008B068A">
      <w:pPr>
        <w:pStyle w:val="2"/>
        <w:spacing w:beforeLines="50" w:before="120"/>
        <w:rPr>
          <w:color w:val="0000FF"/>
          <w:szCs w:val="22"/>
          <w:lang w:val="zh-CN"/>
        </w:rPr>
      </w:pPr>
      <w:bookmarkStart w:id="216" w:name="_Toc20520"/>
      <w:bookmarkStart w:id="217" w:name="_Toc11188"/>
      <w:bookmarkStart w:id="218" w:name="_Toc7269"/>
      <w:bookmarkStart w:id="219" w:name="_Toc31433"/>
      <w:bookmarkStart w:id="220" w:name="_Toc21455"/>
      <w:r>
        <w:rPr>
          <w:rFonts w:hint="eastAsia"/>
          <w:color w:val="0000FF"/>
          <w:szCs w:val="22"/>
        </w:rPr>
        <w:t>6.2</w:t>
      </w:r>
      <w:r>
        <w:rPr>
          <w:rFonts w:hint="eastAsia"/>
          <w:color w:val="0000FF"/>
          <w:szCs w:val="22"/>
          <w:lang w:val="zh-CN"/>
        </w:rPr>
        <w:t>监测内容</w:t>
      </w:r>
      <w:bookmarkEnd w:id="216"/>
      <w:bookmarkEnd w:id="217"/>
      <w:bookmarkEnd w:id="218"/>
      <w:bookmarkEnd w:id="219"/>
      <w:bookmarkEnd w:id="220"/>
    </w:p>
    <w:p w:rsidR="008E4D92" w:rsidRDefault="008B068A">
      <w:pPr>
        <w:pStyle w:val="13"/>
        <w:ind w:firstLine="480"/>
        <w:rPr>
          <w:color w:val="0000FF"/>
        </w:rPr>
      </w:pPr>
      <w:r>
        <w:rPr>
          <w:color w:val="0000FF"/>
        </w:rPr>
        <w:t>按照《生产建设项目水土保持监测与评价标准》（</w:t>
      </w:r>
      <w:r>
        <w:rPr>
          <w:color w:val="0000FF"/>
        </w:rPr>
        <w:t>GB/T51240-2018</w:t>
      </w:r>
      <w:r>
        <w:rPr>
          <w:color w:val="0000FF"/>
        </w:rPr>
        <w:t>）的规定，生产建设项目水土保持监测内容主要包括水土流失影响因子、水土流失状况、水土流失危害和水土保持措施的监测。</w:t>
      </w:r>
    </w:p>
    <w:p w:rsidR="008E4D92" w:rsidRDefault="008B068A">
      <w:pPr>
        <w:pStyle w:val="13"/>
        <w:ind w:firstLine="480"/>
        <w:rPr>
          <w:color w:val="0000FF"/>
          <w:kern w:val="0"/>
        </w:rPr>
      </w:pPr>
      <w:r>
        <w:rPr>
          <w:color w:val="0000FF"/>
        </w:rPr>
        <w:t>本项目主体工程已经完工，构建筑物及道路区域已硬化，无水土流失产生，绿化区域也已完工，因此，</w:t>
      </w:r>
      <w:r>
        <w:rPr>
          <w:color w:val="0000FF"/>
          <w:kern w:val="0"/>
        </w:rPr>
        <w:t>重点对项目林草恢复、工程措施运行及其防治效果进行监测。主要为以下方面：</w:t>
      </w:r>
    </w:p>
    <w:p w:rsidR="008E4D92" w:rsidRDefault="008B068A">
      <w:pPr>
        <w:pStyle w:val="13"/>
        <w:ind w:firstLine="480"/>
        <w:rPr>
          <w:color w:val="0000FF"/>
          <w:kern w:val="0"/>
        </w:rPr>
      </w:pPr>
      <w:r>
        <w:rPr>
          <w:color w:val="0000FF"/>
          <w:kern w:val="0"/>
        </w:rPr>
        <w:t>（</w:t>
      </w:r>
      <w:r>
        <w:rPr>
          <w:color w:val="0000FF"/>
          <w:kern w:val="0"/>
        </w:rPr>
        <w:t>1</w:t>
      </w:r>
      <w:r>
        <w:rPr>
          <w:color w:val="0000FF"/>
          <w:kern w:val="0"/>
        </w:rPr>
        <w:t>）植物措施的种类、面积、分布、生长状况、成活率、保存率和林草覆盖率；</w:t>
      </w:r>
    </w:p>
    <w:p w:rsidR="008E4D92" w:rsidRDefault="008B068A">
      <w:pPr>
        <w:pStyle w:val="13"/>
        <w:ind w:firstLine="480"/>
        <w:rPr>
          <w:color w:val="0000FF"/>
          <w:kern w:val="0"/>
        </w:rPr>
      </w:pPr>
      <w:r>
        <w:rPr>
          <w:color w:val="0000FF"/>
          <w:kern w:val="0"/>
        </w:rPr>
        <w:t>（</w:t>
      </w:r>
      <w:r>
        <w:rPr>
          <w:color w:val="0000FF"/>
          <w:kern w:val="0"/>
        </w:rPr>
        <w:t>2</w:t>
      </w:r>
      <w:r>
        <w:rPr>
          <w:color w:val="0000FF"/>
          <w:kern w:val="0"/>
        </w:rPr>
        <w:t>）工程措施的类型、数量、分布和完好程度；</w:t>
      </w:r>
    </w:p>
    <w:p w:rsidR="008E4D92" w:rsidRDefault="008B068A">
      <w:pPr>
        <w:pStyle w:val="13"/>
        <w:ind w:firstLine="480"/>
        <w:rPr>
          <w:color w:val="0000FF"/>
          <w:kern w:val="0"/>
        </w:rPr>
      </w:pPr>
      <w:r>
        <w:rPr>
          <w:color w:val="0000FF"/>
          <w:kern w:val="0"/>
        </w:rPr>
        <w:t>（</w:t>
      </w:r>
      <w:r>
        <w:rPr>
          <w:color w:val="0000FF"/>
          <w:kern w:val="0"/>
        </w:rPr>
        <w:t>3</w:t>
      </w:r>
      <w:r>
        <w:rPr>
          <w:color w:val="0000FF"/>
          <w:kern w:val="0"/>
        </w:rPr>
        <w:t>）临时措施的类型、数量和分布；</w:t>
      </w:r>
    </w:p>
    <w:p w:rsidR="008E4D92" w:rsidRDefault="008B068A">
      <w:pPr>
        <w:pStyle w:val="13"/>
        <w:ind w:firstLine="480"/>
        <w:rPr>
          <w:color w:val="0000FF"/>
          <w:kern w:val="0"/>
        </w:rPr>
      </w:pPr>
      <w:r>
        <w:rPr>
          <w:color w:val="0000FF"/>
          <w:kern w:val="0"/>
        </w:rPr>
        <w:t>（</w:t>
      </w:r>
      <w:r>
        <w:rPr>
          <w:color w:val="0000FF"/>
          <w:kern w:val="0"/>
        </w:rPr>
        <w:t>4</w:t>
      </w:r>
      <w:r>
        <w:rPr>
          <w:color w:val="0000FF"/>
          <w:kern w:val="0"/>
        </w:rPr>
        <w:t>）主体工程和各项水土保持的实施进展情况；</w:t>
      </w:r>
    </w:p>
    <w:p w:rsidR="008E4D92" w:rsidRDefault="008B068A">
      <w:pPr>
        <w:pStyle w:val="13"/>
        <w:ind w:firstLine="480"/>
        <w:rPr>
          <w:color w:val="0000FF"/>
          <w:kern w:val="0"/>
        </w:rPr>
      </w:pPr>
      <w:r>
        <w:rPr>
          <w:color w:val="0000FF"/>
          <w:kern w:val="0"/>
        </w:rPr>
        <w:t>（</w:t>
      </w:r>
      <w:r>
        <w:rPr>
          <w:color w:val="0000FF"/>
          <w:kern w:val="0"/>
        </w:rPr>
        <w:t>5</w:t>
      </w:r>
      <w:r>
        <w:rPr>
          <w:color w:val="0000FF"/>
          <w:kern w:val="0"/>
        </w:rPr>
        <w:t>）水土保持措施对周边生态环境发挥的作用。</w:t>
      </w:r>
    </w:p>
    <w:p w:rsidR="008E4D92" w:rsidRDefault="008B068A">
      <w:pPr>
        <w:pStyle w:val="2"/>
        <w:spacing w:beforeLines="50" w:before="120"/>
        <w:rPr>
          <w:color w:val="0000FF"/>
          <w:szCs w:val="22"/>
          <w:lang w:val="zh-CN"/>
        </w:rPr>
      </w:pPr>
      <w:bookmarkStart w:id="221" w:name="_Toc893"/>
      <w:bookmarkStart w:id="222" w:name="_Toc30941"/>
      <w:bookmarkStart w:id="223" w:name="_Toc11533"/>
      <w:bookmarkStart w:id="224" w:name="_Toc15692"/>
      <w:bookmarkStart w:id="225" w:name="_Toc6465"/>
      <w:r>
        <w:rPr>
          <w:rFonts w:hint="eastAsia"/>
          <w:color w:val="0000FF"/>
          <w:szCs w:val="22"/>
        </w:rPr>
        <w:t>6.3</w:t>
      </w:r>
      <w:r>
        <w:rPr>
          <w:rFonts w:hint="eastAsia"/>
          <w:color w:val="0000FF"/>
          <w:szCs w:val="22"/>
          <w:lang w:val="zh-CN"/>
        </w:rPr>
        <w:t>监测方法</w:t>
      </w:r>
      <w:bookmarkEnd w:id="221"/>
      <w:bookmarkEnd w:id="222"/>
      <w:bookmarkEnd w:id="223"/>
      <w:bookmarkEnd w:id="224"/>
      <w:bookmarkEnd w:id="225"/>
    </w:p>
    <w:p w:rsidR="008E4D92" w:rsidRDefault="008B068A">
      <w:pPr>
        <w:pStyle w:val="13"/>
        <w:ind w:firstLine="482"/>
        <w:rPr>
          <w:b/>
          <w:bCs/>
          <w:color w:val="0000FF"/>
          <w:lang w:val="zh-CN"/>
        </w:rPr>
      </w:pPr>
      <w:r>
        <w:rPr>
          <w:rFonts w:hint="eastAsia"/>
          <w:b/>
          <w:bCs/>
          <w:color w:val="0000FF"/>
          <w:lang w:val="zh-CN"/>
        </w:rPr>
        <w:t>（一）</w:t>
      </w:r>
      <w:r>
        <w:rPr>
          <w:b/>
          <w:bCs/>
          <w:color w:val="0000FF"/>
          <w:lang w:val="zh-CN"/>
        </w:rPr>
        <w:t>资料分析法</w:t>
      </w:r>
    </w:p>
    <w:p w:rsidR="008E4D92" w:rsidRDefault="008B068A">
      <w:pPr>
        <w:pStyle w:val="13"/>
        <w:ind w:firstLine="480"/>
        <w:rPr>
          <w:color w:val="0000FF"/>
          <w:lang w:val="zh-CN"/>
        </w:rPr>
      </w:pPr>
      <w:r>
        <w:rPr>
          <w:color w:val="0000FF"/>
          <w:lang w:val="zh-CN"/>
        </w:rPr>
        <w:t>前期建设水土保持状况摸底监测方案主要采用资料收集与室内分析相结合方法。</w:t>
      </w:r>
    </w:p>
    <w:p w:rsidR="008E4D92" w:rsidRDefault="008B068A">
      <w:pPr>
        <w:pStyle w:val="13"/>
        <w:ind w:firstLine="480"/>
        <w:rPr>
          <w:color w:val="0000FF"/>
        </w:rPr>
      </w:pPr>
      <w:r>
        <w:rPr>
          <w:color w:val="0000FF"/>
        </w:rPr>
        <w:lastRenderedPageBreak/>
        <w:t>（</w:t>
      </w:r>
      <w:r>
        <w:rPr>
          <w:color w:val="0000FF"/>
        </w:rPr>
        <w:t>1</w:t>
      </w:r>
      <w:r>
        <w:rPr>
          <w:color w:val="0000FF"/>
        </w:rPr>
        <w:t>）收集、分析资料。收集内容包括：主体设计方案、施工组织设计、施工记录、施工监理资料、施工时气象水文资料等。</w:t>
      </w:r>
    </w:p>
    <w:p w:rsidR="008E4D92" w:rsidRDefault="008B068A">
      <w:pPr>
        <w:pStyle w:val="13"/>
        <w:ind w:firstLine="480"/>
        <w:rPr>
          <w:color w:val="0000FF"/>
        </w:rPr>
      </w:pPr>
      <w:r>
        <w:rPr>
          <w:color w:val="0000FF"/>
        </w:rPr>
        <w:t>（</w:t>
      </w:r>
      <w:r>
        <w:rPr>
          <w:color w:val="0000FF"/>
        </w:rPr>
        <w:t>2</w:t>
      </w:r>
      <w:r>
        <w:rPr>
          <w:color w:val="0000FF"/>
        </w:rPr>
        <w:t>）具体内容和方法：根据项目施工记录及施工监理资料，结合项目主体设计方案、施工组织设计、咨询建设单位和施工单位，得出项目施工过程中产生的水土流失类型、强度，推断施工过程中产生的水土流失危害和影响。</w:t>
      </w:r>
    </w:p>
    <w:p w:rsidR="008E4D92" w:rsidRDefault="008B068A">
      <w:pPr>
        <w:pStyle w:val="13"/>
        <w:ind w:firstLine="482"/>
        <w:rPr>
          <w:b/>
          <w:bCs/>
          <w:color w:val="0000FF"/>
          <w:lang w:val="zh-CN"/>
        </w:rPr>
      </w:pPr>
      <w:r>
        <w:rPr>
          <w:rFonts w:hint="eastAsia"/>
          <w:b/>
          <w:bCs/>
          <w:color w:val="0000FF"/>
          <w:lang w:val="zh-CN"/>
        </w:rPr>
        <w:t>（二）</w:t>
      </w:r>
      <w:r>
        <w:rPr>
          <w:b/>
          <w:bCs/>
          <w:color w:val="0000FF"/>
          <w:lang w:val="zh-CN"/>
        </w:rPr>
        <w:t>实地调查监测</w:t>
      </w:r>
    </w:p>
    <w:p w:rsidR="008E4D92" w:rsidRDefault="008B068A">
      <w:pPr>
        <w:pStyle w:val="13"/>
        <w:ind w:firstLine="480"/>
        <w:rPr>
          <w:color w:val="0000FF"/>
          <w:szCs w:val="22"/>
        </w:rPr>
      </w:pPr>
      <w:r>
        <w:rPr>
          <w:color w:val="0000FF"/>
          <w:szCs w:val="22"/>
        </w:rPr>
        <w:t>通过现场调查，以了解工程措施运行情况及其防治效果，对植被恢复情况采取设置样方的方式进行调查。</w:t>
      </w:r>
    </w:p>
    <w:p w:rsidR="008E4D92" w:rsidRDefault="008B068A">
      <w:pPr>
        <w:pStyle w:val="08522"/>
        <w:sectPr w:rsidR="008E4D92">
          <w:headerReference w:type="default" r:id="rId24"/>
          <w:pgSz w:w="11906" w:h="16838"/>
          <w:pgMar w:top="1417" w:right="1418" w:bottom="1417" w:left="1418" w:header="851" w:footer="992" w:gutter="0"/>
          <w:cols w:space="720"/>
          <w:docGrid w:linePitch="312"/>
        </w:sectPr>
      </w:pPr>
      <w:r>
        <w:rPr>
          <w:rFonts w:hint="eastAsia"/>
          <w:color w:val="0000FF"/>
          <w:szCs w:val="22"/>
          <w:lang w:val="zh-CN"/>
        </w:rPr>
        <w:t>监测点位：</w:t>
      </w:r>
      <w:r>
        <w:rPr>
          <w:color w:val="0000FF"/>
          <w:szCs w:val="22"/>
        </w:rPr>
        <w:t>考虑到本项目主体工程已完工，因此本项目仅对植被恢复期进行水土保持监测，由于本项目林草恢复期主要为景观绿化，因此水土保持监测重点设定为景观绿化区，设</w:t>
      </w:r>
      <w:r>
        <w:rPr>
          <w:rFonts w:hint="eastAsia"/>
          <w:color w:val="0000FF"/>
          <w:szCs w:val="22"/>
        </w:rPr>
        <w:t>2</w:t>
      </w:r>
      <w:r>
        <w:rPr>
          <w:color w:val="0000FF"/>
          <w:szCs w:val="22"/>
        </w:rPr>
        <w:t>个监测</w:t>
      </w:r>
      <w:r>
        <w:rPr>
          <w:rFonts w:hint="eastAsia"/>
          <w:color w:val="0000FF"/>
          <w:szCs w:val="22"/>
        </w:rPr>
        <w:t>。</w:t>
      </w:r>
    </w:p>
    <w:p w:rsidR="008E4D92" w:rsidRDefault="008B068A">
      <w:pPr>
        <w:pStyle w:val="1"/>
        <w:keepNext w:val="0"/>
        <w:keepLines w:val="0"/>
        <w:pageBreakBefore/>
      </w:pPr>
      <w:bookmarkStart w:id="226" w:name="_Toc30924"/>
      <w:bookmarkStart w:id="227" w:name="_Toc10973"/>
      <w:bookmarkStart w:id="228" w:name="_Toc61601223"/>
      <w:bookmarkStart w:id="229" w:name="_Toc61602719"/>
      <w:bookmarkEnd w:id="65"/>
      <w:bookmarkEnd w:id="66"/>
      <w:bookmarkEnd w:id="67"/>
      <w:bookmarkEnd w:id="68"/>
      <w:bookmarkEnd w:id="69"/>
      <w:bookmarkEnd w:id="70"/>
      <w:r>
        <w:lastRenderedPageBreak/>
        <w:t>7</w:t>
      </w:r>
      <w:r>
        <w:t>水土保持投资概算及效益分析</w:t>
      </w:r>
      <w:bookmarkEnd w:id="226"/>
      <w:bookmarkEnd w:id="227"/>
    </w:p>
    <w:p w:rsidR="008E4D92" w:rsidRDefault="008B068A">
      <w:pPr>
        <w:pStyle w:val="2"/>
      </w:pPr>
      <w:bookmarkStart w:id="230" w:name="_Toc15665"/>
      <w:bookmarkStart w:id="231" w:name="_Toc25572"/>
      <w:bookmarkStart w:id="232" w:name="_Toc158454429"/>
      <w:bookmarkStart w:id="233" w:name="_Toc205693026"/>
      <w:bookmarkStart w:id="234" w:name="_Toc141666439"/>
      <w:bookmarkStart w:id="235" w:name="_Toc7858"/>
      <w:r>
        <w:rPr>
          <w:rFonts w:hint="eastAsia"/>
        </w:rPr>
        <w:t>7</w:t>
      </w:r>
      <w:r>
        <w:t>.1</w:t>
      </w:r>
      <w:r>
        <w:t>投资概算</w:t>
      </w:r>
      <w:bookmarkEnd w:id="230"/>
      <w:bookmarkEnd w:id="231"/>
    </w:p>
    <w:p w:rsidR="008E4D92" w:rsidRDefault="008B068A">
      <w:pPr>
        <w:pStyle w:val="3"/>
      </w:pPr>
      <w:r>
        <w:t>7.1.1</w:t>
      </w:r>
      <w:r>
        <w:t>编制原则</w:t>
      </w:r>
      <w:bookmarkEnd w:id="232"/>
      <w:bookmarkEnd w:id="233"/>
      <w:bookmarkEnd w:id="234"/>
      <w:r>
        <w:t>及依据</w:t>
      </w:r>
    </w:p>
    <w:p w:rsidR="008E4D92" w:rsidRDefault="008B068A">
      <w:pPr>
        <w:keepNext/>
        <w:keepLines/>
        <w:spacing w:line="360" w:lineRule="auto"/>
        <w:ind w:firstLineChars="200" w:firstLine="482"/>
        <w:rPr>
          <w:b/>
          <w:bCs/>
        </w:rPr>
      </w:pPr>
      <w:bookmarkStart w:id="236" w:name="_Toc317684759"/>
      <w:bookmarkStart w:id="237" w:name="OLE_LINK301"/>
      <w:r>
        <w:rPr>
          <w:b/>
          <w:bCs/>
        </w:rPr>
        <w:t>一、</w:t>
      </w:r>
      <w:r>
        <w:rPr>
          <w:b/>
          <w:bCs/>
          <w:lang w:val="zh-CN"/>
        </w:rPr>
        <w:t>编制原则</w:t>
      </w:r>
    </w:p>
    <w:p w:rsidR="008E4D92" w:rsidRDefault="008B068A">
      <w:pPr>
        <w:spacing w:line="360" w:lineRule="auto"/>
        <w:ind w:firstLine="480"/>
        <w:rPr>
          <w:bCs/>
          <w:iCs/>
        </w:rPr>
      </w:pPr>
      <w:r>
        <w:rPr>
          <w:bCs/>
          <w:iCs/>
        </w:rPr>
        <w:t>（</w:t>
      </w:r>
      <w:r>
        <w:rPr>
          <w:bCs/>
          <w:iCs/>
        </w:rPr>
        <w:t>1</w:t>
      </w:r>
      <w:r>
        <w:rPr>
          <w:bCs/>
          <w:iCs/>
        </w:rPr>
        <w:t>）遵循国家和地方颁布的有关水土保持政策法规；</w:t>
      </w:r>
    </w:p>
    <w:p w:rsidR="008E4D92" w:rsidRDefault="008B068A">
      <w:pPr>
        <w:spacing w:line="360" w:lineRule="auto"/>
        <w:ind w:firstLine="480"/>
        <w:rPr>
          <w:bCs/>
          <w:iCs/>
        </w:rPr>
      </w:pPr>
      <w:r>
        <w:rPr>
          <w:bCs/>
          <w:iCs/>
        </w:rPr>
        <w:t>（</w:t>
      </w:r>
      <w:r>
        <w:rPr>
          <w:bCs/>
          <w:iCs/>
        </w:rPr>
        <w:t>2</w:t>
      </w:r>
      <w:r>
        <w:rPr>
          <w:bCs/>
          <w:iCs/>
        </w:rPr>
        <w:t>）编制深度与主体工程一致，按初步设计阶段编制投资概算；</w:t>
      </w:r>
    </w:p>
    <w:p w:rsidR="008E4D92" w:rsidRDefault="008B068A">
      <w:pPr>
        <w:spacing w:line="360" w:lineRule="auto"/>
        <w:ind w:firstLine="480"/>
        <w:rPr>
          <w:bCs/>
          <w:iCs/>
        </w:rPr>
      </w:pPr>
      <w:r>
        <w:rPr>
          <w:bCs/>
          <w:iCs/>
          <w:color w:val="0000FF"/>
        </w:rPr>
        <w:t>（</w:t>
      </w:r>
      <w:r>
        <w:rPr>
          <w:bCs/>
          <w:iCs/>
          <w:color w:val="0000FF"/>
        </w:rPr>
        <w:t>3</w:t>
      </w:r>
      <w:r>
        <w:rPr>
          <w:bCs/>
          <w:iCs/>
          <w:color w:val="0000FF"/>
        </w:rPr>
        <w:t>）本方案编制的价格水平年以</w:t>
      </w:r>
      <w:r>
        <w:rPr>
          <w:bCs/>
          <w:iCs/>
          <w:color w:val="0000FF"/>
        </w:rPr>
        <w:t>20</w:t>
      </w:r>
      <w:r>
        <w:rPr>
          <w:rFonts w:hint="eastAsia"/>
          <w:bCs/>
          <w:iCs/>
          <w:color w:val="0000FF"/>
        </w:rPr>
        <w:t>21</w:t>
      </w:r>
      <w:r>
        <w:rPr>
          <w:bCs/>
          <w:iCs/>
          <w:color w:val="0000FF"/>
        </w:rPr>
        <w:t>年第</w:t>
      </w:r>
      <w:r>
        <w:rPr>
          <w:rFonts w:hint="eastAsia"/>
          <w:bCs/>
          <w:iCs/>
          <w:color w:val="0000FF"/>
        </w:rPr>
        <w:t>1</w:t>
      </w:r>
      <w:r>
        <w:rPr>
          <w:bCs/>
          <w:iCs/>
          <w:color w:val="0000FF"/>
        </w:rPr>
        <w:t>季度市场价格为准</w:t>
      </w:r>
      <w:r>
        <w:rPr>
          <w:bCs/>
          <w:iCs/>
        </w:rPr>
        <w:t>；</w:t>
      </w:r>
    </w:p>
    <w:p w:rsidR="008E4D92" w:rsidRDefault="008B068A">
      <w:pPr>
        <w:spacing w:line="360" w:lineRule="auto"/>
        <w:ind w:firstLineChars="200" w:firstLine="480"/>
        <w:rPr>
          <w:bCs/>
          <w:iCs/>
          <w:szCs w:val="24"/>
        </w:rPr>
      </w:pPr>
      <w:r>
        <w:rPr>
          <w:bCs/>
          <w:iCs/>
        </w:rPr>
        <w:t>（</w:t>
      </w:r>
      <w:r>
        <w:rPr>
          <w:bCs/>
          <w:iCs/>
        </w:rPr>
        <w:t>4</w:t>
      </w:r>
      <w:r>
        <w:rPr>
          <w:bCs/>
          <w:iCs/>
        </w:rPr>
        <w:t>）</w:t>
      </w:r>
      <w:r>
        <w:rPr>
          <w:bCs/>
          <w:iCs/>
          <w:szCs w:val="24"/>
        </w:rPr>
        <w:t>主体工程已有单价采用主体工程单价，未计列部分按水利部水总〔</w:t>
      </w:r>
      <w:r>
        <w:rPr>
          <w:bCs/>
          <w:iCs/>
          <w:szCs w:val="24"/>
        </w:rPr>
        <w:t>2003</w:t>
      </w:r>
      <w:r>
        <w:rPr>
          <w:bCs/>
          <w:iCs/>
          <w:szCs w:val="24"/>
        </w:rPr>
        <w:t>〕</w:t>
      </w:r>
      <w:r>
        <w:rPr>
          <w:bCs/>
          <w:iCs/>
          <w:szCs w:val="24"/>
        </w:rPr>
        <w:t>67</w:t>
      </w:r>
      <w:r>
        <w:rPr>
          <w:bCs/>
          <w:iCs/>
          <w:szCs w:val="24"/>
        </w:rPr>
        <w:t>号及</w:t>
      </w:r>
      <w:r>
        <w:rPr>
          <w:szCs w:val="24"/>
        </w:rPr>
        <w:t>《水利工程概（估）算编制规定》（水总</w:t>
      </w:r>
      <w:r>
        <w:rPr>
          <w:bCs/>
          <w:iCs/>
          <w:szCs w:val="24"/>
        </w:rPr>
        <w:t>〔</w:t>
      </w:r>
      <w:r>
        <w:rPr>
          <w:bCs/>
          <w:iCs/>
          <w:szCs w:val="24"/>
        </w:rPr>
        <w:t>2014</w:t>
      </w:r>
      <w:r>
        <w:rPr>
          <w:bCs/>
          <w:iCs/>
          <w:szCs w:val="24"/>
        </w:rPr>
        <w:t>〕</w:t>
      </w:r>
      <w:r>
        <w:rPr>
          <w:szCs w:val="24"/>
        </w:rPr>
        <w:t>429</w:t>
      </w:r>
      <w:r>
        <w:rPr>
          <w:szCs w:val="24"/>
        </w:rPr>
        <w:t>号）等</w:t>
      </w:r>
      <w:r>
        <w:rPr>
          <w:bCs/>
          <w:iCs/>
          <w:szCs w:val="24"/>
        </w:rPr>
        <w:t>文件补充完善；</w:t>
      </w:r>
    </w:p>
    <w:p w:rsidR="008E4D92" w:rsidRDefault="008B068A">
      <w:pPr>
        <w:spacing w:line="360" w:lineRule="auto"/>
        <w:ind w:firstLine="480"/>
        <w:rPr>
          <w:bCs/>
          <w:iCs/>
        </w:rPr>
      </w:pPr>
      <w:r>
        <w:rPr>
          <w:bCs/>
          <w:iCs/>
        </w:rPr>
        <w:t>（</w:t>
      </w:r>
      <w:r>
        <w:rPr>
          <w:bCs/>
          <w:iCs/>
        </w:rPr>
        <w:t>5</w:t>
      </w:r>
      <w:r>
        <w:rPr>
          <w:bCs/>
          <w:iCs/>
        </w:rPr>
        <w:t>）建设过程中发生的水土流失防治费用，从基本建设投资中列支；</w:t>
      </w:r>
    </w:p>
    <w:p w:rsidR="008E4D92" w:rsidRDefault="008B068A">
      <w:pPr>
        <w:spacing w:line="360" w:lineRule="auto"/>
        <w:ind w:firstLine="480"/>
        <w:rPr>
          <w:bCs/>
          <w:iCs/>
        </w:rPr>
      </w:pPr>
      <w:r>
        <w:rPr>
          <w:bCs/>
          <w:iCs/>
        </w:rPr>
        <w:t>（</w:t>
      </w:r>
      <w:r>
        <w:rPr>
          <w:bCs/>
          <w:iCs/>
        </w:rPr>
        <w:t>6</w:t>
      </w:r>
      <w:r>
        <w:rPr>
          <w:bCs/>
          <w:iCs/>
        </w:rPr>
        <w:t>）本工程水土保持投资概算作为主体工程投资概算组成部分，计入总投资概算中。</w:t>
      </w:r>
    </w:p>
    <w:p w:rsidR="008E4D92" w:rsidRDefault="008B068A">
      <w:pPr>
        <w:keepNext/>
        <w:keepLines/>
        <w:spacing w:line="360" w:lineRule="auto"/>
        <w:ind w:firstLineChars="250" w:firstLine="602"/>
        <w:rPr>
          <w:b/>
          <w:bCs/>
          <w:lang w:val="zh-CN"/>
        </w:rPr>
      </w:pPr>
      <w:r>
        <w:rPr>
          <w:b/>
          <w:bCs/>
        </w:rPr>
        <w:t>二、</w:t>
      </w:r>
      <w:r>
        <w:rPr>
          <w:b/>
          <w:bCs/>
          <w:lang w:val="zh-CN"/>
        </w:rPr>
        <w:t>编制依据</w:t>
      </w:r>
    </w:p>
    <w:p w:rsidR="008E4D92" w:rsidRDefault="008B068A">
      <w:pPr>
        <w:numPr>
          <w:ilvl w:val="0"/>
          <w:numId w:val="3"/>
        </w:numPr>
        <w:adjustRightInd/>
        <w:snapToGrid/>
        <w:spacing w:line="360" w:lineRule="auto"/>
        <w:ind w:firstLineChars="200" w:firstLine="480"/>
        <w:rPr>
          <w:szCs w:val="21"/>
        </w:rPr>
      </w:pPr>
      <w:r>
        <w:rPr>
          <w:szCs w:val="21"/>
        </w:rPr>
        <w:t>《水土保持工程概（估）算编制规定和定额》（水总</w:t>
      </w:r>
      <w:r>
        <w:rPr>
          <w:szCs w:val="21"/>
        </w:rPr>
        <w:t>[2003]67</w:t>
      </w:r>
      <w:r>
        <w:rPr>
          <w:szCs w:val="21"/>
        </w:rPr>
        <w:t>号文）；</w:t>
      </w:r>
    </w:p>
    <w:p w:rsidR="008E4D92" w:rsidRDefault="008B068A">
      <w:pPr>
        <w:numPr>
          <w:ilvl w:val="0"/>
          <w:numId w:val="3"/>
        </w:numPr>
        <w:adjustRightInd/>
        <w:snapToGrid/>
        <w:spacing w:line="360" w:lineRule="auto"/>
        <w:ind w:firstLineChars="200" w:firstLine="480"/>
        <w:rPr>
          <w:szCs w:val="21"/>
        </w:rPr>
      </w:pPr>
      <w:r>
        <w:rPr>
          <w:rFonts w:hint="eastAsia"/>
          <w:szCs w:val="21"/>
        </w:rPr>
        <w:t>《四川省水利水电工程设计概</w:t>
      </w:r>
      <w:r>
        <w:rPr>
          <w:rFonts w:hint="eastAsia"/>
          <w:szCs w:val="21"/>
        </w:rPr>
        <w:t>(</w:t>
      </w:r>
      <w:r>
        <w:rPr>
          <w:rFonts w:hint="eastAsia"/>
          <w:szCs w:val="21"/>
        </w:rPr>
        <w:t>估</w:t>
      </w:r>
      <w:r>
        <w:rPr>
          <w:rFonts w:hint="eastAsia"/>
          <w:szCs w:val="21"/>
        </w:rPr>
        <w:t>)</w:t>
      </w:r>
      <w:r>
        <w:rPr>
          <w:rFonts w:hint="eastAsia"/>
          <w:szCs w:val="21"/>
        </w:rPr>
        <w:t>算编制规定》（川水发</w:t>
      </w:r>
      <w:r>
        <w:rPr>
          <w:rFonts w:hint="eastAsia"/>
          <w:szCs w:val="21"/>
        </w:rPr>
        <w:t>[2015]9</w:t>
      </w:r>
      <w:r>
        <w:rPr>
          <w:rFonts w:hint="eastAsia"/>
          <w:szCs w:val="21"/>
        </w:rPr>
        <w:t>号）；</w:t>
      </w:r>
    </w:p>
    <w:p w:rsidR="008E4D92" w:rsidRDefault="008B068A">
      <w:pPr>
        <w:adjustRightInd/>
        <w:snapToGrid/>
        <w:spacing w:line="360" w:lineRule="auto"/>
        <w:ind w:firstLineChars="200" w:firstLine="480"/>
        <w:rPr>
          <w:szCs w:val="21"/>
        </w:rPr>
      </w:pPr>
      <w:r>
        <w:rPr>
          <w:rFonts w:hint="eastAsia"/>
          <w:szCs w:val="21"/>
        </w:rPr>
        <w:t>（</w:t>
      </w:r>
      <w:r>
        <w:rPr>
          <w:rFonts w:hint="eastAsia"/>
          <w:szCs w:val="21"/>
        </w:rPr>
        <w:t>3</w:t>
      </w:r>
      <w:r>
        <w:rPr>
          <w:rFonts w:hint="eastAsia"/>
          <w:szCs w:val="21"/>
        </w:rPr>
        <w:t>）水利部办公厅《关于调整水利工程计价依据增值税计算标准的通知》（办财务函</w:t>
      </w:r>
      <w:r>
        <w:rPr>
          <w:rFonts w:hint="eastAsia"/>
          <w:szCs w:val="21"/>
        </w:rPr>
        <w:t>[2019]448</w:t>
      </w:r>
      <w:r>
        <w:rPr>
          <w:rFonts w:hint="eastAsia"/>
          <w:szCs w:val="21"/>
        </w:rPr>
        <w:t>号）；</w:t>
      </w:r>
    </w:p>
    <w:p w:rsidR="008E4D92" w:rsidRDefault="008B068A">
      <w:pPr>
        <w:adjustRightInd/>
        <w:snapToGrid/>
        <w:spacing w:line="360" w:lineRule="auto"/>
        <w:ind w:firstLineChars="200" w:firstLine="480"/>
        <w:rPr>
          <w:szCs w:val="21"/>
        </w:rPr>
      </w:pPr>
      <w:r>
        <w:rPr>
          <w:rFonts w:hint="eastAsia"/>
          <w:szCs w:val="21"/>
        </w:rPr>
        <w:t>（</w:t>
      </w:r>
      <w:r>
        <w:rPr>
          <w:rFonts w:hint="eastAsia"/>
          <w:szCs w:val="21"/>
        </w:rPr>
        <w:t>4</w:t>
      </w:r>
      <w:r>
        <w:rPr>
          <w:rFonts w:hint="eastAsia"/>
          <w:szCs w:val="21"/>
        </w:rPr>
        <w:t>）四川省水利厅关于印发《增值税税率调整后</w:t>
      </w:r>
      <w:r>
        <w:rPr>
          <w:rFonts w:hint="eastAsia"/>
          <w:szCs w:val="21"/>
        </w:rPr>
        <w:t>&lt;</w:t>
      </w:r>
      <w:r>
        <w:rPr>
          <w:rFonts w:hint="eastAsia"/>
          <w:szCs w:val="21"/>
        </w:rPr>
        <w:t>四川省水利水电工程设计概（估）算编制规定</w:t>
      </w:r>
      <w:r>
        <w:rPr>
          <w:rFonts w:hint="eastAsia"/>
          <w:szCs w:val="21"/>
        </w:rPr>
        <w:t>&gt;</w:t>
      </w:r>
      <w:r>
        <w:rPr>
          <w:rFonts w:hint="eastAsia"/>
          <w:szCs w:val="21"/>
        </w:rPr>
        <w:t>相应调整办法》的通知（川水函</w:t>
      </w:r>
      <w:r>
        <w:rPr>
          <w:rFonts w:hint="eastAsia"/>
          <w:szCs w:val="21"/>
        </w:rPr>
        <w:t>[2019]610</w:t>
      </w:r>
      <w:r>
        <w:rPr>
          <w:rFonts w:hint="eastAsia"/>
          <w:szCs w:val="21"/>
        </w:rPr>
        <w:t>号）；</w:t>
      </w:r>
      <w:r>
        <w:rPr>
          <w:rFonts w:hint="eastAsia"/>
          <w:szCs w:val="21"/>
        </w:rPr>
        <w:t xml:space="preserve"> </w:t>
      </w:r>
    </w:p>
    <w:p w:rsidR="008E4D92" w:rsidRDefault="008B068A">
      <w:pPr>
        <w:adjustRightInd/>
        <w:snapToGrid/>
        <w:spacing w:line="360" w:lineRule="auto"/>
        <w:ind w:firstLineChars="200" w:firstLine="480"/>
        <w:rPr>
          <w:szCs w:val="21"/>
        </w:rPr>
      </w:pPr>
      <w:r>
        <w:rPr>
          <w:rFonts w:hint="eastAsia"/>
          <w:szCs w:val="21"/>
        </w:rPr>
        <w:t>（</w:t>
      </w:r>
      <w:r>
        <w:rPr>
          <w:rFonts w:hint="eastAsia"/>
          <w:szCs w:val="21"/>
        </w:rPr>
        <w:t>5</w:t>
      </w:r>
      <w:r>
        <w:rPr>
          <w:rFonts w:hint="eastAsia"/>
          <w:szCs w:val="21"/>
        </w:rPr>
        <w:t>）四川省发展和改革委员会、四川省财政厅印发《关于制定水土保持补偿费收费标准的通知》（川发改价格</w:t>
      </w:r>
      <w:r>
        <w:rPr>
          <w:rFonts w:hint="eastAsia"/>
          <w:szCs w:val="21"/>
        </w:rPr>
        <w:t>[2017]347</w:t>
      </w:r>
      <w:r>
        <w:rPr>
          <w:rFonts w:hint="eastAsia"/>
          <w:szCs w:val="21"/>
        </w:rPr>
        <w:t>号）；</w:t>
      </w:r>
    </w:p>
    <w:p w:rsidR="008E4D92" w:rsidRDefault="008B068A">
      <w:pPr>
        <w:adjustRightInd/>
        <w:snapToGrid/>
        <w:spacing w:line="360" w:lineRule="auto"/>
        <w:ind w:firstLineChars="200" w:firstLine="480"/>
        <w:rPr>
          <w:szCs w:val="21"/>
        </w:rPr>
      </w:pPr>
      <w:r>
        <w:rPr>
          <w:rFonts w:hint="eastAsia"/>
          <w:szCs w:val="21"/>
        </w:rPr>
        <w:t>（</w:t>
      </w:r>
      <w:r>
        <w:rPr>
          <w:rFonts w:hint="eastAsia"/>
          <w:szCs w:val="21"/>
        </w:rPr>
        <w:t>6</w:t>
      </w:r>
      <w:r>
        <w:rPr>
          <w:rFonts w:hint="eastAsia"/>
          <w:szCs w:val="21"/>
        </w:rPr>
        <w:t>）</w:t>
      </w:r>
      <w:r>
        <w:rPr>
          <w:szCs w:val="21"/>
        </w:rPr>
        <w:t>《成都市等</w:t>
      </w:r>
      <w:r>
        <w:rPr>
          <w:szCs w:val="21"/>
        </w:rPr>
        <w:t>18</w:t>
      </w:r>
      <w:r>
        <w:rPr>
          <w:szCs w:val="21"/>
        </w:rPr>
        <w:t>个市、州</w:t>
      </w:r>
      <w:r>
        <w:rPr>
          <w:szCs w:val="21"/>
        </w:rPr>
        <w:t>2015</w:t>
      </w:r>
      <w:r>
        <w:rPr>
          <w:szCs w:val="21"/>
        </w:rPr>
        <w:t>年《四川省建设工程工程量清单计价定额》人工费调整幅度及计日工人工单价》。</w:t>
      </w:r>
    </w:p>
    <w:p w:rsidR="008E4D92" w:rsidRDefault="008B068A">
      <w:pPr>
        <w:keepNext/>
        <w:keepLines/>
        <w:spacing w:line="360" w:lineRule="auto"/>
        <w:ind w:firstLineChars="200" w:firstLine="482"/>
        <w:rPr>
          <w:b/>
          <w:bCs/>
          <w:lang w:val="zh-CN"/>
        </w:rPr>
      </w:pPr>
      <w:r>
        <w:rPr>
          <w:b/>
          <w:bCs/>
        </w:rPr>
        <w:t>三、</w:t>
      </w:r>
      <w:r>
        <w:rPr>
          <w:b/>
          <w:bCs/>
          <w:lang w:val="zh-CN"/>
        </w:rPr>
        <w:t>编制方法及计算标准</w:t>
      </w:r>
    </w:p>
    <w:p w:rsidR="008E4D92" w:rsidRDefault="008B068A">
      <w:pPr>
        <w:spacing w:line="360" w:lineRule="auto"/>
        <w:ind w:firstLineChars="192" w:firstLine="461"/>
      </w:pPr>
      <w:r>
        <w:t>水土保持工程投资分为水土保持工程静态投资和水土保持补偿费两大部分。水土保持工程静态投资由水土保持工程措施、植物措施、监测措施、临时措施、独立费用和预备费</w:t>
      </w:r>
      <w:r>
        <w:t>6</w:t>
      </w:r>
      <w:r>
        <w:t>部分组成。</w:t>
      </w:r>
    </w:p>
    <w:p w:rsidR="008E4D92" w:rsidRDefault="008B068A">
      <w:pPr>
        <w:spacing w:line="360" w:lineRule="auto"/>
        <w:ind w:firstLineChars="192" w:firstLine="461"/>
      </w:pPr>
      <w:r>
        <w:t>1</w:t>
      </w:r>
      <w:r>
        <w:t>、基础单价</w:t>
      </w:r>
    </w:p>
    <w:p w:rsidR="008E4D92" w:rsidRDefault="008B068A">
      <w:pPr>
        <w:spacing w:line="360" w:lineRule="auto"/>
        <w:ind w:firstLineChars="192" w:firstLine="461"/>
      </w:pPr>
      <w:r>
        <w:lastRenderedPageBreak/>
        <w:t>（</w:t>
      </w:r>
      <w:r>
        <w:t>1</w:t>
      </w:r>
      <w:r>
        <w:t>）人工预算单价</w:t>
      </w:r>
    </w:p>
    <w:p w:rsidR="008E4D92" w:rsidRDefault="008B068A">
      <w:pPr>
        <w:pStyle w:val="ad"/>
        <w:ind w:firstLine="480"/>
      </w:pPr>
      <w:r>
        <w:t>引用主体。人工费（含机械工）单价按</w:t>
      </w:r>
      <w:r>
        <w:t>125.04</w:t>
      </w:r>
      <w:r>
        <w:t>元</w:t>
      </w:r>
      <w:r>
        <w:t>/</w:t>
      </w:r>
      <w:r>
        <w:t>工日，</w:t>
      </w:r>
      <w:r>
        <w:t>15.63</w:t>
      </w:r>
      <w:r>
        <w:t>元</w:t>
      </w:r>
      <w:r>
        <w:t>/</w:t>
      </w:r>
      <w:r>
        <w:t>工时。</w:t>
      </w:r>
    </w:p>
    <w:p w:rsidR="008E4D92" w:rsidRDefault="008B068A">
      <w:pPr>
        <w:spacing w:line="360" w:lineRule="auto"/>
        <w:ind w:firstLineChars="192" w:firstLine="461"/>
      </w:pPr>
      <w:r>
        <w:t>（</w:t>
      </w:r>
      <w:r>
        <w:t>2</w:t>
      </w:r>
      <w:r>
        <w:t>）主要材料预算价格。</w:t>
      </w:r>
    </w:p>
    <w:p w:rsidR="008E4D92" w:rsidRDefault="008B068A">
      <w:pPr>
        <w:pStyle w:val="ad"/>
        <w:ind w:firstLine="480"/>
      </w:pPr>
      <w:r>
        <w:rPr>
          <w:rFonts w:hint="eastAsia"/>
        </w:rPr>
        <w:t>本方案材料价格由材料原价、包装费、材料运杂费、材料运输保险费及采购保管费组成，参照主体工程造价和市场价计算单价。</w:t>
      </w:r>
      <w:r>
        <w:t>详见表</w:t>
      </w:r>
      <w:r>
        <w:t>6-1</w:t>
      </w:r>
      <w:r>
        <w:rPr>
          <w:rFonts w:hint="eastAsia"/>
        </w:rPr>
        <w:t>。</w:t>
      </w:r>
    </w:p>
    <w:p w:rsidR="008E4D92" w:rsidRDefault="008B068A">
      <w:pPr>
        <w:pStyle w:val="af5"/>
        <w:widowControl w:val="0"/>
        <w:adjustRightInd w:val="0"/>
        <w:snapToGrid w:val="0"/>
        <w:jc w:val="center"/>
        <w:rPr>
          <w:sz w:val="22"/>
          <w:szCs w:val="22"/>
        </w:rPr>
      </w:pPr>
      <w:r>
        <w:rPr>
          <w:sz w:val="22"/>
          <w:szCs w:val="22"/>
        </w:rPr>
        <w:t>表</w:t>
      </w:r>
      <w:r>
        <w:rPr>
          <w:sz w:val="22"/>
          <w:szCs w:val="22"/>
        </w:rPr>
        <w:t xml:space="preserve">6-1    </w:t>
      </w:r>
      <w:r>
        <w:rPr>
          <w:sz w:val="22"/>
          <w:szCs w:val="22"/>
        </w:rPr>
        <w:t>材料价格汇总表</w:t>
      </w: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3"/>
        <w:gridCol w:w="1354"/>
        <w:gridCol w:w="1353"/>
        <w:gridCol w:w="1353"/>
        <w:gridCol w:w="1352"/>
        <w:gridCol w:w="2331"/>
      </w:tblGrid>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序号</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名称及规格</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单位</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产地</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运输方式</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除税后预算价（元）</w:t>
            </w:r>
          </w:p>
        </w:tc>
      </w:tr>
      <w:tr w:rsidR="008E4D92">
        <w:trPr>
          <w:trHeight w:val="90"/>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1</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柴油</w:t>
            </w:r>
            <w:r>
              <w:rPr>
                <w:rFonts w:hint="eastAsia"/>
                <w:kern w:val="0"/>
                <w:sz w:val="21"/>
                <w:szCs w:val="21"/>
                <w:lang w:bidi="ar"/>
              </w:rPr>
              <w:t>0#</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kg</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7.04</w:t>
            </w:r>
          </w:p>
        </w:tc>
      </w:tr>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2</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汽油</w:t>
            </w:r>
            <w:r>
              <w:rPr>
                <w:rFonts w:hint="eastAsia"/>
                <w:kern w:val="0"/>
                <w:sz w:val="21"/>
                <w:szCs w:val="21"/>
                <w:lang w:bidi="ar"/>
              </w:rPr>
              <w:t>92#</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kg</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7.34</w:t>
            </w:r>
          </w:p>
        </w:tc>
      </w:tr>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3</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砂浆</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Kg</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288</w:t>
            </w:r>
            <w:r>
              <w:rPr>
                <w:kern w:val="0"/>
                <w:sz w:val="21"/>
                <w:szCs w:val="21"/>
                <w:lang w:bidi="ar"/>
              </w:rPr>
              <w:t xml:space="preserve"> </w:t>
            </w:r>
          </w:p>
        </w:tc>
      </w:tr>
      <w:tr w:rsidR="008E4D92">
        <w:trPr>
          <w:trHeight w:val="298"/>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4</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砂卵石</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240</w:t>
            </w:r>
          </w:p>
        </w:tc>
      </w:tr>
      <w:tr w:rsidR="008E4D92">
        <w:trPr>
          <w:trHeight w:val="34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5</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钢模板</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kg</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3.84</w:t>
            </w:r>
          </w:p>
        </w:tc>
      </w:tr>
      <w:tr w:rsidR="008E4D92">
        <w:trPr>
          <w:trHeight w:val="34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6</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板枋材</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1176</w:t>
            </w:r>
          </w:p>
        </w:tc>
      </w:tr>
      <w:tr w:rsidR="008E4D92">
        <w:trPr>
          <w:trHeight w:val="34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7</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铁件</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kg</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5.16</w:t>
            </w:r>
          </w:p>
        </w:tc>
      </w:tr>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8</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防雨布</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m</w:t>
            </w:r>
            <w:r>
              <w:rPr>
                <w:kern w:val="0"/>
                <w:sz w:val="21"/>
                <w:szCs w:val="21"/>
                <w:vertAlign w:val="superscript"/>
                <w:lang w:bidi="ar"/>
              </w:rPr>
              <w:t>2</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3.50</w:t>
            </w:r>
          </w:p>
        </w:tc>
      </w:tr>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9</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编织袋</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条</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汽车运</w:t>
            </w: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 xml:space="preserve">0.50 </w:t>
            </w:r>
          </w:p>
        </w:tc>
      </w:tr>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10</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电</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kW·h</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E4D92">
            <w:pPr>
              <w:widowControl/>
              <w:jc w:val="center"/>
              <w:textAlignment w:val="center"/>
              <w:rPr>
                <w:kern w:val="0"/>
                <w:sz w:val="21"/>
                <w:szCs w:val="21"/>
                <w:lang w:bidi="ar"/>
              </w:rPr>
            </w:pP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0.81</w:t>
            </w:r>
            <w:r>
              <w:rPr>
                <w:kern w:val="0"/>
                <w:sz w:val="21"/>
                <w:szCs w:val="21"/>
                <w:lang w:bidi="ar"/>
              </w:rPr>
              <w:t xml:space="preserve"> </w:t>
            </w:r>
          </w:p>
        </w:tc>
      </w:tr>
      <w:tr w:rsidR="008E4D92">
        <w:trPr>
          <w:trHeight w:val="312"/>
        </w:trPr>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1</w:t>
            </w:r>
          </w:p>
        </w:tc>
        <w:tc>
          <w:tcPr>
            <w:tcW w:w="1354"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水</w:t>
            </w:r>
          </w:p>
        </w:tc>
        <w:tc>
          <w:tcPr>
            <w:tcW w:w="1353" w:type="dxa"/>
            <w:tcMar>
              <w:top w:w="12" w:type="dxa"/>
              <w:left w:w="12" w:type="dxa"/>
              <w:right w:w="12" w:type="dxa"/>
            </w:tcMar>
            <w:vAlign w:val="center"/>
          </w:tcPr>
          <w:p w:rsidR="008E4D92" w:rsidRDefault="008B068A">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353"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kern w:val="0"/>
                <w:sz w:val="21"/>
                <w:szCs w:val="21"/>
                <w:lang w:bidi="ar"/>
              </w:rPr>
              <w:t>仪陇县</w:t>
            </w:r>
          </w:p>
        </w:tc>
        <w:tc>
          <w:tcPr>
            <w:tcW w:w="1352" w:type="dxa"/>
            <w:tcMar>
              <w:top w:w="12" w:type="dxa"/>
              <w:left w:w="12" w:type="dxa"/>
              <w:right w:w="12" w:type="dxa"/>
            </w:tcMar>
            <w:vAlign w:val="center"/>
          </w:tcPr>
          <w:p w:rsidR="008E4D92" w:rsidRDefault="008E4D92">
            <w:pPr>
              <w:widowControl/>
              <w:jc w:val="center"/>
              <w:textAlignment w:val="center"/>
              <w:rPr>
                <w:kern w:val="0"/>
                <w:sz w:val="21"/>
                <w:szCs w:val="21"/>
                <w:lang w:bidi="ar"/>
              </w:rPr>
            </w:pPr>
          </w:p>
        </w:tc>
        <w:tc>
          <w:tcPr>
            <w:tcW w:w="2331" w:type="dxa"/>
            <w:tcMar>
              <w:top w:w="12" w:type="dxa"/>
              <w:left w:w="12" w:type="dxa"/>
              <w:right w:w="12"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3.40</w:t>
            </w:r>
          </w:p>
        </w:tc>
      </w:tr>
    </w:tbl>
    <w:p w:rsidR="008E4D92" w:rsidRDefault="008E4D92">
      <w:pPr>
        <w:pStyle w:val="af5"/>
        <w:widowControl w:val="0"/>
        <w:adjustRightInd w:val="0"/>
        <w:snapToGrid w:val="0"/>
        <w:jc w:val="center"/>
      </w:pPr>
    </w:p>
    <w:p w:rsidR="008E4D92" w:rsidRDefault="008B068A">
      <w:pPr>
        <w:spacing w:line="360" w:lineRule="auto"/>
        <w:ind w:firstLineChars="192" w:firstLine="461"/>
      </w:pPr>
      <w:r>
        <w:t>2</w:t>
      </w:r>
      <w:r>
        <w:t>、水土保持措施单价</w:t>
      </w:r>
    </w:p>
    <w:p w:rsidR="008E4D92" w:rsidRDefault="008B068A">
      <w:pPr>
        <w:pStyle w:val="ad"/>
        <w:ind w:firstLine="480"/>
      </w:pPr>
      <w:r>
        <w:rPr>
          <w:rFonts w:hint="eastAsia"/>
        </w:rPr>
        <w:t>对于水土保持植物措施所需苗木、草籽的单价，以主体工程造价和现场调查实际价格为准，</w:t>
      </w:r>
      <w:r>
        <w:t>详见表</w:t>
      </w:r>
      <w:r>
        <w:t>6-2</w:t>
      </w:r>
      <w:r>
        <w:t>。</w:t>
      </w:r>
    </w:p>
    <w:p w:rsidR="008E4D92" w:rsidRDefault="008B068A">
      <w:pPr>
        <w:pStyle w:val="af5"/>
        <w:widowControl w:val="0"/>
        <w:adjustRightInd w:val="0"/>
        <w:snapToGrid w:val="0"/>
        <w:jc w:val="center"/>
        <w:rPr>
          <w:sz w:val="22"/>
          <w:szCs w:val="22"/>
        </w:rPr>
      </w:pPr>
      <w:r>
        <w:rPr>
          <w:sz w:val="22"/>
          <w:szCs w:val="22"/>
        </w:rPr>
        <w:t>表</w:t>
      </w:r>
      <w:r>
        <w:rPr>
          <w:sz w:val="22"/>
          <w:szCs w:val="22"/>
        </w:rPr>
        <w:t xml:space="preserve">6-2   </w:t>
      </w:r>
      <w:r>
        <w:rPr>
          <w:sz w:val="22"/>
          <w:szCs w:val="22"/>
        </w:rPr>
        <w:t>水土保持单价汇总表</w:t>
      </w:r>
      <w:r>
        <w:rPr>
          <w:sz w:val="22"/>
          <w:szCs w:val="22"/>
        </w:rPr>
        <w:t xml:space="preserve">   </w:t>
      </w:r>
      <w:r>
        <w:rPr>
          <w:sz w:val="22"/>
          <w:szCs w:val="22"/>
        </w:rPr>
        <w:t>单位：元</w:t>
      </w:r>
    </w:p>
    <w:tbl>
      <w:tblPr>
        <w:tblW w:w="4998" w:type="pct"/>
        <w:jc w:val="center"/>
        <w:tblCellMar>
          <w:left w:w="0" w:type="dxa"/>
          <w:right w:w="0" w:type="dxa"/>
        </w:tblCellMar>
        <w:tblLook w:val="04A0" w:firstRow="1" w:lastRow="0" w:firstColumn="1" w:lastColumn="0" w:noHBand="0" w:noVBand="1"/>
      </w:tblPr>
      <w:tblGrid>
        <w:gridCol w:w="971"/>
        <w:gridCol w:w="3309"/>
        <w:gridCol w:w="1178"/>
        <w:gridCol w:w="2835"/>
      </w:tblGrid>
      <w:tr w:rsidR="008E4D92">
        <w:trPr>
          <w:trHeight w:hRule="exact" w:val="402"/>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b/>
                <w:sz w:val="21"/>
                <w:szCs w:val="21"/>
              </w:rPr>
            </w:pPr>
            <w:r>
              <w:rPr>
                <w:b/>
                <w:kern w:val="0"/>
                <w:sz w:val="21"/>
                <w:szCs w:val="21"/>
                <w:lang w:bidi="ar"/>
              </w:rPr>
              <w:t>序号</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b/>
                <w:sz w:val="21"/>
                <w:szCs w:val="21"/>
              </w:rPr>
            </w:pPr>
            <w:r>
              <w:rPr>
                <w:b/>
                <w:kern w:val="0"/>
                <w:sz w:val="21"/>
                <w:szCs w:val="21"/>
                <w:lang w:bidi="ar"/>
              </w:rPr>
              <w:t>名称</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b/>
                <w:sz w:val="21"/>
                <w:szCs w:val="21"/>
              </w:rPr>
            </w:pPr>
            <w:r>
              <w:rPr>
                <w:b/>
                <w:kern w:val="0"/>
                <w:sz w:val="21"/>
                <w:szCs w:val="21"/>
                <w:lang w:bidi="ar"/>
              </w:rPr>
              <w:t>单位</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b/>
                <w:sz w:val="21"/>
                <w:szCs w:val="21"/>
              </w:rPr>
            </w:pPr>
            <w:r>
              <w:rPr>
                <w:b/>
                <w:kern w:val="0"/>
                <w:sz w:val="21"/>
                <w:szCs w:val="21"/>
                <w:lang w:bidi="ar"/>
              </w:rPr>
              <w:t>单价（元）</w:t>
            </w:r>
          </w:p>
        </w:tc>
      </w:tr>
      <w:tr w:rsidR="008E4D92">
        <w:trPr>
          <w:trHeight w:hRule="exact" w:val="422"/>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1</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雨水管</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m</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92</w:t>
            </w:r>
          </w:p>
        </w:tc>
      </w:tr>
      <w:tr w:rsidR="008E4D92">
        <w:trPr>
          <w:trHeight w:hRule="exact" w:val="428"/>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2</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表土剥离</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26.13</w:t>
            </w:r>
          </w:p>
        </w:tc>
      </w:tr>
      <w:tr w:rsidR="008E4D92">
        <w:trPr>
          <w:trHeight w:hRule="exact" w:val="434"/>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3</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覆土整治</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38.29</w:t>
            </w:r>
          </w:p>
        </w:tc>
      </w:tr>
      <w:tr w:rsidR="008E4D92">
        <w:trPr>
          <w:trHeight w:hRule="exact" w:val="426"/>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4</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sz w:val="21"/>
                <w:szCs w:val="21"/>
              </w:rPr>
            </w:pPr>
            <w:r>
              <w:rPr>
                <w:rFonts w:hint="eastAsia"/>
                <w:sz w:val="21"/>
                <w:szCs w:val="21"/>
              </w:rPr>
              <w:t>小叶黄杨</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株</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sz w:val="21"/>
                <w:szCs w:val="21"/>
              </w:rPr>
            </w:pPr>
            <w:r>
              <w:rPr>
                <w:kern w:val="0"/>
                <w:sz w:val="21"/>
                <w:szCs w:val="21"/>
                <w:lang w:bidi="ar"/>
              </w:rPr>
              <w:t>88</w:t>
            </w:r>
          </w:p>
        </w:tc>
      </w:tr>
      <w:tr w:rsidR="008E4D92">
        <w:trPr>
          <w:trHeight w:hRule="exact" w:val="418"/>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5</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结缕草</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m</w:t>
            </w:r>
            <w:r>
              <w:rPr>
                <w:kern w:val="0"/>
                <w:sz w:val="21"/>
                <w:szCs w:val="21"/>
                <w:vertAlign w:val="superscript"/>
                <w:lang w:bidi="ar"/>
              </w:rPr>
              <w:t>2</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2.2</w:t>
            </w:r>
          </w:p>
        </w:tc>
      </w:tr>
      <w:tr w:rsidR="008E4D92">
        <w:trPr>
          <w:trHeight w:hRule="exact" w:val="418"/>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6</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果岭草</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kern w:val="0"/>
                <w:sz w:val="21"/>
                <w:szCs w:val="21"/>
                <w:lang w:bidi="ar"/>
              </w:rPr>
              <w:t>m</w:t>
            </w:r>
            <w:r>
              <w:rPr>
                <w:kern w:val="0"/>
                <w:sz w:val="21"/>
                <w:szCs w:val="21"/>
                <w:vertAlign w:val="superscript"/>
                <w:lang w:bidi="ar"/>
              </w:rPr>
              <w:t>2</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w:t>
            </w:r>
            <w:r>
              <w:rPr>
                <w:kern w:val="0"/>
                <w:sz w:val="21"/>
                <w:szCs w:val="21"/>
                <w:lang w:bidi="ar"/>
              </w:rPr>
              <w:t>3.6</w:t>
            </w:r>
          </w:p>
        </w:tc>
      </w:tr>
      <w:tr w:rsidR="008E4D92">
        <w:trPr>
          <w:trHeight w:hRule="exact" w:val="418"/>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7</w:t>
            </w:r>
          </w:p>
        </w:tc>
        <w:tc>
          <w:tcPr>
            <w:tcW w:w="199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玉兰树</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株</w:t>
            </w:r>
          </w:p>
        </w:tc>
        <w:tc>
          <w:tcPr>
            <w:tcW w:w="17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E4D92" w:rsidRDefault="008B068A">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08</w:t>
            </w:r>
          </w:p>
        </w:tc>
      </w:tr>
    </w:tbl>
    <w:p w:rsidR="008E4D92" w:rsidRDefault="008B068A">
      <w:pPr>
        <w:spacing w:beforeLines="50" w:before="156" w:line="360" w:lineRule="auto"/>
        <w:ind w:firstLineChars="192" w:firstLine="461"/>
      </w:pPr>
      <w:r>
        <w:t>3</w:t>
      </w:r>
      <w:r>
        <w:t>、水土保持工程概算编制</w:t>
      </w:r>
    </w:p>
    <w:p w:rsidR="008E4D92" w:rsidRDefault="008B068A">
      <w:pPr>
        <w:spacing w:line="360" w:lineRule="auto"/>
        <w:ind w:firstLineChars="192" w:firstLine="461"/>
      </w:pPr>
      <w:r>
        <w:t>（</w:t>
      </w:r>
      <w:r>
        <w:t>1</w:t>
      </w:r>
      <w:r>
        <w:t>）工程措施</w:t>
      </w:r>
    </w:p>
    <w:p w:rsidR="008E4D92" w:rsidRDefault="008B068A">
      <w:pPr>
        <w:spacing w:line="360" w:lineRule="auto"/>
        <w:ind w:firstLineChars="192" w:firstLine="461"/>
      </w:pPr>
      <w:r>
        <w:t>引用主体。</w:t>
      </w:r>
    </w:p>
    <w:p w:rsidR="008E4D92" w:rsidRDefault="008B068A">
      <w:pPr>
        <w:spacing w:line="360" w:lineRule="auto"/>
        <w:ind w:firstLineChars="192" w:firstLine="461"/>
      </w:pPr>
      <w:r>
        <w:t>（</w:t>
      </w:r>
      <w:r>
        <w:t>2</w:t>
      </w:r>
      <w:r>
        <w:t>）植物措施</w:t>
      </w:r>
    </w:p>
    <w:p w:rsidR="008E4D92" w:rsidRDefault="008B068A">
      <w:pPr>
        <w:spacing w:line="360" w:lineRule="auto"/>
        <w:ind w:firstLineChars="192" w:firstLine="461"/>
      </w:pPr>
      <w:r>
        <w:lastRenderedPageBreak/>
        <w:t>引用主体。</w:t>
      </w:r>
    </w:p>
    <w:p w:rsidR="008E4D92" w:rsidRDefault="008B068A">
      <w:pPr>
        <w:spacing w:line="360" w:lineRule="auto"/>
        <w:ind w:firstLineChars="192" w:firstLine="461"/>
      </w:pPr>
      <w:r>
        <w:t>（</w:t>
      </w:r>
      <w:r>
        <w:t>3</w:t>
      </w:r>
      <w:r>
        <w:t>）监测措施</w:t>
      </w:r>
    </w:p>
    <w:p w:rsidR="008E4D92" w:rsidRDefault="008B068A">
      <w:pPr>
        <w:spacing w:line="360" w:lineRule="auto"/>
        <w:ind w:firstLineChars="192" w:firstLine="461"/>
      </w:pPr>
      <w:r>
        <w:t>本方案为报告表，不进行水土保持监测。</w:t>
      </w:r>
    </w:p>
    <w:p w:rsidR="008E4D92" w:rsidRDefault="008B068A">
      <w:pPr>
        <w:spacing w:line="360" w:lineRule="auto"/>
        <w:ind w:firstLineChars="192" w:firstLine="461"/>
      </w:pPr>
      <w:r>
        <w:t>4</w:t>
      </w:r>
      <w:r>
        <w:t>、独立费用组成</w:t>
      </w:r>
    </w:p>
    <w:p w:rsidR="008E4D92" w:rsidRDefault="008B068A">
      <w:pPr>
        <w:pStyle w:val="Char11"/>
        <w:spacing w:before="0" w:line="360" w:lineRule="auto"/>
        <w:ind w:left="480" w:firstLineChars="200" w:firstLine="480"/>
        <w:rPr>
          <w:color w:val="auto"/>
          <w:szCs w:val="24"/>
        </w:rPr>
      </w:pPr>
      <w:r>
        <w:rPr>
          <w:color w:val="auto"/>
        </w:rPr>
        <w:t>1</w:t>
      </w:r>
      <w:r>
        <w:rPr>
          <w:color w:val="auto"/>
        </w:rPr>
        <w:t>）建设管理费：</w:t>
      </w:r>
      <w:r>
        <w:rPr>
          <w:color w:val="auto"/>
          <w:szCs w:val="24"/>
        </w:rPr>
        <w:t>按新增工程措施费、植物措施费、监测措施费、施工临时工程费之和的</w:t>
      </w:r>
      <w:r>
        <w:rPr>
          <w:color w:val="auto"/>
          <w:szCs w:val="24"/>
        </w:rPr>
        <w:t>2.0%</w:t>
      </w:r>
      <w:r>
        <w:rPr>
          <w:color w:val="auto"/>
          <w:szCs w:val="24"/>
        </w:rPr>
        <w:t>计列；</w:t>
      </w:r>
    </w:p>
    <w:p w:rsidR="008E4D92" w:rsidRDefault="008B068A">
      <w:pPr>
        <w:pStyle w:val="Char11"/>
        <w:spacing w:before="0" w:line="360" w:lineRule="auto"/>
        <w:ind w:left="480" w:firstLineChars="200" w:firstLine="480"/>
        <w:rPr>
          <w:color w:val="auto"/>
          <w:szCs w:val="24"/>
        </w:rPr>
      </w:pPr>
      <w:r>
        <w:rPr>
          <w:color w:val="auto"/>
        </w:rPr>
        <w:t>2</w:t>
      </w:r>
      <w:r>
        <w:rPr>
          <w:color w:val="auto"/>
        </w:rPr>
        <w:t>）水土保持方案编制费：</w:t>
      </w:r>
      <w:r>
        <w:rPr>
          <w:color w:val="auto"/>
          <w:szCs w:val="24"/>
        </w:rPr>
        <w:t>按《水利部关于颁发</w:t>
      </w:r>
      <w:r>
        <w:rPr>
          <w:color w:val="auto"/>
        </w:rPr>
        <w:t>《生产建设项目水土保持工程概（估）算编制规定》（总院内部资料</w:t>
      </w:r>
      <w:r>
        <w:rPr>
          <w:color w:val="auto"/>
        </w:rPr>
        <w:t>2015</w:t>
      </w:r>
      <w:r>
        <w:rPr>
          <w:color w:val="auto"/>
        </w:rPr>
        <w:t>版）</w:t>
      </w:r>
      <w:r>
        <w:rPr>
          <w:color w:val="auto"/>
          <w:szCs w:val="24"/>
        </w:rPr>
        <w:t>表</w:t>
      </w:r>
      <w:r>
        <w:rPr>
          <w:color w:val="auto"/>
          <w:szCs w:val="24"/>
        </w:rPr>
        <w:t>4-7</w:t>
      </w:r>
      <w:r>
        <w:rPr>
          <w:color w:val="auto"/>
          <w:szCs w:val="24"/>
        </w:rPr>
        <w:t>所列标准，并结合实际合同价确定计列；</w:t>
      </w:r>
    </w:p>
    <w:p w:rsidR="008E4D92" w:rsidRDefault="008B068A">
      <w:pPr>
        <w:pStyle w:val="Char11"/>
        <w:spacing w:before="0" w:line="360" w:lineRule="auto"/>
        <w:ind w:left="480" w:firstLineChars="200" w:firstLine="480"/>
        <w:rPr>
          <w:color w:val="auto"/>
          <w:szCs w:val="24"/>
        </w:rPr>
      </w:pPr>
      <w:r>
        <w:rPr>
          <w:color w:val="auto"/>
          <w:szCs w:val="24"/>
        </w:rPr>
        <w:t>3</w:t>
      </w:r>
      <w:r>
        <w:rPr>
          <w:color w:val="auto"/>
          <w:szCs w:val="24"/>
        </w:rPr>
        <w:t>）科研勘测设计费</w:t>
      </w:r>
    </w:p>
    <w:p w:rsidR="008E4D92" w:rsidRDefault="008B068A">
      <w:pPr>
        <w:pStyle w:val="Char11"/>
        <w:spacing w:before="0" w:line="360" w:lineRule="auto"/>
        <w:ind w:left="480" w:firstLineChars="200" w:firstLine="480"/>
        <w:rPr>
          <w:color w:val="auto"/>
          <w:szCs w:val="24"/>
        </w:rPr>
      </w:pPr>
      <w:r>
        <w:rPr>
          <w:color w:val="auto"/>
          <w:szCs w:val="24"/>
        </w:rPr>
        <w:t>①</w:t>
      </w:r>
      <w:r>
        <w:rPr>
          <w:color w:val="auto"/>
          <w:szCs w:val="24"/>
        </w:rPr>
        <w:t>工程科学研究试验费：遇大型、特殊水土保持工程可列此项费用，按一至四部分投资合计的</w:t>
      </w:r>
      <w:r>
        <w:rPr>
          <w:color w:val="auto"/>
          <w:szCs w:val="24"/>
        </w:rPr>
        <w:t>0.2%</w:t>
      </w:r>
      <w:r>
        <w:rPr>
          <w:color w:val="auto"/>
          <w:szCs w:val="24"/>
        </w:rPr>
        <w:t>～</w:t>
      </w:r>
      <w:r>
        <w:rPr>
          <w:color w:val="auto"/>
          <w:szCs w:val="24"/>
        </w:rPr>
        <w:t>0.5%</w:t>
      </w:r>
      <w:r>
        <w:rPr>
          <w:color w:val="auto"/>
          <w:szCs w:val="24"/>
        </w:rPr>
        <w:t>计列，一般情况下不计列此项费用，根据本项目建设内容，不计列该项费用。</w:t>
      </w:r>
    </w:p>
    <w:p w:rsidR="008E4D92" w:rsidRDefault="008B068A">
      <w:pPr>
        <w:pStyle w:val="Char11"/>
        <w:spacing w:before="0" w:line="360" w:lineRule="auto"/>
        <w:ind w:left="480" w:firstLineChars="200" w:firstLine="480"/>
        <w:rPr>
          <w:color w:val="auto"/>
          <w:szCs w:val="24"/>
        </w:rPr>
      </w:pPr>
      <w:r>
        <w:rPr>
          <w:color w:val="auto"/>
          <w:szCs w:val="24"/>
        </w:rPr>
        <w:t>②</w:t>
      </w:r>
      <w:r>
        <w:rPr>
          <w:color w:val="auto"/>
          <w:szCs w:val="24"/>
        </w:rPr>
        <w:t>勘测设计费：按照国家计委、建设部计价格</w:t>
      </w:r>
      <w:r>
        <w:rPr>
          <w:color w:val="auto"/>
          <w:szCs w:val="24"/>
        </w:rPr>
        <w:t>[2002]10</w:t>
      </w:r>
      <w:r>
        <w:rPr>
          <w:color w:val="auto"/>
          <w:szCs w:val="24"/>
        </w:rPr>
        <w:t>号文《工程勘察设计收费管理规定》，根据本项目建设内容，不计列该项费用。</w:t>
      </w:r>
    </w:p>
    <w:p w:rsidR="008E4D92" w:rsidRDefault="008B068A">
      <w:pPr>
        <w:pStyle w:val="Char11"/>
        <w:spacing w:before="0" w:line="360" w:lineRule="auto"/>
        <w:ind w:left="480" w:firstLineChars="200" w:firstLine="480"/>
        <w:rPr>
          <w:color w:val="auto"/>
          <w:szCs w:val="24"/>
        </w:rPr>
      </w:pPr>
      <w:r>
        <w:rPr>
          <w:color w:val="auto"/>
        </w:rPr>
        <w:t>4</w:t>
      </w:r>
      <w:r>
        <w:rPr>
          <w:color w:val="auto"/>
        </w:rPr>
        <w:t>）工程建设监理费：</w:t>
      </w:r>
      <w:r>
        <w:rPr>
          <w:color w:val="auto"/>
          <w:szCs w:val="24"/>
        </w:rPr>
        <w:t>本项目不进行工程建设监理，不计列该项费用；</w:t>
      </w:r>
    </w:p>
    <w:p w:rsidR="008E4D92" w:rsidRDefault="008B068A">
      <w:pPr>
        <w:pStyle w:val="Char11"/>
        <w:spacing w:before="0" w:line="360" w:lineRule="auto"/>
        <w:ind w:left="480" w:firstLineChars="200" w:firstLine="480"/>
        <w:rPr>
          <w:color w:val="auto"/>
          <w:szCs w:val="24"/>
        </w:rPr>
      </w:pPr>
      <w:r>
        <w:rPr>
          <w:color w:val="auto"/>
        </w:rPr>
        <w:t>5</w:t>
      </w:r>
      <w:r>
        <w:rPr>
          <w:color w:val="auto"/>
        </w:rPr>
        <w:t>）水土保持设施竣工验收费：</w:t>
      </w:r>
      <w:r>
        <w:rPr>
          <w:color w:val="auto"/>
          <w:szCs w:val="24"/>
        </w:rPr>
        <w:t>以主体工程土建投资合计为计算基数，按照</w:t>
      </w:r>
      <w:r>
        <w:rPr>
          <w:color w:val="auto"/>
        </w:rPr>
        <w:t>《生产建设项目水土保持工程概（估）算编制规定》（总院内部资料</w:t>
      </w:r>
      <w:r>
        <w:rPr>
          <w:color w:val="auto"/>
        </w:rPr>
        <w:t>2015</w:t>
      </w:r>
      <w:r>
        <w:rPr>
          <w:color w:val="auto"/>
        </w:rPr>
        <w:t>版）</w:t>
      </w:r>
      <w:r>
        <w:rPr>
          <w:color w:val="auto"/>
          <w:szCs w:val="24"/>
        </w:rPr>
        <w:t>表</w:t>
      </w:r>
      <w:r>
        <w:rPr>
          <w:color w:val="auto"/>
          <w:szCs w:val="24"/>
        </w:rPr>
        <w:t>4-8</w:t>
      </w:r>
      <w:r>
        <w:rPr>
          <w:color w:val="auto"/>
          <w:szCs w:val="24"/>
        </w:rPr>
        <w:t>所列标准，并结合实际合同价确定计列；</w:t>
      </w:r>
    </w:p>
    <w:p w:rsidR="008E4D92" w:rsidRDefault="008B068A">
      <w:pPr>
        <w:pStyle w:val="ad"/>
        <w:ind w:firstLine="480"/>
      </w:pPr>
      <w:r>
        <w:t>6</w:t>
      </w:r>
      <w:r>
        <w:t>）招标业务费：本项目水保措施与主体工程同时开展相应工作，本次不记列。</w:t>
      </w:r>
    </w:p>
    <w:p w:rsidR="008E4D92" w:rsidRDefault="008B068A">
      <w:pPr>
        <w:pStyle w:val="ad"/>
        <w:ind w:firstLine="480"/>
      </w:pPr>
      <w:r>
        <w:t>7</w:t>
      </w:r>
      <w:r>
        <w:t>）经济技术咨询费：本项费用已包含在方案编制费中，不单独计列。</w:t>
      </w:r>
    </w:p>
    <w:p w:rsidR="008E4D92" w:rsidRDefault="008B068A">
      <w:pPr>
        <w:spacing w:line="360" w:lineRule="auto"/>
        <w:ind w:firstLineChars="192" w:firstLine="461"/>
      </w:pPr>
      <w:r>
        <w:t>5</w:t>
      </w:r>
      <w:r>
        <w:t>、预备费</w:t>
      </w:r>
    </w:p>
    <w:p w:rsidR="008E4D92" w:rsidRDefault="008B068A">
      <w:pPr>
        <w:spacing w:line="360" w:lineRule="auto"/>
        <w:ind w:firstLineChars="192" w:firstLine="461"/>
      </w:pPr>
      <w:r>
        <w:t>基本预备费按第一至四部分投资</w:t>
      </w:r>
      <w:r>
        <w:rPr>
          <w:szCs w:val="24"/>
        </w:rPr>
        <w:t>（扣除主体投资）</w:t>
      </w:r>
      <w:r>
        <w:t>的</w:t>
      </w:r>
      <w:r>
        <w:t>5%</w:t>
      </w:r>
      <w:r>
        <w:t>计取，不计价差预备费。</w:t>
      </w:r>
    </w:p>
    <w:p w:rsidR="008E4D92" w:rsidRDefault="008B068A">
      <w:pPr>
        <w:spacing w:line="360" w:lineRule="auto"/>
        <w:ind w:firstLineChars="192" w:firstLine="461"/>
      </w:pPr>
      <w:r>
        <w:t>6</w:t>
      </w:r>
      <w:r>
        <w:t>、水土保持补偿费</w:t>
      </w:r>
    </w:p>
    <w:p w:rsidR="008E4D92" w:rsidRDefault="008B068A">
      <w:pPr>
        <w:pStyle w:val="Char3"/>
        <w:ind w:firstLine="480"/>
        <w:rPr>
          <w:color w:val="auto"/>
          <w:szCs w:val="24"/>
        </w:rPr>
      </w:pPr>
      <w:r>
        <w:rPr>
          <w:color w:val="auto"/>
          <w:szCs w:val="24"/>
        </w:rPr>
        <w:t>本项目水土保持补偿费，</w:t>
      </w:r>
      <w:r>
        <w:rPr>
          <w:rFonts w:hint="eastAsia"/>
          <w:color w:val="auto"/>
          <w:szCs w:val="24"/>
        </w:rPr>
        <w:t>根据文件《关于制定水土保持补偿费收费标准的通知》（川发改价格</w:t>
      </w:r>
      <w:r>
        <w:rPr>
          <w:rFonts w:hint="eastAsia"/>
          <w:color w:val="auto"/>
          <w:szCs w:val="24"/>
        </w:rPr>
        <w:t>[2017]347</w:t>
      </w:r>
      <w:r>
        <w:rPr>
          <w:rFonts w:hint="eastAsia"/>
          <w:color w:val="auto"/>
          <w:szCs w:val="24"/>
        </w:rPr>
        <w:t>号）的要求。</w:t>
      </w:r>
      <w:r>
        <w:rPr>
          <w:color w:val="auto"/>
          <w:szCs w:val="24"/>
        </w:rPr>
        <w:t>本项目按</w:t>
      </w:r>
      <w:r>
        <w:rPr>
          <w:color w:val="auto"/>
          <w:szCs w:val="24"/>
        </w:rPr>
        <w:t>1.30</w:t>
      </w:r>
      <w:r>
        <w:rPr>
          <w:color w:val="auto"/>
          <w:szCs w:val="24"/>
        </w:rPr>
        <w:t>元</w:t>
      </w:r>
      <w:r>
        <w:rPr>
          <w:color w:val="auto"/>
          <w:szCs w:val="24"/>
        </w:rPr>
        <w:t>/m</w:t>
      </w:r>
      <w:r>
        <w:rPr>
          <w:color w:val="auto"/>
          <w:szCs w:val="24"/>
          <w:vertAlign w:val="superscript"/>
        </w:rPr>
        <w:t>2</w:t>
      </w:r>
      <w:r>
        <w:rPr>
          <w:color w:val="auto"/>
          <w:szCs w:val="24"/>
        </w:rPr>
        <w:t>征收水土保持补偿费</w:t>
      </w:r>
      <w:r>
        <w:rPr>
          <w:rFonts w:hint="eastAsia"/>
          <w:color w:val="auto"/>
          <w:szCs w:val="24"/>
        </w:rPr>
        <w:t>。</w:t>
      </w:r>
    </w:p>
    <w:p w:rsidR="008E4D92" w:rsidRDefault="008B068A">
      <w:pPr>
        <w:spacing w:line="360" w:lineRule="auto"/>
        <w:ind w:firstLine="480"/>
        <w:rPr>
          <w:lang w:val="zh-CN"/>
        </w:rPr>
      </w:pPr>
      <w:r>
        <w:t>7</w:t>
      </w:r>
      <w:r>
        <w:t>、</w:t>
      </w:r>
      <w:r>
        <w:rPr>
          <w:lang w:val="zh-CN"/>
        </w:rPr>
        <w:t>价格水平年</w:t>
      </w:r>
    </w:p>
    <w:p w:rsidR="008E4D92" w:rsidRDefault="008B068A">
      <w:pPr>
        <w:spacing w:line="360" w:lineRule="auto"/>
        <w:ind w:firstLine="480"/>
      </w:pPr>
      <w:r>
        <w:rPr>
          <w:color w:val="0000FF"/>
        </w:rPr>
        <w:lastRenderedPageBreak/>
        <w:t>价格水平年以</w:t>
      </w:r>
      <w:r>
        <w:rPr>
          <w:rFonts w:hint="eastAsia"/>
          <w:color w:val="0000FF"/>
        </w:rPr>
        <w:t>四川</w:t>
      </w:r>
      <w:r>
        <w:rPr>
          <w:color w:val="0000FF"/>
        </w:rPr>
        <w:t>省建设工程造价管理总站发布的</w:t>
      </w:r>
      <w:r>
        <w:rPr>
          <w:color w:val="0000FF"/>
        </w:rPr>
        <w:t>202</w:t>
      </w:r>
      <w:r>
        <w:rPr>
          <w:rFonts w:hint="eastAsia"/>
          <w:color w:val="0000FF"/>
        </w:rPr>
        <w:t>1</w:t>
      </w:r>
      <w:r>
        <w:rPr>
          <w:color w:val="0000FF"/>
        </w:rPr>
        <w:t>年第</w:t>
      </w:r>
      <w:r>
        <w:rPr>
          <w:rFonts w:hint="eastAsia"/>
          <w:color w:val="0000FF"/>
        </w:rPr>
        <w:t>1</w:t>
      </w:r>
      <w:r>
        <w:rPr>
          <w:color w:val="0000FF"/>
        </w:rPr>
        <w:t>季度《</w:t>
      </w:r>
      <w:r>
        <w:rPr>
          <w:rFonts w:hint="eastAsia"/>
          <w:color w:val="0000FF"/>
        </w:rPr>
        <w:t>四川</w:t>
      </w:r>
      <w:r>
        <w:rPr>
          <w:color w:val="0000FF"/>
        </w:rPr>
        <w:t>省建设工程造价信息》的价格为参考依据</w:t>
      </w:r>
    </w:p>
    <w:p w:rsidR="008E4D92" w:rsidRDefault="008B068A">
      <w:pPr>
        <w:pStyle w:val="3"/>
      </w:pPr>
      <w:r>
        <w:t>7.1.2</w:t>
      </w:r>
      <w:r>
        <w:rPr>
          <w:lang w:val="zh-CN"/>
        </w:rPr>
        <w:t>编制说明与</w:t>
      </w:r>
      <w:r>
        <w:t>概</w:t>
      </w:r>
      <w:r>
        <w:rPr>
          <w:lang w:val="zh-CN"/>
        </w:rPr>
        <w:t>算成果</w:t>
      </w:r>
    </w:p>
    <w:p w:rsidR="008E4D92" w:rsidRDefault="008B068A">
      <w:pPr>
        <w:spacing w:line="360" w:lineRule="auto"/>
        <w:ind w:firstLine="472"/>
        <w:rPr>
          <w:color w:val="0000FF"/>
          <w:spacing w:val="-2"/>
        </w:rPr>
      </w:pPr>
      <w:bookmarkStart w:id="238" w:name="_Toc212885331"/>
      <w:bookmarkStart w:id="239" w:name="_Toc4385"/>
      <w:bookmarkStart w:id="240" w:name="_Toc205693034"/>
      <w:bookmarkStart w:id="241" w:name="_Toc11119"/>
      <w:bookmarkStart w:id="242" w:name="_Toc215217996"/>
      <w:bookmarkStart w:id="243" w:name="_Toc32064"/>
      <w:bookmarkStart w:id="244" w:name="_Toc215218075"/>
      <w:bookmarkStart w:id="245" w:name="_Toc30546"/>
      <w:bookmarkStart w:id="246" w:name="_Toc215217917"/>
      <w:bookmarkStart w:id="247" w:name="_Toc158454435"/>
      <w:bookmarkStart w:id="248" w:name="_Toc117306601"/>
      <w:bookmarkStart w:id="249" w:name="_Toc113674773"/>
      <w:bookmarkEnd w:id="235"/>
      <w:bookmarkEnd w:id="236"/>
      <w:bookmarkEnd w:id="237"/>
      <w:r>
        <w:rPr>
          <w:color w:val="0000FF"/>
          <w:spacing w:val="-2"/>
        </w:rPr>
        <w:t>本项目水土保持总投资</w:t>
      </w:r>
      <w:r>
        <w:rPr>
          <w:rFonts w:hint="eastAsia"/>
          <w:color w:val="0000FF"/>
          <w:spacing w:val="-2"/>
        </w:rPr>
        <w:t>27.95</w:t>
      </w:r>
      <w:r>
        <w:rPr>
          <w:color w:val="0000FF"/>
          <w:spacing w:val="-2"/>
        </w:rPr>
        <w:t>万元（其中主体投资</w:t>
      </w:r>
      <w:r>
        <w:rPr>
          <w:rFonts w:hint="eastAsia"/>
          <w:color w:val="0000FF"/>
          <w:spacing w:val="-2"/>
        </w:rPr>
        <w:t>12.79</w:t>
      </w:r>
      <w:r>
        <w:rPr>
          <w:color w:val="0000FF"/>
          <w:spacing w:val="-2"/>
        </w:rPr>
        <w:t>万元</w:t>
      </w:r>
      <w:r>
        <w:rPr>
          <w:bCs/>
          <w:color w:val="0000FF"/>
        </w:rPr>
        <w:t>，本方案新增水土保持投资</w:t>
      </w:r>
      <w:r>
        <w:rPr>
          <w:rFonts w:hint="eastAsia"/>
          <w:bCs/>
          <w:color w:val="0000FF"/>
        </w:rPr>
        <w:t>12.86</w:t>
      </w:r>
      <w:r>
        <w:rPr>
          <w:bCs/>
          <w:color w:val="0000FF"/>
        </w:rPr>
        <w:t>万元</w:t>
      </w:r>
      <w:r>
        <w:rPr>
          <w:color w:val="0000FF"/>
          <w:spacing w:val="-2"/>
        </w:rPr>
        <w:t>）</w:t>
      </w:r>
      <w:r>
        <w:rPr>
          <w:rFonts w:hint="eastAsia"/>
          <w:color w:val="0000FF"/>
          <w:spacing w:val="-2"/>
        </w:rPr>
        <w:t>，</w:t>
      </w:r>
      <w:r>
        <w:rPr>
          <w:color w:val="0000FF"/>
          <w:spacing w:val="-2"/>
        </w:rPr>
        <w:t>水土保持补偿费</w:t>
      </w:r>
      <w:r>
        <w:rPr>
          <w:rFonts w:hint="eastAsia"/>
          <w:color w:val="0000FF"/>
          <w:spacing w:val="-2"/>
        </w:rPr>
        <w:t>1.71</w:t>
      </w:r>
      <w:r>
        <w:rPr>
          <w:color w:val="0000FF"/>
          <w:spacing w:val="-2"/>
        </w:rPr>
        <w:t>万元</w:t>
      </w:r>
      <w:r>
        <w:rPr>
          <w:rFonts w:hint="eastAsia"/>
          <w:color w:val="0000FF"/>
          <w:spacing w:val="-2"/>
        </w:rPr>
        <w:t>。</w:t>
      </w:r>
      <w:r>
        <w:rPr>
          <w:color w:val="0000FF"/>
          <w:spacing w:val="-2"/>
        </w:rPr>
        <w:t>详见表</w:t>
      </w:r>
      <w:r>
        <w:rPr>
          <w:rFonts w:hint="eastAsia"/>
          <w:color w:val="0000FF"/>
          <w:spacing w:val="-2"/>
        </w:rPr>
        <w:t>7</w:t>
      </w:r>
      <w:r>
        <w:rPr>
          <w:color w:val="0000FF"/>
          <w:spacing w:val="-2"/>
        </w:rPr>
        <w:t>-3</w:t>
      </w:r>
      <w:r>
        <w:rPr>
          <w:color w:val="0000FF"/>
          <w:spacing w:val="-2"/>
        </w:rPr>
        <w:t>。</w:t>
      </w:r>
    </w:p>
    <w:p w:rsidR="008E4D92" w:rsidRDefault="008B068A">
      <w:pPr>
        <w:spacing w:line="360" w:lineRule="auto"/>
        <w:ind w:firstLine="472"/>
        <w:rPr>
          <w:b/>
          <w:spacing w:val="6"/>
          <w:sz w:val="22"/>
          <w:szCs w:val="22"/>
        </w:rPr>
      </w:pPr>
      <w:r>
        <w:rPr>
          <w:b/>
          <w:spacing w:val="6"/>
          <w:sz w:val="22"/>
          <w:szCs w:val="22"/>
        </w:rPr>
        <w:t>表</w:t>
      </w:r>
      <w:r>
        <w:rPr>
          <w:rFonts w:hint="eastAsia"/>
          <w:b/>
          <w:spacing w:val="6"/>
          <w:sz w:val="22"/>
          <w:szCs w:val="22"/>
        </w:rPr>
        <w:t>7</w:t>
      </w:r>
      <w:r>
        <w:rPr>
          <w:b/>
          <w:spacing w:val="6"/>
          <w:sz w:val="22"/>
          <w:szCs w:val="22"/>
        </w:rPr>
        <w:t xml:space="preserve">-3      </w:t>
      </w:r>
      <w:r>
        <w:rPr>
          <w:b/>
          <w:spacing w:val="6"/>
          <w:sz w:val="22"/>
          <w:szCs w:val="22"/>
        </w:rPr>
        <w:t>投资概算总表</w:t>
      </w:r>
      <w:r>
        <w:rPr>
          <w:b/>
          <w:spacing w:val="6"/>
          <w:sz w:val="22"/>
          <w:szCs w:val="22"/>
        </w:rPr>
        <w:t xml:space="preserve">         </w:t>
      </w:r>
      <w:r>
        <w:rPr>
          <w:b/>
          <w:spacing w:val="6"/>
          <w:sz w:val="22"/>
          <w:szCs w:val="22"/>
        </w:rPr>
        <w:t>单位：万元</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1624"/>
        <w:gridCol w:w="1141"/>
        <w:gridCol w:w="1141"/>
        <w:gridCol w:w="974"/>
        <w:gridCol w:w="666"/>
        <w:gridCol w:w="1346"/>
        <w:gridCol w:w="666"/>
      </w:tblGrid>
      <w:tr w:rsidR="008E4D92">
        <w:trPr>
          <w:trHeight w:val="288"/>
        </w:trPr>
        <w:tc>
          <w:tcPr>
            <w:tcW w:w="0" w:type="auto"/>
            <w:vMerge w:val="restart"/>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序号</w:t>
            </w:r>
          </w:p>
        </w:tc>
        <w:tc>
          <w:tcPr>
            <w:tcW w:w="0" w:type="auto"/>
            <w:vMerge w:val="restart"/>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工程或费用名称</w:t>
            </w:r>
          </w:p>
        </w:tc>
        <w:tc>
          <w:tcPr>
            <w:tcW w:w="0" w:type="auto"/>
            <w:gridSpan w:val="4"/>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方案新增投资</w:t>
            </w:r>
          </w:p>
        </w:tc>
        <w:tc>
          <w:tcPr>
            <w:tcW w:w="0" w:type="auto"/>
            <w:vMerge w:val="restart"/>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主体已列投资</w:t>
            </w:r>
          </w:p>
        </w:tc>
        <w:tc>
          <w:tcPr>
            <w:tcW w:w="0" w:type="auto"/>
            <w:vMerge w:val="restart"/>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合计</w:t>
            </w:r>
          </w:p>
        </w:tc>
      </w:tr>
      <w:tr w:rsidR="008E4D92">
        <w:trPr>
          <w:trHeight w:val="564"/>
        </w:trPr>
        <w:tc>
          <w:tcPr>
            <w:tcW w:w="0" w:type="auto"/>
            <w:vMerge/>
            <w:shd w:val="clear" w:color="auto" w:fill="auto"/>
            <w:vAlign w:val="center"/>
          </w:tcPr>
          <w:p w:rsidR="008E4D92" w:rsidRDefault="008E4D92">
            <w:pPr>
              <w:jc w:val="center"/>
              <w:rPr>
                <w:rFonts w:ascii="serif" w:eastAsia="serif" w:hAnsi="等线" w:cs="serif"/>
                <w:color w:val="0000FF"/>
                <w:sz w:val="20"/>
              </w:rPr>
            </w:pPr>
          </w:p>
        </w:tc>
        <w:tc>
          <w:tcPr>
            <w:tcW w:w="0" w:type="auto"/>
            <w:vMerge/>
            <w:shd w:val="clear" w:color="auto" w:fill="auto"/>
            <w:vAlign w:val="center"/>
          </w:tcPr>
          <w:p w:rsidR="008E4D92" w:rsidRDefault="008E4D92">
            <w:pPr>
              <w:jc w:val="center"/>
              <w:rPr>
                <w:rFonts w:ascii="serif" w:eastAsia="serif" w:hAnsi="等线" w:cs="serif"/>
                <w:color w:val="0000FF"/>
                <w:sz w:val="20"/>
              </w:rPr>
            </w:pP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建安工程费</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植物措施费</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独立费用</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小计</w:t>
            </w:r>
          </w:p>
        </w:tc>
        <w:tc>
          <w:tcPr>
            <w:tcW w:w="0" w:type="auto"/>
            <w:vMerge/>
            <w:shd w:val="clear" w:color="auto" w:fill="auto"/>
            <w:vAlign w:val="center"/>
          </w:tcPr>
          <w:p w:rsidR="008E4D92" w:rsidRDefault="008E4D92">
            <w:pPr>
              <w:jc w:val="center"/>
              <w:rPr>
                <w:rFonts w:ascii="serif" w:eastAsia="serif" w:hAnsi="等线" w:cs="serif"/>
                <w:color w:val="0000FF"/>
                <w:sz w:val="20"/>
              </w:rPr>
            </w:pPr>
          </w:p>
        </w:tc>
        <w:tc>
          <w:tcPr>
            <w:tcW w:w="0" w:type="auto"/>
            <w:vMerge/>
            <w:shd w:val="clear" w:color="auto" w:fill="auto"/>
            <w:vAlign w:val="center"/>
          </w:tcPr>
          <w:p w:rsidR="008E4D92" w:rsidRDefault="008E4D92">
            <w:pPr>
              <w:jc w:val="center"/>
              <w:rPr>
                <w:rFonts w:ascii="serif" w:eastAsia="serif" w:hAnsi="等线" w:cs="serif"/>
                <w:color w:val="0000FF"/>
                <w:sz w:val="20"/>
              </w:rPr>
            </w:pP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第一部分</w:t>
            </w:r>
            <w:r>
              <w:rPr>
                <w:rFonts w:eastAsia="serif"/>
                <w:color w:val="0000FF"/>
                <w:kern w:val="0"/>
                <w:sz w:val="20"/>
                <w:lang w:bidi="ar"/>
              </w:rPr>
              <w:t> </w:t>
            </w:r>
            <w:r>
              <w:rPr>
                <w:rFonts w:ascii="serif" w:eastAsia="serif" w:hAnsi="等线" w:cs="serif"/>
                <w:color w:val="0000FF"/>
                <w:kern w:val="0"/>
                <w:sz w:val="20"/>
                <w:lang w:bidi="ar"/>
              </w:rPr>
              <w:t>工程措施</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10.13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10.13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建构筑物区</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4.65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4.65 </w:t>
            </w:r>
          </w:p>
        </w:tc>
      </w:tr>
      <w:tr w:rsidR="008E4D92">
        <w:trPr>
          <w:trHeight w:val="540"/>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2</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配套设施区</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5.48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5.48 </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第二部分</w:t>
            </w:r>
            <w:r>
              <w:rPr>
                <w:rFonts w:eastAsia="serif"/>
                <w:color w:val="0000FF"/>
                <w:kern w:val="0"/>
                <w:sz w:val="20"/>
                <w:lang w:bidi="ar"/>
              </w:rPr>
              <w:t> </w:t>
            </w:r>
            <w:r>
              <w:rPr>
                <w:rFonts w:ascii="serif" w:eastAsia="serif" w:hAnsi="等线" w:cs="serif"/>
                <w:color w:val="0000FF"/>
                <w:kern w:val="0"/>
                <w:sz w:val="20"/>
                <w:lang w:bidi="ar"/>
              </w:rPr>
              <w:t>植物措施</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1.36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1.36 </w:t>
            </w:r>
          </w:p>
        </w:tc>
      </w:tr>
      <w:tr w:rsidR="008E4D92">
        <w:trPr>
          <w:trHeight w:val="540"/>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配套设施区</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1.36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1.36 </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第三部分</w:t>
            </w:r>
            <w:r>
              <w:rPr>
                <w:rFonts w:eastAsia="serif"/>
                <w:color w:val="0000FF"/>
                <w:kern w:val="0"/>
                <w:sz w:val="20"/>
                <w:lang w:bidi="ar"/>
              </w:rPr>
              <w:t> </w:t>
            </w:r>
            <w:r>
              <w:rPr>
                <w:rFonts w:ascii="serif" w:eastAsia="serif" w:hAnsi="等线" w:cs="serif"/>
                <w:color w:val="0000FF"/>
                <w:kern w:val="0"/>
                <w:sz w:val="20"/>
                <w:lang w:bidi="ar"/>
              </w:rPr>
              <w:t>监测措施</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w:t>
            </w:r>
          </w:p>
        </w:tc>
      </w:tr>
      <w:tr w:rsidR="008E4D92">
        <w:trPr>
          <w:trHeight w:val="552"/>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第四部分</w:t>
            </w:r>
            <w:r>
              <w:rPr>
                <w:rFonts w:eastAsia="serif"/>
                <w:color w:val="0000FF"/>
                <w:kern w:val="0"/>
                <w:sz w:val="20"/>
                <w:lang w:bidi="ar"/>
              </w:rPr>
              <w:t> </w:t>
            </w:r>
            <w:r>
              <w:rPr>
                <w:rFonts w:ascii="serif" w:eastAsia="serif" w:hAnsi="等线" w:cs="serif"/>
                <w:color w:val="0000FF"/>
                <w:kern w:val="0"/>
                <w:sz w:val="20"/>
                <w:lang w:bidi="ar"/>
              </w:rPr>
              <w:t>施工临时工程</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1.30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1.30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建构筑物区</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0.32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0.32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2</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配套设施区</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0.97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0.97 </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第五部分</w:t>
            </w:r>
            <w:r>
              <w:rPr>
                <w:rFonts w:eastAsia="serif"/>
                <w:color w:val="0000FF"/>
                <w:kern w:val="0"/>
                <w:sz w:val="20"/>
                <w:lang w:bidi="ar"/>
              </w:rPr>
              <w:t> </w:t>
            </w:r>
            <w:r>
              <w:rPr>
                <w:rFonts w:ascii="serif" w:eastAsia="serif" w:hAnsi="等线" w:cs="serif"/>
                <w:color w:val="0000FF"/>
                <w:kern w:val="0"/>
                <w:sz w:val="20"/>
                <w:lang w:bidi="ar"/>
              </w:rPr>
              <w:t>独立费用</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9.86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9.86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9.86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建设管理费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2</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科研勘测设计费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5.05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5.05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4.20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工程建设监理费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4</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验收报告编制费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4.81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4.81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4.00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5</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招标代理服务费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r>
      <w:tr w:rsidR="008E4D92">
        <w:trPr>
          <w:trHeight w:val="564"/>
        </w:trPr>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6</w:t>
            </w:r>
          </w:p>
        </w:tc>
        <w:tc>
          <w:tcPr>
            <w:tcW w:w="0" w:type="auto"/>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经济技术咨询费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第一至五部分合计</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9.86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12.86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12.79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25.64 </w:t>
            </w:r>
          </w:p>
        </w:tc>
      </w:tr>
      <w:tr w:rsidR="008E4D92">
        <w:trPr>
          <w:trHeight w:val="552"/>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第六部分</w:t>
            </w:r>
            <w:r>
              <w:rPr>
                <w:rFonts w:eastAsia="serif"/>
                <w:color w:val="0000FF"/>
                <w:kern w:val="0"/>
                <w:sz w:val="20"/>
                <w:lang w:bidi="ar"/>
              </w:rPr>
              <w:t> </w:t>
            </w:r>
            <w:r>
              <w:rPr>
                <w:rFonts w:ascii="serif" w:eastAsia="serif" w:hAnsi="等线" w:cs="serif"/>
                <w:color w:val="0000FF"/>
                <w:kern w:val="0"/>
                <w:sz w:val="20"/>
                <w:lang w:bidi="ar"/>
              </w:rPr>
              <w:t>基本预备费</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r>
      <w:tr w:rsidR="008E4D92">
        <w:trPr>
          <w:trHeight w:val="552"/>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第七部分水土保持补偿费</w:t>
            </w:r>
          </w:p>
        </w:tc>
        <w:tc>
          <w:tcPr>
            <w:tcW w:w="0" w:type="auto"/>
            <w:gridSpan w:val="5"/>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1.3</w:t>
            </w:r>
            <w:r>
              <w:rPr>
                <w:rFonts w:ascii="serif" w:eastAsia="serif" w:cs="serif"/>
                <w:color w:val="0000FF"/>
                <w:kern w:val="0"/>
                <w:sz w:val="20"/>
                <w:lang w:bidi="ar"/>
              </w:rPr>
              <w:t>元</w:t>
            </w:r>
            <w:r>
              <w:rPr>
                <w:rFonts w:eastAsia="等线"/>
                <w:color w:val="0000FF"/>
                <w:kern w:val="0"/>
                <w:sz w:val="20"/>
                <w:lang w:bidi="ar"/>
              </w:rPr>
              <w:t>/m2</w:t>
            </w:r>
            <w:r>
              <w:rPr>
                <w:rFonts w:ascii="serif" w:eastAsia="serif" w:cs="serif"/>
                <w:color w:val="0000FF"/>
                <w:kern w:val="0"/>
                <w:sz w:val="20"/>
                <w:lang w:bidi="ar"/>
              </w:rPr>
              <w:t>（征占地）</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1.71</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已有水保投资合计</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12.79 </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t>新增水保投资合计</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15.17 </w:t>
            </w:r>
          </w:p>
        </w:tc>
      </w:tr>
      <w:tr w:rsidR="008E4D92">
        <w:trPr>
          <w:trHeight w:val="288"/>
        </w:trPr>
        <w:tc>
          <w:tcPr>
            <w:tcW w:w="0" w:type="auto"/>
            <w:gridSpan w:val="2"/>
            <w:shd w:val="clear" w:color="auto" w:fill="auto"/>
            <w:vAlign w:val="center"/>
          </w:tcPr>
          <w:p w:rsidR="008E4D92" w:rsidRDefault="008B068A">
            <w:pPr>
              <w:widowControl/>
              <w:jc w:val="center"/>
              <w:textAlignment w:val="center"/>
              <w:rPr>
                <w:rFonts w:ascii="serif" w:eastAsia="serif" w:hAnsi="等线" w:cs="serif"/>
                <w:color w:val="0000FF"/>
                <w:sz w:val="20"/>
              </w:rPr>
            </w:pPr>
            <w:r>
              <w:rPr>
                <w:rFonts w:ascii="serif" w:eastAsia="serif" w:hAnsi="等线" w:cs="serif"/>
                <w:color w:val="0000FF"/>
                <w:kern w:val="0"/>
                <w:sz w:val="20"/>
                <w:lang w:bidi="ar"/>
              </w:rPr>
              <w:lastRenderedPageBreak/>
              <w:t>水保措施总投资</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3</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9.86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12.86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12.79 </w:t>
            </w:r>
          </w:p>
        </w:tc>
        <w:tc>
          <w:tcPr>
            <w:tcW w:w="0" w:type="auto"/>
            <w:shd w:val="clear" w:color="auto" w:fill="auto"/>
            <w:vAlign w:val="center"/>
          </w:tcPr>
          <w:p w:rsidR="008E4D92" w:rsidRDefault="008B068A">
            <w:pPr>
              <w:widowControl/>
              <w:jc w:val="center"/>
              <w:textAlignment w:val="center"/>
              <w:rPr>
                <w:rFonts w:eastAsia="等线"/>
                <w:color w:val="0000FF"/>
                <w:sz w:val="20"/>
              </w:rPr>
            </w:pPr>
            <w:r>
              <w:rPr>
                <w:rFonts w:eastAsia="等线"/>
                <w:color w:val="0000FF"/>
                <w:kern w:val="0"/>
                <w:sz w:val="20"/>
                <w:lang w:bidi="ar"/>
              </w:rPr>
              <w:t xml:space="preserve">27.95 </w:t>
            </w:r>
          </w:p>
        </w:tc>
      </w:tr>
    </w:tbl>
    <w:p w:rsidR="008E4D92" w:rsidRDefault="008B068A">
      <w:pPr>
        <w:pStyle w:val="ad"/>
        <w:spacing w:beforeLines="50" w:before="156" w:line="240" w:lineRule="auto"/>
        <w:ind w:firstLine="442"/>
        <w:jc w:val="center"/>
        <w:rPr>
          <w:b/>
          <w:bCs/>
          <w:sz w:val="22"/>
          <w:szCs w:val="22"/>
        </w:rPr>
      </w:pPr>
      <w:r>
        <w:rPr>
          <w:b/>
          <w:bCs/>
          <w:sz w:val="22"/>
          <w:szCs w:val="22"/>
        </w:rPr>
        <w:t>表</w:t>
      </w:r>
      <w:r>
        <w:rPr>
          <w:b/>
          <w:bCs/>
          <w:sz w:val="22"/>
          <w:szCs w:val="22"/>
        </w:rPr>
        <w:t xml:space="preserve">7-7     </w:t>
      </w:r>
      <w:r>
        <w:rPr>
          <w:b/>
          <w:bCs/>
          <w:sz w:val="22"/>
          <w:szCs w:val="22"/>
        </w:rPr>
        <w:t>水土保持补偿费计算表</w:t>
      </w:r>
      <w:r>
        <w:rPr>
          <w:b/>
          <w:bCs/>
          <w:sz w:val="22"/>
          <w:szCs w:val="22"/>
        </w:rPr>
        <w:t xml:space="preserve">     </w:t>
      </w:r>
      <w:r>
        <w:rPr>
          <w:b/>
          <w:bCs/>
          <w:sz w:val="22"/>
          <w:szCs w:val="22"/>
        </w:rPr>
        <w:t>单位：元</w:t>
      </w:r>
    </w:p>
    <w:tbl>
      <w:tblPr>
        <w:tblW w:w="4998" w:type="pct"/>
        <w:tblLook w:val="04A0" w:firstRow="1" w:lastRow="0" w:firstColumn="1" w:lastColumn="0" w:noHBand="0" w:noVBand="1"/>
      </w:tblPr>
      <w:tblGrid>
        <w:gridCol w:w="775"/>
        <w:gridCol w:w="2052"/>
        <w:gridCol w:w="774"/>
        <w:gridCol w:w="1221"/>
        <w:gridCol w:w="1539"/>
        <w:gridCol w:w="1922"/>
      </w:tblGrid>
      <w:tr w:rsidR="008E4D92">
        <w:trPr>
          <w:trHeight w:val="588"/>
        </w:trPr>
        <w:tc>
          <w:tcPr>
            <w:tcW w:w="467" w:type="pct"/>
            <w:tcBorders>
              <w:top w:val="single" w:sz="8" w:space="0" w:color="000000"/>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序号</w:t>
            </w:r>
          </w:p>
        </w:tc>
        <w:tc>
          <w:tcPr>
            <w:tcW w:w="1238" w:type="pct"/>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工程或费用名称</w:t>
            </w:r>
          </w:p>
        </w:tc>
        <w:tc>
          <w:tcPr>
            <w:tcW w:w="467" w:type="pct"/>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单位</w:t>
            </w:r>
          </w:p>
        </w:tc>
        <w:tc>
          <w:tcPr>
            <w:tcW w:w="737" w:type="pct"/>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数量</w:t>
            </w:r>
          </w:p>
        </w:tc>
        <w:tc>
          <w:tcPr>
            <w:tcW w:w="929" w:type="pct"/>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单价（元）</w:t>
            </w:r>
          </w:p>
        </w:tc>
        <w:tc>
          <w:tcPr>
            <w:tcW w:w="1160" w:type="pct"/>
            <w:tcBorders>
              <w:top w:val="single" w:sz="8" w:space="0" w:color="000000"/>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合计（</w:t>
            </w:r>
            <w:r>
              <w:rPr>
                <w:rFonts w:ascii="serif" w:eastAsia="serif" w:cs="serif"/>
                <w:color w:val="0000FF"/>
                <w:kern w:val="0"/>
                <w:sz w:val="21"/>
                <w:szCs w:val="21"/>
                <w:lang w:bidi="ar"/>
              </w:rPr>
              <w:t xml:space="preserve">万 </w:t>
            </w:r>
            <w:r>
              <w:rPr>
                <w:rFonts w:eastAsia="等线"/>
                <w:color w:val="0000FF"/>
                <w:kern w:val="0"/>
                <w:sz w:val="21"/>
                <w:szCs w:val="21"/>
                <w:lang w:bidi="ar"/>
              </w:rPr>
              <w:t>元）</w:t>
            </w:r>
          </w:p>
        </w:tc>
      </w:tr>
      <w:tr w:rsidR="008E4D92">
        <w:trPr>
          <w:trHeight w:val="564"/>
        </w:trPr>
        <w:tc>
          <w:tcPr>
            <w:tcW w:w="467" w:type="pct"/>
            <w:tcBorders>
              <w:top w:val="nil"/>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一</w:t>
            </w:r>
          </w:p>
        </w:tc>
        <w:tc>
          <w:tcPr>
            <w:tcW w:w="1238"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水土保持补偿费</w:t>
            </w:r>
          </w:p>
        </w:tc>
        <w:tc>
          <w:tcPr>
            <w:tcW w:w="467"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 xml:space="preserve">　</w:t>
            </w:r>
          </w:p>
        </w:tc>
        <w:tc>
          <w:tcPr>
            <w:tcW w:w="737"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 xml:space="preserve">　</w:t>
            </w:r>
          </w:p>
        </w:tc>
        <w:tc>
          <w:tcPr>
            <w:tcW w:w="929"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 xml:space="preserve">　</w:t>
            </w:r>
          </w:p>
        </w:tc>
        <w:tc>
          <w:tcPr>
            <w:tcW w:w="1160"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 xml:space="preserve">1.71 </w:t>
            </w:r>
          </w:p>
        </w:tc>
      </w:tr>
      <w:tr w:rsidR="008E4D92">
        <w:trPr>
          <w:trHeight w:val="564"/>
        </w:trPr>
        <w:tc>
          <w:tcPr>
            <w:tcW w:w="467" w:type="pct"/>
            <w:tcBorders>
              <w:top w:val="nil"/>
              <w:left w:val="single" w:sz="8" w:space="0" w:color="000000"/>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1</w:t>
            </w:r>
          </w:p>
        </w:tc>
        <w:tc>
          <w:tcPr>
            <w:tcW w:w="1238"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扰动地表面积</w:t>
            </w:r>
          </w:p>
        </w:tc>
        <w:tc>
          <w:tcPr>
            <w:tcW w:w="467"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m</w:t>
            </w:r>
            <w:r>
              <w:rPr>
                <w:rFonts w:eastAsia="等线"/>
                <w:color w:val="0000FF"/>
                <w:kern w:val="0"/>
                <w:sz w:val="21"/>
                <w:szCs w:val="21"/>
                <w:vertAlign w:val="superscript"/>
                <w:lang w:bidi="ar"/>
              </w:rPr>
              <w:t>2</w:t>
            </w:r>
          </w:p>
        </w:tc>
        <w:tc>
          <w:tcPr>
            <w:tcW w:w="737"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13119.35</w:t>
            </w:r>
          </w:p>
        </w:tc>
        <w:tc>
          <w:tcPr>
            <w:tcW w:w="929"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1.3</w:t>
            </w:r>
          </w:p>
        </w:tc>
        <w:tc>
          <w:tcPr>
            <w:tcW w:w="1160" w:type="pct"/>
            <w:tcBorders>
              <w:top w:val="nil"/>
              <w:left w:val="nil"/>
              <w:bottom w:val="single" w:sz="8" w:space="0" w:color="000000"/>
              <w:right w:val="single" w:sz="8" w:space="0" w:color="000000"/>
            </w:tcBorders>
            <w:shd w:val="clear" w:color="auto" w:fill="auto"/>
            <w:vAlign w:val="center"/>
          </w:tcPr>
          <w:p w:rsidR="008E4D92" w:rsidRDefault="008B068A">
            <w:pPr>
              <w:widowControl/>
              <w:jc w:val="center"/>
              <w:textAlignment w:val="center"/>
              <w:rPr>
                <w:rFonts w:eastAsia="等线"/>
                <w:color w:val="0000FF"/>
                <w:sz w:val="21"/>
                <w:szCs w:val="21"/>
              </w:rPr>
            </w:pPr>
            <w:r>
              <w:rPr>
                <w:rFonts w:eastAsia="等线"/>
                <w:color w:val="0000FF"/>
                <w:kern w:val="0"/>
                <w:sz w:val="21"/>
                <w:szCs w:val="21"/>
                <w:lang w:bidi="ar"/>
              </w:rPr>
              <w:t xml:space="preserve">1.71 </w:t>
            </w:r>
          </w:p>
        </w:tc>
      </w:tr>
    </w:tbl>
    <w:p w:rsidR="008E4D92" w:rsidRDefault="008B068A">
      <w:pPr>
        <w:pStyle w:val="2"/>
        <w:spacing w:beforeLines="50" w:before="156"/>
      </w:pPr>
      <w:bookmarkStart w:id="250" w:name="_Toc29737"/>
      <w:r>
        <w:t>7.2</w:t>
      </w:r>
      <w:r>
        <w:t>效益分析</w:t>
      </w:r>
      <w:bookmarkEnd w:id="238"/>
      <w:bookmarkEnd w:id="239"/>
      <w:bookmarkEnd w:id="240"/>
      <w:bookmarkEnd w:id="241"/>
      <w:bookmarkEnd w:id="242"/>
      <w:bookmarkEnd w:id="243"/>
      <w:bookmarkEnd w:id="244"/>
      <w:bookmarkEnd w:id="245"/>
      <w:bookmarkEnd w:id="246"/>
      <w:bookmarkEnd w:id="250"/>
    </w:p>
    <w:bookmarkEnd w:id="247"/>
    <w:bookmarkEnd w:id="248"/>
    <w:bookmarkEnd w:id="249"/>
    <w:p w:rsidR="008E4D92" w:rsidRDefault="008B068A">
      <w:pPr>
        <w:spacing w:line="360" w:lineRule="auto"/>
        <w:ind w:firstLine="504"/>
        <w:rPr>
          <w:spacing w:val="6"/>
        </w:rPr>
      </w:pPr>
      <w:r>
        <w:rPr>
          <w:color w:val="0000FF"/>
        </w:rPr>
        <w:t>按照本方案水土保持措施实施进度要求及时采取工程措施、植物措施和临时措施后，各项指标均能实现工程建设期水土流失防治目标。至设计水平年，整个工程涉及区域</w:t>
      </w:r>
      <w:r>
        <w:rPr>
          <w:color w:val="0000FF"/>
          <w:lang w:val="zh-CN"/>
        </w:rPr>
        <w:t>水土流失治理度可达到</w:t>
      </w:r>
      <w:r>
        <w:rPr>
          <w:rFonts w:hint="eastAsia"/>
          <w:color w:val="0000FF"/>
        </w:rPr>
        <w:t>98</w:t>
      </w:r>
      <w:r>
        <w:rPr>
          <w:color w:val="0000FF"/>
          <w:lang w:val="zh-CN"/>
        </w:rPr>
        <w:t>%</w:t>
      </w:r>
      <w:r>
        <w:rPr>
          <w:color w:val="0000FF"/>
          <w:lang w:val="zh-CN"/>
        </w:rPr>
        <w:t>；土壤流失控制比可达到</w:t>
      </w:r>
      <w:r>
        <w:rPr>
          <w:color w:val="0000FF"/>
          <w:lang w:val="zh-CN"/>
        </w:rPr>
        <w:t>1.</w:t>
      </w:r>
      <w:r>
        <w:rPr>
          <w:rFonts w:hint="eastAsia"/>
          <w:color w:val="0000FF"/>
        </w:rPr>
        <w:t>11</w:t>
      </w:r>
      <w:r>
        <w:rPr>
          <w:color w:val="0000FF"/>
          <w:lang w:val="zh-CN"/>
        </w:rPr>
        <w:t>；</w:t>
      </w:r>
      <w:r>
        <w:rPr>
          <w:rFonts w:hint="eastAsia"/>
          <w:color w:val="0000FF"/>
        </w:rPr>
        <w:t>渣土防护</w:t>
      </w:r>
      <w:r>
        <w:rPr>
          <w:color w:val="0000FF"/>
          <w:lang w:val="zh-CN"/>
        </w:rPr>
        <w:t>率</w:t>
      </w:r>
      <w:r>
        <w:rPr>
          <w:rFonts w:hint="eastAsia"/>
          <w:color w:val="0000FF"/>
        </w:rPr>
        <w:t>95</w:t>
      </w:r>
      <w:r>
        <w:rPr>
          <w:color w:val="0000FF"/>
          <w:lang w:val="zh-CN"/>
        </w:rPr>
        <w:t>%</w:t>
      </w:r>
      <w:r>
        <w:rPr>
          <w:color w:val="0000FF"/>
          <w:lang w:val="zh-CN"/>
        </w:rPr>
        <w:t>；</w:t>
      </w:r>
      <w:r>
        <w:rPr>
          <w:rFonts w:hint="eastAsia"/>
          <w:color w:val="0000FF"/>
        </w:rPr>
        <w:t>表土保护</w:t>
      </w:r>
      <w:r>
        <w:rPr>
          <w:color w:val="0000FF"/>
          <w:lang w:val="zh-CN"/>
        </w:rPr>
        <w:t>率</w:t>
      </w:r>
      <w:r>
        <w:rPr>
          <w:rFonts w:hint="eastAsia"/>
          <w:color w:val="0000FF"/>
        </w:rPr>
        <w:t>96</w:t>
      </w:r>
      <w:r>
        <w:rPr>
          <w:color w:val="0000FF"/>
          <w:lang w:val="zh-CN"/>
        </w:rPr>
        <w:t>%</w:t>
      </w:r>
      <w:r>
        <w:rPr>
          <w:color w:val="0000FF"/>
          <w:lang w:val="zh-CN"/>
        </w:rPr>
        <w:t>；林草植被恢复率</w:t>
      </w:r>
      <w:r>
        <w:rPr>
          <w:rFonts w:hint="eastAsia"/>
          <w:color w:val="0000FF"/>
        </w:rPr>
        <w:t>99</w:t>
      </w:r>
      <w:r>
        <w:rPr>
          <w:color w:val="0000FF"/>
          <w:lang w:val="zh-CN"/>
        </w:rPr>
        <w:t>%</w:t>
      </w:r>
      <w:r>
        <w:rPr>
          <w:color w:val="0000FF"/>
          <w:lang w:val="zh-CN"/>
        </w:rPr>
        <w:t>；林草覆盖率</w:t>
      </w:r>
      <w:r>
        <w:rPr>
          <w:rFonts w:hint="eastAsia"/>
          <w:color w:val="0000FF"/>
        </w:rPr>
        <w:t>24</w:t>
      </w:r>
      <w:r>
        <w:rPr>
          <w:color w:val="0000FF"/>
          <w:lang w:val="zh-CN"/>
        </w:rPr>
        <w:t>%</w:t>
      </w:r>
      <w:r>
        <w:rPr>
          <w:rFonts w:hint="eastAsia"/>
          <w:color w:val="0000FF"/>
          <w:lang w:val="zh-CN"/>
        </w:rPr>
        <w:t>；</w:t>
      </w:r>
      <w:r>
        <w:rPr>
          <w:rFonts w:hint="eastAsia"/>
          <w:color w:val="0000FF"/>
        </w:rPr>
        <w:t>可治理水土流失面积</w:t>
      </w:r>
      <w:r>
        <w:rPr>
          <w:rFonts w:hint="eastAsia"/>
          <w:color w:val="0000FF"/>
        </w:rPr>
        <w:t>1.31hm</w:t>
      </w:r>
      <w:r>
        <w:rPr>
          <w:rFonts w:hint="eastAsia"/>
          <w:color w:val="0000FF"/>
          <w:vertAlign w:val="superscript"/>
        </w:rPr>
        <w:t>2</w:t>
      </w:r>
      <w:r>
        <w:rPr>
          <w:rFonts w:hint="eastAsia"/>
          <w:color w:val="0000FF"/>
        </w:rPr>
        <w:t>；林草植被建设面积</w:t>
      </w:r>
      <w:r>
        <w:rPr>
          <w:rFonts w:hint="eastAsia"/>
          <w:color w:val="0000FF"/>
        </w:rPr>
        <w:t>0.32hm</w:t>
      </w:r>
      <w:r>
        <w:rPr>
          <w:rFonts w:hint="eastAsia"/>
          <w:color w:val="0000FF"/>
          <w:vertAlign w:val="superscript"/>
        </w:rPr>
        <w:t>2</w:t>
      </w:r>
      <w:r>
        <w:rPr>
          <w:rFonts w:hint="eastAsia"/>
          <w:color w:val="0000FF"/>
        </w:rPr>
        <w:t>；减少水土流失量</w:t>
      </w:r>
      <w:r>
        <w:rPr>
          <w:rFonts w:hint="eastAsia"/>
          <w:color w:val="0000FF"/>
        </w:rPr>
        <w:t>7.25t</w:t>
      </w:r>
      <w:r>
        <w:rPr>
          <w:color w:val="0000FF"/>
          <w:lang w:val="zh-CN"/>
        </w:rPr>
        <w:t>。各</w:t>
      </w:r>
      <w:r>
        <w:rPr>
          <w:rFonts w:hint="eastAsia"/>
          <w:color w:val="0000FF"/>
        </w:rPr>
        <w:t>水土保持方案实施后，</w:t>
      </w:r>
      <w:r>
        <w:rPr>
          <w:rFonts w:hint="eastAsia"/>
          <w:color w:val="0000FF"/>
          <w:lang w:val="zh-CN"/>
        </w:rPr>
        <w:t>项</w:t>
      </w:r>
      <w:r>
        <w:rPr>
          <w:rFonts w:hint="eastAsia"/>
          <w:color w:val="0000FF"/>
        </w:rPr>
        <w:t>目</w:t>
      </w:r>
      <w:r>
        <w:rPr>
          <w:rFonts w:hint="eastAsia"/>
          <w:color w:val="0000FF"/>
          <w:lang w:val="zh-CN"/>
        </w:rPr>
        <w:t>水土保持治理指标均达到防治目标要求，</w:t>
      </w:r>
      <w:r>
        <w:rPr>
          <w:rFonts w:hint="eastAsia"/>
          <w:color w:val="0000FF"/>
        </w:rPr>
        <w:t>水土流失影响能控制在较低水平，水土资源能得到很好的保护、恢复和合理利用，生态环境也能得到很好的保护、恢复和一定的改善。</w:t>
      </w:r>
      <w:r>
        <w:rPr>
          <w:rFonts w:hint="eastAsia"/>
          <w:color w:val="0000FF"/>
          <w:lang w:val="zh-CN"/>
        </w:rPr>
        <w:t>工程结束后，项</w:t>
      </w:r>
      <w:r>
        <w:rPr>
          <w:rFonts w:hint="eastAsia"/>
          <w:color w:val="0000FF"/>
        </w:rPr>
        <w:t>目</w:t>
      </w:r>
      <w:r>
        <w:rPr>
          <w:rFonts w:hint="eastAsia"/>
          <w:color w:val="0000FF"/>
          <w:lang w:val="zh-CN"/>
        </w:rPr>
        <w:t>水土保持治理指标均达到防治目标要求，水土保持基础效益良好</w:t>
      </w:r>
      <w:r>
        <w:rPr>
          <w:spacing w:val="6"/>
        </w:rPr>
        <w:t>。</w:t>
      </w:r>
    </w:p>
    <w:p w:rsidR="008E4D92" w:rsidRDefault="008E4D92">
      <w:pPr>
        <w:pStyle w:val="a0"/>
        <w:rPr>
          <w:spacing w:val="6"/>
          <w:sz w:val="24"/>
          <w:szCs w:val="24"/>
        </w:rPr>
      </w:pPr>
    </w:p>
    <w:p w:rsidR="008E4D92" w:rsidRDefault="008B068A">
      <w:pPr>
        <w:sectPr w:rsidR="008E4D92">
          <w:headerReference w:type="default" r:id="rId25"/>
          <w:footerReference w:type="default" r:id="rId26"/>
          <w:pgSz w:w="11906" w:h="16838"/>
          <w:pgMar w:top="1440" w:right="1800" w:bottom="1440" w:left="1800" w:header="851" w:footer="992" w:gutter="0"/>
          <w:cols w:space="425"/>
          <w:docGrid w:type="lines" w:linePitch="312"/>
        </w:sectPr>
      </w:pPr>
      <w:r>
        <w:br w:type="page"/>
      </w:r>
    </w:p>
    <w:bookmarkEnd w:id="228"/>
    <w:bookmarkEnd w:id="229"/>
    <w:p w:rsidR="008E4D92" w:rsidRDefault="008E4D92">
      <w:pPr>
        <w:pStyle w:val="08522"/>
      </w:pPr>
    </w:p>
    <w:p w:rsidR="008E4D92" w:rsidRDefault="008B068A">
      <w:pPr>
        <w:pStyle w:val="1"/>
      </w:pPr>
      <w:bookmarkStart w:id="251" w:name="_Toc61602722"/>
      <w:bookmarkStart w:id="252" w:name="_Toc61601226"/>
      <w:bookmarkStart w:id="253" w:name="_Toc17018"/>
      <w:r>
        <w:rPr>
          <w:rFonts w:hint="eastAsia"/>
        </w:rPr>
        <w:t>8</w:t>
      </w:r>
      <w:r>
        <w:t>结论及建议</w:t>
      </w:r>
      <w:bookmarkEnd w:id="251"/>
      <w:bookmarkEnd w:id="252"/>
      <w:bookmarkEnd w:id="253"/>
    </w:p>
    <w:p w:rsidR="008E4D92" w:rsidRDefault="008B068A">
      <w:pPr>
        <w:pStyle w:val="2"/>
      </w:pPr>
      <w:bookmarkStart w:id="254" w:name="_Toc61601227"/>
      <w:bookmarkStart w:id="255" w:name="_Toc61602723"/>
      <w:bookmarkStart w:id="256" w:name="_Toc17855"/>
      <w:bookmarkStart w:id="257" w:name="_Toc1687"/>
      <w:r>
        <w:rPr>
          <w:rFonts w:hint="eastAsia"/>
        </w:rPr>
        <w:t>8</w:t>
      </w:r>
      <w:r>
        <w:t>.1</w:t>
      </w:r>
      <w:r>
        <w:t>结论</w:t>
      </w:r>
      <w:bookmarkEnd w:id="254"/>
      <w:bookmarkEnd w:id="255"/>
      <w:bookmarkEnd w:id="256"/>
      <w:bookmarkEnd w:id="257"/>
    </w:p>
    <w:p w:rsidR="008E4D92" w:rsidRDefault="008B068A">
      <w:pPr>
        <w:pStyle w:val="13"/>
        <w:ind w:firstLine="480"/>
        <w:rPr>
          <w:color w:val="0000FF"/>
        </w:rPr>
      </w:pPr>
      <w:bookmarkStart w:id="258" w:name="_Toc2216"/>
      <w:bookmarkStart w:id="259" w:name="_Toc61601228"/>
      <w:r>
        <w:rPr>
          <w:rFonts w:hint="eastAsia"/>
          <w:color w:val="0000FF"/>
        </w:rPr>
        <w:t>（</w:t>
      </w:r>
      <w:r>
        <w:rPr>
          <w:rFonts w:hint="eastAsia"/>
          <w:color w:val="0000FF"/>
        </w:rPr>
        <w:t>1</w:t>
      </w:r>
      <w:r>
        <w:rPr>
          <w:rFonts w:hint="eastAsia"/>
          <w:color w:val="0000FF"/>
        </w:rPr>
        <w:t>）</w:t>
      </w:r>
      <w:r>
        <w:rPr>
          <w:color w:val="0000FF"/>
        </w:rPr>
        <w:t>根据</w:t>
      </w:r>
      <w:r>
        <w:rPr>
          <w:rFonts w:hint="eastAsia"/>
          <w:color w:val="0000FF"/>
          <w:u w:color="000000"/>
        </w:rPr>
        <w:t>《产业结构调整指导目录</w:t>
      </w:r>
      <w:r>
        <w:rPr>
          <w:rFonts w:hint="eastAsia"/>
          <w:color w:val="0000FF"/>
          <w:u w:color="000000"/>
        </w:rPr>
        <w:t>(2019</w:t>
      </w:r>
      <w:r>
        <w:rPr>
          <w:rFonts w:hint="eastAsia"/>
          <w:color w:val="0000FF"/>
          <w:u w:color="000000"/>
        </w:rPr>
        <w:t>年本</w:t>
      </w:r>
      <w:r>
        <w:rPr>
          <w:rFonts w:hint="eastAsia"/>
          <w:color w:val="0000FF"/>
          <w:u w:color="000000"/>
        </w:rPr>
        <w:t>)</w:t>
      </w:r>
      <w:r>
        <w:rPr>
          <w:rFonts w:hint="eastAsia"/>
          <w:color w:val="0000FF"/>
          <w:u w:color="000000"/>
        </w:rPr>
        <w:t>》</w:t>
      </w:r>
      <w:r>
        <w:rPr>
          <w:rFonts w:hint="eastAsia"/>
          <w:color w:val="0000FF"/>
          <w:u w:color="000000"/>
        </w:rPr>
        <w:t>(</w:t>
      </w:r>
      <w:r>
        <w:rPr>
          <w:rFonts w:hint="eastAsia"/>
          <w:color w:val="0000FF"/>
          <w:u w:color="000000"/>
        </w:rPr>
        <w:t>中华人民共和国国家发展和改革委员会令</w:t>
      </w:r>
      <w:r>
        <w:rPr>
          <w:rFonts w:hint="eastAsia"/>
          <w:color w:val="0000FF"/>
          <w:u w:color="000000"/>
        </w:rPr>
        <w:t>2019</w:t>
      </w:r>
      <w:r>
        <w:rPr>
          <w:rFonts w:hint="eastAsia"/>
          <w:color w:val="0000FF"/>
          <w:u w:color="000000"/>
        </w:rPr>
        <w:t>年第</w:t>
      </w:r>
      <w:r>
        <w:rPr>
          <w:rFonts w:hint="eastAsia"/>
          <w:color w:val="0000FF"/>
          <w:u w:color="000000"/>
        </w:rPr>
        <w:t>29</w:t>
      </w:r>
      <w:r>
        <w:rPr>
          <w:rFonts w:hint="eastAsia"/>
          <w:color w:val="0000FF"/>
          <w:u w:color="000000"/>
        </w:rPr>
        <w:t>号令</w:t>
      </w:r>
      <w:r>
        <w:rPr>
          <w:rFonts w:hint="eastAsia"/>
          <w:color w:val="0000FF"/>
          <w:u w:color="000000"/>
        </w:rPr>
        <w:t>) </w:t>
      </w:r>
      <w:r>
        <w:rPr>
          <w:color w:val="0000FF"/>
        </w:rPr>
        <w:t>，本项目不属于产业结构调整指导目录中鼓励类、限制类和淘汰类，为允许类项目，符合国家产业政策。</w:t>
      </w:r>
    </w:p>
    <w:p w:rsidR="008E4D92" w:rsidRDefault="008B068A">
      <w:pPr>
        <w:pStyle w:val="13"/>
        <w:ind w:firstLine="480"/>
        <w:rPr>
          <w:color w:val="0000FF"/>
        </w:rPr>
      </w:pPr>
      <w:r>
        <w:rPr>
          <w:color w:val="0000FF"/>
        </w:rPr>
        <w:t>（</w:t>
      </w:r>
      <w:r>
        <w:rPr>
          <w:rFonts w:hint="eastAsia"/>
          <w:color w:val="0000FF"/>
        </w:rPr>
        <w:t>2</w:t>
      </w:r>
      <w:r>
        <w:rPr>
          <w:color w:val="0000FF"/>
        </w:rPr>
        <w:t>）本项目选址不属于全国水土保持监测网络中的水土保持监测站点、重点试验区，不在国家划定的水土流失重点治理成果区内，也不属于地质灾害易发区，工程选址和布局无水土保持的限制性因素。</w:t>
      </w:r>
    </w:p>
    <w:p w:rsidR="008E4D92" w:rsidRDefault="008B068A">
      <w:pPr>
        <w:pStyle w:val="13"/>
        <w:ind w:firstLine="480"/>
        <w:rPr>
          <w:color w:val="0000FF"/>
        </w:rPr>
      </w:pPr>
      <w:r>
        <w:rPr>
          <w:color w:val="0000FF"/>
          <w:kern w:val="0"/>
        </w:rPr>
        <w:t>（</w:t>
      </w:r>
      <w:r>
        <w:rPr>
          <w:rFonts w:hint="eastAsia"/>
          <w:color w:val="0000FF"/>
          <w:kern w:val="0"/>
        </w:rPr>
        <w:t>3</w:t>
      </w:r>
      <w:r>
        <w:rPr>
          <w:color w:val="0000FF"/>
          <w:kern w:val="0"/>
        </w:rPr>
        <w:t>）</w:t>
      </w:r>
      <w:r>
        <w:rPr>
          <w:color w:val="0000FF"/>
        </w:rPr>
        <w:t>项目占地总面积为</w:t>
      </w:r>
      <w:r>
        <w:rPr>
          <w:rFonts w:hint="eastAsia"/>
          <w:color w:val="0000FF"/>
        </w:rPr>
        <w:t>1.31</w:t>
      </w:r>
      <w:r>
        <w:rPr>
          <w:color w:val="0000FF"/>
        </w:rPr>
        <w:t>hm</w:t>
      </w:r>
      <w:r>
        <w:rPr>
          <w:color w:val="0000FF"/>
          <w:vertAlign w:val="superscript"/>
        </w:rPr>
        <w:t>2</w:t>
      </w:r>
      <w:r>
        <w:rPr>
          <w:color w:val="0000FF"/>
        </w:rPr>
        <w:t>，均为永久占地。</w:t>
      </w:r>
    </w:p>
    <w:p w:rsidR="008E4D92" w:rsidRDefault="008B068A">
      <w:pPr>
        <w:pStyle w:val="13"/>
        <w:ind w:firstLine="480"/>
        <w:rPr>
          <w:color w:val="0000FF"/>
          <w:szCs w:val="22"/>
        </w:rPr>
      </w:pPr>
      <w:r>
        <w:rPr>
          <w:color w:val="0000FF"/>
          <w:szCs w:val="22"/>
        </w:rPr>
        <w:t>（</w:t>
      </w:r>
      <w:r>
        <w:rPr>
          <w:rFonts w:hint="eastAsia"/>
          <w:color w:val="0000FF"/>
          <w:szCs w:val="22"/>
        </w:rPr>
        <w:t>4</w:t>
      </w:r>
      <w:r>
        <w:rPr>
          <w:color w:val="0000FF"/>
          <w:szCs w:val="22"/>
        </w:rPr>
        <w:t>）项目水土流失防治责任范围面积</w:t>
      </w:r>
      <w:r>
        <w:rPr>
          <w:rFonts w:hint="eastAsia"/>
          <w:color w:val="0000FF"/>
          <w:szCs w:val="22"/>
        </w:rPr>
        <w:t>1.31</w:t>
      </w:r>
      <w:r>
        <w:rPr>
          <w:color w:val="0000FF"/>
          <w:szCs w:val="22"/>
        </w:rPr>
        <w:t>hm2</w:t>
      </w:r>
      <w:r>
        <w:rPr>
          <w:color w:val="0000FF"/>
          <w:szCs w:val="22"/>
        </w:rPr>
        <w:t>，全部为项目建设区。</w:t>
      </w:r>
    </w:p>
    <w:p w:rsidR="008E4D92" w:rsidRDefault="008B068A">
      <w:pPr>
        <w:spacing w:line="360" w:lineRule="auto"/>
        <w:ind w:firstLineChars="200" w:firstLine="480"/>
        <w:rPr>
          <w:szCs w:val="22"/>
        </w:rPr>
      </w:pPr>
      <w:r>
        <w:rPr>
          <w:color w:val="0000FF"/>
          <w:szCs w:val="22"/>
        </w:rPr>
        <w:t>（</w:t>
      </w:r>
      <w:r>
        <w:rPr>
          <w:rFonts w:hint="eastAsia"/>
          <w:color w:val="0000FF"/>
          <w:szCs w:val="22"/>
        </w:rPr>
        <w:t>5</w:t>
      </w:r>
      <w:r>
        <w:rPr>
          <w:color w:val="0000FF"/>
          <w:szCs w:val="22"/>
        </w:rPr>
        <w:t>）本项目为已完工项目，项目施工过程中重视水土保持要求，考虑</w:t>
      </w:r>
      <w:r>
        <w:rPr>
          <w:rFonts w:hint="eastAsia"/>
          <w:color w:val="0000FF"/>
          <w:szCs w:val="22"/>
        </w:rPr>
        <w:t>并布设了</w:t>
      </w:r>
      <w:r>
        <w:rPr>
          <w:color w:val="0000FF"/>
          <w:szCs w:val="22"/>
        </w:rPr>
        <w:t>具有水土保持功能的</w:t>
      </w:r>
      <w:r>
        <w:rPr>
          <w:rFonts w:hint="eastAsia"/>
          <w:color w:val="0000FF"/>
          <w:szCs w:val="22"/>
        </w:rPr>
        <w:t>措施</w:t>
      </w:r>
      <w:r>
        <w:rPr>
          <w:color w:val="0000FF"/>
          <w:szCs w:val="22"/>
        </w:rPr>
        <w:t>，主要包括布设雨水管、景观绿化、临时拦挡、遮盖和其它临时排水工程，经现场踏勘，现场排水</w:t>
      </w:r>
      <w:r>
        <w:rPr>
          <w:rFonts w:hint="eastAsia"/>
          <w:color w:val="0000FF"/>
          <w:szCs w:val="22"/>
        </w:rPr>
        <w:t>、景观绿化</w:t>
      </w:r>
      <w:r>
        <w:rPr>
          <w:color w:val="0000FF"/>
          <w:szCs w:val="22"/>
        </w:rPr>
        <w:t>等水保设施完善，不存在水土流失遗留问题，水土保持措施已经具有较高的水土保持功能，符合水土保持要求，因此本方案不再补充水土保持措施</w:t>
      </w:r>
      <w:r>
        <w:rPr>
          <w:szCs w:val="22"/>
        </w:rPr>
        <w:t>。</w:t>
      </w:r>
    </w:p>
    <w:p w:rsidR="008E4D92" w:rsidRDefault="008B068A">
      <w:pPr>
        <w:pStyle w:val="2"/>
      </w:pPr>
      <w:bookmarkStart w:id="260" w:name="_Toc61602724"/>
      <w:bookmarkStart w:id="261" w:name="_Toc26564"/>
      <w:r>
        <w:rPr>
          <w:rFonts w:hint="eastAsia"/>
        </w:rPr>
        <w:t>8</w:t>
      </w:r>
      <w:r>
        <w:t>.2</w:t>
      </w:r>
      <w:bookmarkEnd w:id="258"/>
      <w:r>
        <w:rPr>
          <w:rFonts w:hint="eastAsia"/>
        </w:rPr>
        <w:t>建议</w:t>
      </w:r>
      <w:bookmarkEnd w:id="259"/>
      <w:bookmarkEnd w:id="260"/>
      <w:bookmarkEnd w:id="261"/>
    </w:p>
    <w:p w:rsidR="008E4D92" w:rsidRDefault="008B068A">
      <w:pPr>
        <w:spacing w:line="360" w:lineRule="auto"/>
        <w:ind w:firstLineChars="200" w:firstLine="480"/>
      </w:pPr>
      <w:r>
        <w:rPr>
          <w:rFonts w:hint="eastAsia"/>
        </w:rPr>
        <w:t>在项目建设过程中，建立水土保持方面的规章制度，加强对施工单位的监督管理，严格按照批复的水土保持方案要求开展工作，将工程建设造成的水土流失降到最低限度。</w:t>
      </w:r>
    </w:p>
    <w:p w:rsidR="008E4D92" w:rsidRDefault="008B068A">
      <w:pPr>
        <w:spacing w:line="360" w:lineRule="auto"/>
        <w:ind w:firstLineChars="200" w:firstLine="480"/>
      </w:pPr>
      <w:r>
        <w:rPr>
          <w:rFonts w:hint="eastAsia"/>
        </w:rPr>
        <w:t>项目负责单位应自觉接受当地水土保持监督部门的监督检查。方案设计改变时，应报原批准机关批准，并及时通知当地水土保持部门。</w:t>
      </w:r>
    </w:p>
    <w:p w:rsidR="008E4D92" w:rsidRDefault="008B068A">
      <w:pPr>
        <w:spacing w:line="360" w:lineRule="auto"/>
        <w:ind w:firstLineChars="200" w:firstLine="480"/>
      </w:pPr>
      <w:r>
        <w:rPr>
          <w:rFonts w:hint="eastAsia"/>
        </w:rPr>
        <w:t>根据《国务院关于取消一批行政许可事项的决定》（国发</w:t>
      </w:r>
      <w:r>
        <w:t>[2017]46</w:t>
      </w:r>
      <w:r>
        <w:rPr>
          <w:rFonts w:hint="eastAsia"/>
        </w:rPr>
        <w:t>号），项目投产使用前，业主应依据经批复的水土保持方案及批复意见，组织第三方机构编制水土保持设施验收报告，向社会公开并向水土保持方案审批机关报备。</w:t>
      </w:r>
    </w:p>
    <w:p w:rsidR="008E4D92" w:rsidRDefault="008B068A">
      <w:pPr>
        <w:pStyle w:val="af1"/>
        <w:ind w:firstLine="480"/>
      </w:pPr>
      <w:r>
        <w:rPr>
          <w:rFonts w:hint="eastAsia"/>
        </w:rPr>
        <w:t>（</w:t>
      </w:r>
      <w:r>
        <w:rPr>
          <w:rFonts w:hint="eastAsia"/>
        </w:rPr>
        <w:t>1</w:t>
      </w:r>
      <w:r>
        <w:rPr>
          <w:rFonts w:hint="eastAsia"/>
        </w:rPr>
        <w:t>）</w:t>
      </w:r>
      <w:r>
        <w:t>业主要与项目所在地水行政主管部门及其上级部门密切配合，认真听取他们对项目水土保持工作的建议，加强管理，在今后的开发建设项目上严格按照水土保持法要求开展工作，落实好水土保持措施。</w:t>
      </w:r>
      <w:r>
        <w:t xml:space="preserve"> </w:t>
      </w:r>
    </w:p>
    <w:p w:rsidR="008E4D92" w:rsidRDefault="008B068A">
      <w:pPr>
        <w:pStyle w:val="af1"/>
        <w:ind w:firstLine="480"/>
      </w:pPr>
      <w:bookmarkStart w:id="262" w:name="OLE_LINK19"/>
      <w:r>
        <w:rPr>
          <w:rFonts w:hint="eastAsia"/>
        </w:rPr>
        <w:t>（</w:t>
      </w:r>
      <w:r>
        <w:rPr>
          <w:rFonts w:hint="eastAsia"/>
        </w:rPr>
        <w:t>2</w:t>
      </w:r>
      <w:r>
        <w:rPr>
          <w:rFonts w:hint="eastAsia"/>
        </w:rPr>
        <w:t>）</w:t>
      </w:r>
      <w:r>
        <w:t>业主应进一步强化水土保持生态环境保护意识，切实按照有关法律法</w:t>
      </w:r>
      <w:r>
        <w:lastRenderedPageBreak/>
        <w:t>规的要求，规范行为，完善程序，建设单位后续建设中必须确保三同时后续的环节能得到落实。</w:t>
      </w:r>
    </w:p>
    <w:p w:rsidR="008E4D92" w:rsidRDefault="008B068A">
      <w:pPr>
        <w:pStyle w:val="af1"/>
        <w:ind w:firstLine="480"/>
      </w:pPr>
      <w:r>
        <w:rPr>
          <w:rFonts w:hint="eastAsia"/>
        </w:rPr>
        <w:t>（</w:t>
      </w:r>
      <w:r>
        <w:rPr>
          <w:rFonts w:hint="eastAsia"/>
        </w:rPr>
        <w:t>3</w:t>
      </w:r>
      <w:r>
        <w:rPr>
          <w:rFonts w:hint="eastAsia"/>
        </w:rPr>
        <w:t>）</w:t>
      </w:r>
      <w:r>
        <w:t>方案批复后，业主单位必须及时缴纳项目水土保持补偿费。</w:t>
      </w:r>
    </w:p>
    <w:bookmarkEnd w:id="262"/>
    <w:p w:rsidR="008E4D92" w:rsidRDefault="008B068A">
      <w:pPr>
        <w:pStyle w:val="af1"/>
        <w:ind w:firstLine="480"/>
      </w:pPr>
      <w:r>
        <w:rPr>
          <w:rFonts w:hint="eastAsia"/>
          <w:color w:val="0000FF"/>
        </w:rPr>
        <w:t>4</w:t>
      </w:r>
      <w:r>
        <w:rPr>
          <w:rFonts w:hint="eastAsia"/>
          <w:color w:val="0000FF"/>
        </w:rPr>
        <w:t>）</w:t>
      </w:r>
      <w:r>
        <w:rPr>
          <w:color w:val="0000FF"/>
        </w:rPr>
        <w:t>按照《四川省水利厅转发水利部关于加强事中事后监管规范生产建设项目水土保持设施自主验收的通知》（川水函</w:t>
      </w:r>
      <w:r>
        <w:rPr>
          <w:color w:val="0000FF"/>
        </w:rPr>
        <w:t>[2018]887</w:t>
      </w:r>
      <w:r>
        <w:rPr>
          <w:color w:val="0000FF"/>
        </w:rPr>
        <w:t>号）</w:t>
      </w:r>
      <w:r>
        <w:rPr>
          <w:rFonts w:hint="eastAsia"/>
          <w:color w:val="0000FF"/>
        </w:rPr>
        <w:t>和《水利部办公厅关于印发生产建设项目水土保持监督管理办法的通知》（办水保</w:t>
      </w:r>
      <w:r>
        <w:rPr>
          <w:rFonts w:hint="eastAsia"/>
          <w:color w:val="0000FF"/>
        </w:rPr>
        <w:t>[2019]172</w:t>
      </w:r>
      <w:r>
        <w:rPr>
          <w:rFonts w:hint="eastAsia"/>
          <w:color w:val="0000FF"/>
        </w:rPr>
        <w:t>号文）的</w:t>
      </w:r>
      <w:r>
        <w:rPr>
          <w:color w:val="0000FF"/>
        </w:rPr>
        <w:t>要求</w:t>
      </w:r>
      <w:r>
        <w:rPr>
          <w:rFonts w:hint="eastAsia"/>
          <w:color w:val="0000FF"/>
        </w:rPr>
        <w:t>做好</w:t>
      </w:r>
      <w:r>
        <w:rPr>
          <w:color w:val="0000FF"/>
        </w:rPr>
        <w:t>水土保持设施的专项验收</w:t>
      </w:r>
      <w:r>
        <w:t>。</w:t>
      </w:r>
    </w:p>
    <w:p w:rsidR="008E4D92" w:rsidRDefault="008E4D92">
      <w:pPr>
        <w:spacing w:line="360" w:lineRule="auto"/>
        <w:ind w:firstLineChars="200" w:firstLine="480"/>
      </w:pPr>
    </w:p>
    <w:p w:rsidR="008E4D92" w:rsidRDefault="008E4D92">
      <w:pPr>
        <w:spacing w:line="360" w:lineRule="auto"/>
        <w:ind w:firstLineChars="200" w:firstLine="480"/>
      </w:pPr>
    </w:p>
    <w:sectPr w:rsidR="008E4D92">
      <w:footerReference w:type="default" r:id="rId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079E" w:rsidRDefault="0021079E">
      <w:r>
        <w:separator/>
      </w:r>
    </w:p>
  </w:endnote>
  <w:endnote w:type="continuationSeparator" w:id="0">
    <w:p w:rsidR="0021079E" w:rsidRDefault="00210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erif">
    <w:altName w:val="AMGDT"/>
    <w:charset w:val="00"/>
    <w:family w:val="auto"/>
    <w:pitch w:val="default"/>
  </w:font>
  <w:font w:name="等线">
    <w:altName w:val="Arial Unicode MS"/>
    <w:charset w:val="86"/>
    <w:family w:val="auto"/>
    <w:pitch w:val="default"/>
    <w:sig w:usb0="00000000"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D92" w:rsidRDefault="008B068A">
    <w:pPr>
      <w:pStyle w:val="a8"/>
      <w:jc w:val="right"/>
    </w:pPr>
    <w:r>
      <w:rPr>
        <w:noProof/>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E4D92" w:rsidRDefault="008B068A">
                          <w:pPr>
                            <w:pStyle w:val="a8"/>
                          </w:pPr>
                          <w:r>
                            <w:rPr>
                              <w:rFonts w:hint="eastAsia"/>
                            </w:rPr>
                            <w:fldChar w:fldCharType="begin"/>
                          </w:r>
                          <w:r>
                            <w:rPr>
                              <w:rFonts w:hint="eastAsia"/>
                            </w:rPr>
                            <w:instrText xml:space="preserve"> PAGE  \* MERGEFORMAT </w:instrText>
                          </w:r>
                          <w:r>
                            <w:rPr>
                              <w:rFonts w:hint="eastAsia"/>
                            </w:rPr>
                            <w:fldChar w:fldCharType="separate"/>
                          </w:r>
                          <w:r w:rsidR="005450A3">
                            <w:rPr>
                              <w:noProof/>
                            </w:rPr>
                            <w:t>33</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8"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Nte8iJhAgAACgUAAA4AAAAAAAAAAAAAAAAALgIAAGRycy9lMm9Eb2MueG1s&#10;UEsBAi0AFAAGAAgAAAAhAHGq0bnXAAAABQEAAA8AAAAAAAAAAAAAAAAAuwQAAGRycy9kb3ducmV2&#10;LnhtbFBLBQYAAAAABAAEAPMAAAC/BQAAAAA=&#10;" filled="f" stroked="f" strokeweight=".5pt">
              <v:textbox style="mso-fit-shape-to-text:t" inset="0,0,0,0">
                <w:txbxContent>
                  <w:p w:rsidR="008E4D92" w:rsidRDefault="008B068A">
                    <w:pPr>
                      <w:pStyle w:val="a8"/>
                    </w:pPr>
                    <w:r>
                      <w:rPr>
                        <w:rFonts w:hint="eastAsia"/>
                      </w:rPr>
                      <w:fldChar w:fldCharType="begin"/>
                    </w:r>
                    <w:r>
                      <w:rPr>
                        <w:rFonts w:hint="eastAsia"/>
                      </w:rPr>
                      <w:instrText xml:space="preserve"> PAGE  \* MERGEFORMAT </w:instrText>
                    </w:r>
                    <w:r>
                      <w:rPr>
                        <w:rFonts w:hint="eastAsia"/>
                      </w:rPr>
                      <w:fldChar w:fldCharType="separate"/>
                    </w:r>
                    <w:r w:rsidR="005450A3">
                      <w:rPr>
                        <w:noProof/>
                      </w:rPr>
                      <w:t>33</w:t>
                    </w:r>
                    <w:r>
                      <w:rPr>
                        <w:rFonts w:hint="eastAsia"/>
                      </w:rP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D92" w:rsidRDefault="008B068A">
    <w:pPr>
      <w:pStyle w:val="16"/>
      <w:wordWrap w:val="0"/>
      <w:spacing w:line="360" w:lineRule="auto"/>
      <w:rPr>
        <w:sz w:val="21"/>
        <w:szCs w:val="21"/>
      </w:rPr>
    </w:pPr>
    <w:r>
      <w:rPr>
        <w:noProof/>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E4D92" w:rsidRDefault="008B068A">
                          <w:pPr>
                            <w:pStyle w:val="a8"/>
                          </w:pPr>
                          <w:r>
                            <w:rPr>
                              <w:rFonts w:hint="eastAsia"/>
                            </w:rPr>
                            <w:fldChar w:fldCharType="begin"/>
                          </w:r>
                          <w:r>
                            <w:rPr>
                              <w:rFonts w:hint="eastAsia"/>
                            </w:rPr>
                            <w:instrText xml:space="preserve"> PAGE  \* MERGEFORMAT </w:instrText>
                          </w:r>
                          <w:r>
                            <w:rPr>
                              <w:rFonts w:hint="eastAsia"/>
                            </w:rPr>
                            <w:fldChar w:fldCharType="separate"/>
                          </w:r>
                          <w:r w:rsidR="005450A3">
                            <w:rPr>
                              <w:noProof/>
                            </w:rPr>
                            <w:t>38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5" o:spid="_x0000_s1029"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BcPmtNkAgAAEwUAAA4AAAAAAAAAAAAAAAAALgIAAGRycy9lMm9Eb2Mu&#10;eG1sUEsBAi0AFAAGAAgAAAAhAHGq0bnXAAAABQEAAA8AAAAAAAAAAAAAAAAAvgQAAGRycy9kb3du&#10;cmV2LnhtbFBLBQYAAAAABAAEAPMAAADCBQAAAAA=&#10;" filled="f" stroked="f" strokeweight=".5pt">
              <v:textbox style="mso-fit-shape-to-text:t" inset="0,0,0,0">
                <w:txbxContent>
                  <w:p w:rsidR="008E4D92" w:rsidRDefault="008B068A">
                    <w:pPr>
                      <w:pStyle w:val="a8"/>
                    </w:pPr>
                    <w:r>
                      <w:rPr>
                        <w:rFonts w:hint="eastAsia"/>
                      </w:rPr>
                      <w:fldChar w:fldCharType="begin"/>
                    </w:r>
                    <w:r>
                      <w:rPr>
                        <w:rFonts w:hint="eastAsia"/>
                      </w:rPr>
                      <w:instrText xml:space="preserve"> PAGE  \* MERGEFORMAT </w:instrText>
                    </w:r>
                    <w:r>
                      <w:rPr>
                        <w:rFonts w:hint="eastAsia"/>
                      </w:rPr>
                      <w:fldChar w:fldCharType="separate"/>
                    </w:r>
                    <w:r w:rsidR="005450A3">
                      <w:rPr>
                        <w:noProof/>
                      </w:rPr>
                      <w:t>38</w:t>
                    </w:r>
                    <w:r>
                      <w:rPr>
                        <w:rFonts w:hint="eastAsia"/>
                      </w:rPr>
                      <w:fldChar w:fldCharType="end"/>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D92" w:rsidRDefault="008B068A">
    <w:pPr>
      <w:pStyle w:val="a8"/>
      <w:ind w:firstLine="360"/>
      <w:jc w:val="right"/>
      <w:rPr>
        <w:rFonts w:ascii="仿宋_GB2312" w:hAnsi="仿宋_GB2312" w:cs="仿宋_GB2312"/>
        <w:sz w:val="21"/>
        <w:szCs w:val="21"/>
      </w:rPr>
    </w:pPr>
    <w:r>
      <w:rPr>
        <w:noProof/>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E4D92" w:rsidRDefault="008B068A">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5450A3">
                            <w:rPr>
                              <w:noProof/>
                            </w:rPr>
                            <w:t>40</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 o:spid="_x0000_s1030"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L0piiJkAgAAEQUAAA4AAAAAAAAAAAAAAAAALgIAAGRycy9lMm9Eb2Mu&#10;eG1sUEsBAi0AFAAGAAgAAAAhAHGq0bnXAAAABQEAAA8AAAAAAAAAAAAAAAAAvgQAAGRycy9kb3du&#10;cmV2LnhtbFBLBQYAAAAABAAEAPMAAADCBQAAAAA=&#10;" filled="f" stroked="f" strokeweight=".5pt">
              <v:textbox style="mso-fit-shape-to-text:t" inset="0,0,0,0">
                <w:txbxContent>
                  <w:p w:rsidR="008E4D92" w:rsidRDefault="008B068A">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5450A3">
                      <w:rPr>
                        <w:noProof/>
                      </w:rPr>
                      <w:t>40</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079E" w:rsidRDefault="0021079E">
      <w:r>
        <w:separator/>
      </w:r>
    </w:p>
  </w:footnote>
  <w:footnote w:type="continuationSeparator" w:id="0">
    <w:p w:rsidR="0021079E" w:rsidRDefault="002107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D92" w:rsidRDefault="008B068A">
    <w:pPr>
      <w:pStyle w:val="a9"/>
    </w:pPr>
    <w:r>
      <w:rPr>
        <w:rFonts w:hint="eastAsia"/>
        <w:sz w:val="21"/>
        <w:szCs w:val="22"/>
      </w:rPr>
      <w:t>仪陇县老年服务中心老年养护楼建设项目</w:t>
    </w:r>
    <w:r>
      <w:rPr>
        <w:rFonts w:hint="eastAsia"/>
        <w:sz w:val="21"/>
        <w:szCs w:val="22"/>
      </w:rPr>
      <w:t xml:space="preserve">                             </w:t>
    </w:r>
    <w:r>
      <w:rPr>
        <w:rFonts w:hint="eastAsia"/>
        <w:sz w:val="21"/>
        <w:szCs w:val="22"/>
      </w:rPr>
      <w:t>水土保持方案表</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D92" w:rsidRDefault="008B068A">
    <w:pPr>
      <w:pBdr>
        <w:bottom w:val="single" w:sz="4" w:space="0" w:color="auto"/>
      </w:pBdr>
      <w:jc w:val="right"/>
      <w:rPr>
        <w:iCs/>
        <w:sz w:val="21"/>
        <w:szCs w:val="21"/>
      </w:rPr>
    </w:pPr>
    <w:r>
      <w:rPr>
        <w:rFonts w:hint="eastAsia"/>
        <w:iCs/>
        <w:sz w:val="21"/>
        <w:szCs w:val="21"/>
      </w:rPr>
      <w:t>5</w:t>
    </w:r>
    <w:r>
      <w:rPr>
        <w:rFonts w:hint="eastAsia"/>
        <w:iCs/>
        <w:sz w:val="21"/>
        <w:szCs w:val="21"/>
      </w:rPr>
      <w:t>水土保持措施</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D92" w:rsidRDefault="008B068A">
    <w:pPr>
      <w:pBdr>
        <w:bottom w:val="single" w:sz="4" w:space="0" w:color="auto"/>
      </w:pBdr>
      <w:wordWrap w:val="0"/>
      <w:ind w:left="7140" w:hangingChars="3400" w:hanging="7140"/>
      <w:jc w:val="right"/>
      <w:rPr>
        <w:rFonts w:ascii="仿宋_GB2312" w:hAnsi="仿宋_GB2312" w:cs="仿宋_GB2312"/>
        <w:sz w:val="21"/>
        <w:szCs w:val="21"/>
      </w:rPr>
    </w:pPr>
    <w:r>
      <w:rPr>
        <w:rFonts w:hint="eastAsia"/>
        <w:sz w:val="21"/>
        <w:szCs w:val="21"/>
      </w:rPr>
      <w:t>6</w:t>
    </w:r>
    <w:r>
      <w:rPr>
        <w:rFonts w:ascii="仿宋_GB2312" w:hAnsi="仿宋_GB2312" w:cs="仿宋_GB2312" w:hint="eastAsia"/>
        <w:sz w:val="21"/>
        <w:szCs w:val="21"/>
      </w:rPr>
      <w:t>水土保持投资概算及效益分析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5807594"/>
    <w:multiLevelType w:val="singleLevel"/>
    <w:tmpl w:val="F5807594"/>
    <w:lvl w:ilvl="0">
      <w:start w:val="1"/>
      <w:numFmt w:val="decimal"/>
      <w:pStyle w:val="5"/>
      <w:lvlText w:val="%1."/>
      <w:lvlJc w:val="left"/>
      <w:pPr>
        <w:tabs>
          <w:tab w:val="left" w:pos="2040"/>
        </w:tabs>
        <w:ind w:left="2040" w:hanging="360"/>
      </w:pPr>
    </w:lvl>
  </w:abstractNum>
  <w:abstractNum w:abstractNumId="1">
    <w:nsid w:val="0000000D"/>
    <w:multiLevelType w:val="multilevel"/>
    <w:tmpl w:val="0000000D"/>
    <w:lvl w:ilvl="0">
      <w:start w:val="1"/>
      <w:numFmt w:val="decimal"/>
      <w:isLgl/>
      <w:lvlText w:val="%1"/>
      <w:lvlJc w:val="left"/>
      <w:pPr>
        <w:tabs>
          <w:tab w:val="left" w:pos="454"/>
        </w:tabs>
        <w:ind w:left="432" w:hanging="432"/>
      </w:pPr>
      <w:rPr>
        <w:rFonts w:ascii="黑体" w:eastAsia="黑体" w:hint="eastAsia"/>
        <w:b w:val="0"/>
        <w:i w:val="0"/>
        <w:sz w:val="28"/>
        <w:szCs w:val="28"/>
      </w:rPr>
    </w:lvl>
    <w:lvl w:ilvl="1">
      <w:start w:val="1"/>
      <w:numFmt w:val="decimal"/>
      <w:isLgl/>
      <w:lvlText w:val="%1.%2"/>
      <w:lvlJc w:val="left"/>
      <w:pPr>
        <w:tabs>
          <w:tab w:val="left" w:pos="794"/>
        </w:tabs>
        <w:ind w:left="0" w:firstLine="0"/>
      </w:pPr>
      <w:rPr>
        <w:rFonts w:ascii="黑体" w:eastAsia="黑体" w:hint="eastAsia"/>
        <w:b w:val="0"/>
        <w:i w:val="0"/>
        <w:sz w:val="28"/>
        <w:szCs w:val="28"/>
      </w:rPr>
    </w:lvl>
    <w:lvl w:ilvl="2">
      <w:start w:val="1"/>
      <w:numFmt w:val="decimal"/>
      <w:isLgl/>
      <w:lvlText w:val="%1.%2.%3"/>
      <w:lvlJc w:val="left"/>
      <w:pPr>
        <w:tabs>
          <w:tab w:val="left" w:pos="964"/>
        </w:tabs>
        <w:ind w:left="720" w:hanging="720"/>
      </w:pPr>
    </w:lvl>
    <w:lvl w:ilvl="3">
      <w:start w:val="1"/>
      <w:numFmt w:val="decimal"/>
      <w:pStyle w:val="4"/>
      <w:isLgl/>
      <w:lvlText w:val="%1.%2.%3.%4"/>
      <w:lvlJc w:val="left"/>
      <w:pPr>
        <w:tabs>
          <w:tab w:val="left" w:pos="1289"/>
        </w:tabs>
        <w:ind w:left="1289" w:hanging="864"/>
      </w:pPr>
    </w:lvl>
    <w:lvl w:ilvl="4">
      <w:start w:val="1"/>
      <w:numFmt w:val="decimal"/>
      <w:lvlRestart w:val="2"/>
      <w:isLgl/>
      <w:lvlText w:val="表%1.%2-%5"/>
      <w:lvlJc w:val="left"/>
      <w:pPr>
        <w:tabs>
          <w:tab w:val="left" w:pos="1008"/>
        </w:tabs>
        <w:ind w:left="1008" w:hanging="1008"/>
      </w:pPr>
      <w:rPr>
        <w:color w:val="auto"/>
      </w:rPr>
    </w:lvl>
    <w:lvl w:ilvl="5">
      <w:start w:val="1"/>
      <w:numFmt w:val="decimal"/>
      <w:lvlRestart w:val="2"/>
      <w:isLgl/>
      <w:lvlText w:val="图%1.%2-%6"/>
      <w:lvlJc w:val="left"/>
      <w:pPr>
        <w:tabs>
          <w:tab w:val="left" w:pos="1077"/>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
    <w:nsid w:val="397E7FF2"/>
    <w:multiLevelType w:val="singleLevel"/>
    <w:tmpl w:val="397E7FF2"/>
    <w:lvl w:ilvl="0">
      <w:start w:val="1"/>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HorizontalSpacing w:val="120"/>
  <w:drawingGridVerticalSpacing w:val="163"/>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B150471"/>
    <w:rsid w:val="000031BA"/>
    <w:rsid w:val="000106F1"/>
    <w:rsid w:val="00032296"/>
    <w:rsid w:val="000366F8"/>
    <w:rsid w:val="000645DF"/>
    <w:rsid w:val="0006735A"/>
    <w:rsid w:val="000748B1"/>
    <w:rsid w:val="0009027D"/>
    <w:rsid w:val="00094722"/>
    <w:rsid w:val="000C775A"/>
    <w:rsid w:val="000D180D"/>
    <w:rsid w:val="000D18C1"/>
    <w:rsid w:val="00102CDE"/>
    <w:rsid w:val="00103173"/>
    <w:rsid w:val="00111745"/>
    <w:rsid w:val="001128A4"/>
    <w:rsid w:val="00116257"/>
    <w:rsid w:val="00136BC0"/>
    <w:rsid w:val="00147E9F"/>
    <w:rsid w:val="00153DEF"/>
    <w:rsid w:val="00167E3A"/>
    <w:rsid w:val="001802AB"/>
    <w:rsid w:val="001874EF"/>
    <w:rsid w:val="001C039A"/>
    <w:rsid w:val="001D2409"/>
    <w:rsid w:val="001D646B"/>
    <w:rsid w:val="001E20D5"/>
    <w:rsid w:val="001E2DBD"/>
    <w:rsid w:val="001F7BDF"/>
    <w:rsid w:val="00200D23"/>
    <w:rsid w:val="002019FA"/>
    <w:rsid w:val="0021079E"/>
    <w:rsid w:val="0022186B"/>
    <w:rsid w:val="002345F8"/>
    <w:rsid w:val="00242E60"/>
    <w:rsid w:val="00242F97"/>
    <w:rsid w:val="00254873"/>
    <w:rsid w:val="0026291C"/>
    <w:rsid w:val="0027568B"/>
    <w:rsid w:val="00275A1E"/>
    <w:rsid w:val="002A7427"/>
    <w:rsid w:val="002B69C8"/>
    <w:rsid w:val="002D5F07"/>
    <w:rsid w:val="002E71E6"/>
    <w:rsid w:val="003036A5"/>
    <w:rsid w:val="003051FA"/>
    <w:rsid w:val="00315B69"/>
    <w:rsid w:val="00336FE9"/>
    <w:rsid w:val="00371342"/>
    <w:rsid w:val="003724A7"/>
    <w:rsid w:val="00373DD7"/>
    <w:rsid w:val="00393D45"/>
    <w:rsid w:val="003A275C"/>
    <w:rsid w:val="003B2317"/>
    <w:rsid w:val="003C0D06"/>
    <w:rsid w:val="003D0835"/>
    <w:rsid w:val="003E0F57"/>
    <w:rsid w:val="003E16D1"/>
    <w:rsid w:val="003E5448"/>
    <w:rsid w:val="004249E7"/>
    <w:rsid w:val="00452E58"/>
    <w:rsid w:val="0047725A"/>
    <w:rsid w:val="004900EA"/>
    <w:rsid w:val="004B26D2"/>
    <w:rsid w:val="004E17AF"/>
    <w:rsid w:val="004E3299"/>
    <w:rsid w:val="00507063"/>
    <w:rsid w:val="0051076D"/>
    <w:rsid w:val="00517C2B"/>
    <w:rsid w:val="00522177"/>
    <w:rsid w:val="00525398"/>
    <w:rsid w:val="0053155C"/>
    <w:rsid w:val="00543D26"/>
    <w:rsid w:val="005450A3"/>
    <w:rsid w:val="00547E7A"/>
    <w:rsid w:val="005912B4"/>
    <w:rsid w:val="005A15D2"/>
    <w:rsid w:val="005C5505"/>
    <w:rsid w:val="005D7C86"/>
    <w:rsid w:val="00610AFB"/>
    <w:rsid w:val="00641589"/>
    <w:rsid w:val="00686956"/>
    <w:rsid w:val="006873B9"/>
    <w:rsid w:val="00697832"/>
    <w:rsid w:val="006A5439"/>
    <w:rsid w:val="006A65FD"/>
    <w:rsid w:val="006B08F4"/>
    <w:rsid w:val="006B2707"/>
    <w:rsid w:val="006B4988"/>
    <w:rsid w:val="006D0DF6"/>
    <w:rsid w:val="006D4C32"/>
    <w:rsid w:val="006E44D0"/>
    <w:rsid w:val="006F391D"/>
    <w:rsid w:val="00705EA1"/>
    <w:rsid w:val="007148FE"/>
    <w:rsid w:val="00731369"/>
    <w:rsid w:val="007318B0"/>
    <w:rsid w:val="00742455"/>
    <w:rsid w:val="007448AD"/>
    <w:rsid w:val="00763C9D"/>
    <w:rsid w:val="00774AE6"/>
    <w:rsid w:val="00793CAA"/>
    <w:rsid w:val="007B529B"/>
    <w:rsid w:val="007B64CC"/>
    <w:rsid w:val="007D3B6D"/>
    <w:rsid w:val="007E6ECF"/>
    <w:rsid w:val="007F2965"/>
    <w:rsid w:val="00817492"/>
    <w:rsid w:val="00820877"/>
    <w:rsid w:val="0084516E"/>
    <w:rsid w:val="00845E28"/>
    <w:rsid w:val="00847C60"/>
    <w:rsid w:val="008524FB"/>
    <w:rsid w:val="008640A4"/>
    <w:rsid w:val="008669D3"/>
    <w:rsid w:val="00875A49"/>
    <w:rsid w:val="00881AE8"/>
    <w:rsid w:val="00886FF5"/>
    <w:rsid w:val="008912CA"/>
    <w:rsid w:val="00897A48"/>
    <w:rsid w:val="008A396D"/>
    <w:rsid w:val="008A4B28"/>
    <w:rsid w:val="008B068A"/>
    <w:rsid w:val="008C3579"/>
    <w:rsid w:val="008C3FF8"/>
    <w:rsid w:val="008E4B34"/>
    <w:rsid w:val="008E4D92"/>
    <w:rsid w:val="008E50C0"/>
    <w:rsid w:val="008E7F15"/>
    <w:rsid w:val="008F32AD"/>
    <w:rsid w:val="00902D7F"/>
    <w:rsid w:val="00927C4A"/>
    <w:rsid w:val="009352C8"/>
    <w:rsid w:val="00935DFD"/>
    <w:rsid w:val="00956768"/>
    <w:rsid w:val="0095796A"/>
    <w:rsid w:val="00981AF8"/>
    <w:rsid w:val="00987DE7"/>
    <w:rsid w:val="009905AB"/>
    <w:rsid w:val="009D021F"/>
    <w:rsid w:val="009D3C1C"/>
    <w:rsid w:val="009F6D6E"/>
    <w:rsid w:val="00A1237F"/>
    <w:rsid w:val="00A16BD1"/>
    <w:rsid w:val="00A16F39"/>
    <w:rsid w:val="00A4176A"/>
    <w:rsid w:val="00A50FD8"/>
    <w:rsid w:val="00A51747"/>
    <w:rsid w:val="00A56025"/>
    <w:rsid w:val="00A66240"/>
    <w:rsid w:val="00A81743"/>
    <w:rsid w:val="00A84C55"/>
    <w:rsid w:val="00A85A90"/>
    <w:rsid w:val="00A87273"/>
    <w:rsid w:val="00A87558"/>
    <w:rsid w:val="00A92920"/>
    <w:rsid w:val="00AB1A76"/>
    <w:rsid w:val="00AB668D"/>
    <w:rsid w:val="00AC17F5"/>
    <w:rsid w:val="00AC6EC7"/>
    <w:rsid w:val="00AC74B6"/>
    <w:rsid w:val="00AE19BA"/>
    <w:rsid w:val="00AE314B"/>
    <w:rsid w:val="00AF3199"/>
    <w:rsid w:val="00B06286"/>
    <w:rsid w:val="00B20B37"/>
    <w:rsid w:val="00B2196C"/>
    <w:rsid w:val="00B533D4"/>
    <w:rsid w:val="00B53B3D"/>
    <w:rsid w:val="00B809B1"/>
    <w:rsid w:val="00B85B0C"/>
    <w:rsid w:val="00BA3708"/>
    <w:rsid w:val="00BB29D6"/>
    <w:rsid w:val="00BC5693"/>
    <w:rsid w:val="00BD47DD"/>
    <w:rsid w:val="00BD59E1"/>
    <w:rsid w:val="00BE3CD6"/>
    <w:rsid w:val="00BE3E1A"/>
    <w:rsid w:val="00BE4ADD"/>
    <w:rsid w:val="00BE6922"/>
    <w:rsid w:val="00BF277B"/>
    <w:rsid w:val="00BF38E3"/>
    <w:rsid w:val="00BF702B"/>
    <w:rsid w:val="00C05B13"/>
    <w:rsid w:val="00C27E7A"/>
    <w:rsid w:val="00C46307"/>
    <w:rsid w:val="00C709F4"/>
    <w:rsid w:val="00C71791"/>
    <w:rsid w:val="00C9597D"/>
    <w:rsid w:val="00CD33F6"/>
    <w:rsid w:val="00CD7371"/>
    <w:rsid w:val="00CE2021"/>
    <w:rsid w:val="00CF4A93"/>
    <w:rsid w:val="00CF7B68"/>
    <w:rsid w:val="00D044FF"/>
    <w:rsid w:val="00D1663C"/>
    <w:rsid w:val="00D351B2"/>
    <w:rsid w:val="00D4246F"/>
    <w:rsid w:val="00D45FDD"/>
    <w:rsid w:val="00D604A7"/>
    <w:rsid w:val="00D66AC4"/>
    <w:rsid w:val="00D66FD8"/>
    <w:rsid w:val="00D70EBA"/>
    <w:rsid w:val="00D80EFC"/>
    <w:rsid w:val="00D83FB6"/>
    <w:rsid w:val="00D85C21"/>
    <w:rsid w:val="00DC798E"/>
    <w:rsid w:val="00DF71A5"/>
    <w:rsid w:val="00E03690"/>
    <w:rsid w:val="00E32597"/>
    <w:rsid w:val="00E610C5"/>
    <w:rsid w:val="00E669C9"/>
    <w:rsid w:val="00E70CB2"/>
    <w:rsid w:val="00E7196F"/>
    <w:rsid w:val="00E911E4"/>
    <w:rsid w:val="00E95CE9"/>
    <w:rsid w:val="00EB359C"/>
    <w:rsid w:val="00EB3918"/>
    <w:rsid w:val="00EC0592"/>
    <w:rsid w:val="00EC34B7"/>
    <w:rsid w:val="00EF3431"/>
    <w:rsid w:val="00F122E7"/>
    <w:rsid w:val="00F16641"/>
    <w:rsid w:val="00F2115C"/>
    <w:rsid w:val="00F24705"/>
    <w:rsid w:val="00F31ECE"/>
    <w:rsid w:val="00F32293"/>
    <w:rsid w:val="00F43430"/>
    <w:rsid w:val="00F7214E"/>
    <w:rsid w:val="00F73672"/>
    <w:rsid w:val="00F752F3"/>
    <w:rsid w:val="00F87C13"/>
    <w:rsid w:val="00FB1536"/>
    <w:rsid w:val="00FB413B"/>
    <w:rsid w:val="01384A1D"/>
    <w:rsid w:val="02217791"/>
    <w:rsid w:val="030D5CD8"/>
    <w:rsid w:val="031975FC"/>
    <w:rsid w:val="04102AC1"/>
    <w:rsid w:val="04441F35"/>
    <w:rsid w:val="04714F92"/>
    <w:rsid w:val="04A06E8F"/>
    <w:rsid w:val="05247458"/>
    <w:rsid w:val="05554CC3"/>
    <w:rsid w:val="057B31F1"/>
    <w:rsid w:val="05B67E1C"/>
    <w:rsid w:val="06503782"/>
    <w:rsid w:val="06B50E15"/>
    <w:rsid w:val="06C73F10"/>
    <w:rsid w:val="0707027B"/>
    <w:rsid w:val="0756493E"/>
    <w:rsid w:val="07E25605"/>
    <w:rsid w:val="07F05746"/>
    <w:rsid w:val="081C0F7E"/>
    <w:rsid w:val="083B4CF6"/>
    <w:rsid w:val="086B0758"/>
    <w:rsid w:val="086F65A5"/>
    <w:rsid w:val="09450156"/>
    <w:rsid w:val="09DF1708"/>
    <w:rsid w:val="0A6F047A"/>
    <w:rsid w:val="0ADD085C"/>
    <w:rsid w:val="0BAA589E"/>
    <w:rsid w:val="0BC830D3"/>
    <w:rsid w:val="0CD60D8E"/>
    <w:rsid w:val="0CE86FE6"/>
    <w:rsid w:val="0DFF7AB0"/>
    <w:rsid w:val="0E346A75"/>
    <w:rsid w:val="0E6940D9"/>
    <w:rsid w:val="0EBB29D2"/>
    <w:rsid w:val="0EF31B44"/>
    <w:rsid w:val="0F281687"/>
    <w:rsid w:val="0F30790E"/>
    <w:rsid w:val="0F375874"/>
    <w:rsid w:val="0F4A3D9B"/>
    <w:rsid w:val="0F7C6301"/>
    <w:rsid w:val="0FA92FCD"/>
    <w:rsid w:val="0FBE1D4C"/>
    <w:rsid w:val="102677F2"/>
    <w:rsid w:val="10760831"/>
    <w:rsid w:val="10B54463"/>
    <w:rsid w:val="10C02DF2"/>
    <w:rsid w:val="10ED7D07"/>
    <w:rsid w:val="11176C7B"/>
    <w:rsid w:val="11DE043A"/>
    <w:rsid w:val="11E44F1C"/>
    <w:rsid w:val="11E91977"/>
    <w:rsid w:val="13713F32"/>
    <w:rsid w:val="13B73D35"/>
    <w:rsid w:val="13D53B38"/>
    <w:rsid w:val="13FC3D9B"/>
    <w:rsid w:val="14652843"/>
    <w:rsid w:val="1529017A"/>
    <w:rsid w:val="165C0EEA"/>
    <w:rsid w:val="168057AC"/>
    <w:rsid w:val="16C51EF9"/>
    <w:rsid w:val="16C83B1A"/>
    <w:rsid w:val="16E523B4"/>
    <w:rsid w:val="170B724A"/>
    <w:rsid w:val="171362B5"/>
    <w:rsid w:val="173C2830"/>
    <w:rsid w:val="1838519E"/>
    <w:rsid w:val="186969F7"/>
    <w:rsid w:val="1899167A"/>
    <w:rsid w:val="18A62EB7"/>
    <w:rsid w:val="191573DC"/>
    <w:rsid w:val="192E13E5"/>
    <w:rsid w:val="19406053"/>
    <w:rsid w:val="194824BB"/>
    <w:rsid w:val="19A347B2"/>
    <w:rsid w:val="1A5907D0"/>
    <w:rsid w:val="1AB83143"/>
    <w:rsid w:val="1B4B711B"/>
    <w:rsid w:val="1B623A73"/>
    <w:rsid w:val="1B7A416E"/>
    <w:rsid w:val="1BBE181B"/>
    <w:rsid w:val="1C09103E"/>
    <w:rsid w:val="1C3815D4"/>
    <w:rsid w:val="1C724F57"/>
    <w:rsid w:val="1D6A0962"/>
    <w:rsid w:val="1D726A71"/>
    <w:rsid w:val="1D9779A5"/>
    <w:rsid w:val="1E605BD5"/>
    <w:rsid w:val="1F563321"/>
    <w:rsid w:val="1FA42F99"/>
    <w:rsid w:val="20B8162E"/>
    <w:rsid w:val="231A4201"/>
    <w:rsid w:val="23561FB1"/>
    <w:rsid w:val="239D57D0"/>
    <w:rsid w:val="23B40FB4"/>
    <w:rsid w:val="23D64596"/>
    <w:rsid w:val="240654F8"/>
    <w:rsid w:val="243E52CD"/>
    <w:rsid w:val="24580705"/>
    <w:rsid w:val="24A347B8"/>
    <w:rsid w:val="24BF7BE7"/>
    <w:rsid w:val="24E12761"/>
    <w:rsid w:val="24EC7758"/>
    <w:rsid w:val="25E55123"/>
    <w:rsid w:val="260345A2"/>
    <w:rsid w:val="26484232"/>
    <w:rsid w:val="27B33FE4"/>
    <w:rsid w:val="281E7463"/>
    <w:rsid w:val="285824CE"/>
    <w:rsid w:val="28C77D47"/>
    <w:rsid w:val="292574ED"/>
    <w:rsid w:val="29731C68"/>
    <w:rsid w:val="29785EF3"/>
    <w:rsid w:val="298B1110"/>
    <w:rsid w:val="29D8470F"/>
    <w:rsid w:val="29D93B6C"/>
    <w:rsid w:val="29EB3D84"/>
    <w:rsid w:val="2A35648E"/>
    <w:rsid w:val="2A5F4808"/>
    <w:rsid w:val="2A6B2CCD"/>
    <w:rsid w:val="2ACC5B38"/>
    <w:rsid w:val="2AED2771"/>
    <w:rsid w:val="2B096EFF"/>
    <w:rsid w:val="2B563FCB"/>
    <w:rsid w:val="2B6A2D92"/>
    <w:rsid w:val="2C605CB7"/>
    <w:rsid w:val="2CD24BBA"/>
    <w:rsid w:val="2CF76590"/>
    <w:rsid w:val="2D2C187F"/>
    <w:rsid w:val="2D7E3749"/>
    <w:rsid w:val="2E050E60"/>
    <w:rsid w:val="2EEC4EAC"/>
    <w:rsid w:val="2F5E6B71"/>
    <w:rsid w:val="2F6F2331"/>
    <w:rsid w:val="2FB46119"/>
    <w:rsid w:val="300261E3"/>
    <w:rsid w:val="30F11892"/>
    <w:rsid w:val="30FA37A7"/>
    <w:rsid w:val="31435EF9"/>
    <w:rsid w:val="31CD691C"/>
    <w:rsid w:val="32624EBF"/>
    <w:rsid w:val="32E657EF"/>
    <w:rsid w:val="33462E2F"/>
    <w:rsid w:val="344E53B3"/>
    <w:rsid w:val="34A40CAA"/>
    <w:rsid w:val="34ED31FD"/>
    <w:rsid w:val="35025433"/>
    <w:rsid w:val="35AC10E5"/>
    <w:rsid w:val="35F95D43"/>
    <w:rsid w:val="361C7A5A"/>
    <w:rsid w:val="3639195A"/>
    <w:rsid w:val="367351AF"/>
    <w:rsid w:val="36E06ACF"/>
    <w:rsid w:val="370E7962"/>
    <w:rsid w:val="374A21FF"/>
    <w:rsid w:val="3759403F"/>
    <w:rsid w:val="37815A20"/>
    <w:rsid w:val="37A1384F"/>
    <w:rsid w:val="385000D2"/>
    <w:rsid w:val="38632962"/>
    <w:rsid w:val="38635402"/>
    <w:rsid w:val="38807E19"/>
    <w:rsid w:val="38C61286"/>
    <w:rsid w:val="39173392"/>
    <w:rsid w:val="39285FB8"/>
    <w:rsid w:val="394D7448"/>
    <w:rsid w:val="3A7D0F97"/>
    <w:rsid w:val="3B6E3033"/>
    <w:rsid w:val="3B831D46"/>
    <w:rsid w:val="3B8A493E"/>
    <w:rsid w:val="3BE74548"/>
    <w:rsid w:val="3BFB75CF"/>
    <w:rsid w:val="3C747608"/>
    <w:rsid w:val="3C885FEA"/>
    <w:rsid w:val="3CAD0390"/>
    <w:rsid w:val="3D0A7D6D"/>
    <w:rsid w:val="3D745EB9"/>
    <w:rsid w:val="3D792857"/>
    <w:rsid w:val="3D8A6F3E"/>
    <w:rsid w:val="3DAA1B1F"/>
    <w:rsid w:val="3E220070"/>
    <w:rsid w:val="3EC908A3"/>
    <w:rsid w:val="3ECB6A21"/>
    <w:rsid w:val="3EDE5286"/>
    <w:rsid w:val="3EFD4119"/>
    <w:rsid w:val="3F137891"/>
    <w:rsid w:val="4079723A"/>
    <w:rsid w:val="41802F32"/>
    <w:rsid w:val="41C33AAB"/>
    <w:rsid w:val="41D76CD1"/>
    <w:rsid w:val="41E1405C"/>
    <w:rsid w:val="41F229E8"/>
    <w:rsid w:val="41FB585E"/>
    <w:rsid w:val="4203284D"/>
    <w:rsid w:val="42042C05"/>
    <w:rsid w:val="4215733B"/>
    <w:rsid w:val="42200B3B"/>
    <w:rsid w:val="428A009B"/>
    <w:rsid w:val="428D4F27"/>
    <w:rsid w:val="42DB280A"/>
    <w:rsid w:val="43204403"/>
    <w:rsid w:val="4323183B"/>
    <w:rsid w:val="43A67B79"/>
    <w:rsid w:val="43C41767"/>
    <w:rsid w:val="443D760D"/>
    <w:rsid w:val="444F60D8"/>
    <w:rsid w:val="453D3EA7"/>
    <w:rsid w:val="45691774"/>
    <w:rsid w:val="45B32889"/>
    <w:rsid w:val="45CC2D35"/>
    <w:rsid w:val="46414540"/>
    <w:rsid w:val="474318E1"/>
    <w:rsid w:val="476526F9"/>
    <w:rsid w:val="47AB3A52"/>
    <w:rsid w:val="47B24202"/>
    <w:rsid w:val="483F3715"/>
    <w:rsid w:val="4883051D"/>
    <w:rsid w:val="48854572"/>
    <w:rsid w:val="48900411"/>
    <w:rsid w:val="48B9127F"/>
    <w:rsid w:val="496E4055"/>
    <w:rsid w:val="49993904"/>
    <w:rsid w:val="49C0310D"/>
    <w:rsid w:val="4A1A17C6"/>
    <w:rsid w:val="4AEC1F95"/>
    <w:rsid w:val="4C5B0523"/>
    <w:rsid w:val="4C607AFD"/>
    <w:rsid w:val="4CAB667D"/>
    <w:rsid w:val="4CD557C1"/>
    <w:rsid w:val="4CF25C99"/>
    <w:rsid w:val="4D9E0485"/>
    <w:rsid w:val="4DD62609"/>
    <w:rsid w:val="4E2B0DF4"/>
    <w:rsid w:val="4EAC1061"/>
    <w:rsid w:val="4EE87F2F"/>
    <w:rsid w:val="4F147ECD"/>
    <w:rsid w:val="4F471793"/>
    <w:rsid w:val="4FC72935"/>
    <w:rsid w:val="4FC763E9"/>
    <w:rsid w:val="50275685"/>
    <w:rsid w:val="50617B3D"/>
    <w:rsid w:val="50A6690A"/>
    <w:rsid w:val="50D50F1E"/>
    <w:rsid w:val="510E39E5"/>
    <w:rsid w:val="51B34C5D"/>
    <w:rsid w:val="522D61B1"/>
    <w:rsid w:val="52385CA9"/>
    <w:rsid w:val="525317B3"/>
    <w:rsid w:val="52776B91"/>
    <w:rsid w:val="53AF7C8A"/>
    <w:rsid w:val="53F41BD8"/>
    <w:rsid w:val="54335C6A"/>
    <w:rsid w:val="5496016B"/>
    <w:rsid w:val="54BA6846"/>
    <w:rsid w:val="54EC7BA5"/>
    <w:rsid w:val="55A55501"/>
    <w:rsid w:val="55B41CC8"/>
    <w:rsid w:val="55B954E9"/>
    <w:rsid w:val="56A44830"/>
    <w:rsid w:val="56A92F20"/>
    <w:rsid w:val="573569C7"/>
    <w:rsid w:val="579234A8"/>
    <w:rsid w:val="57A44268"/>
    <w:rsid w:val="58E958D7"/>
    <w:rsid w:val="59385550"/>
    <w:rsid w:val="596E6DB8"/>
    <w:rsid w:val="5A216575"/>
    <w:rsid w:val="5AD962A4"/>
    <w:rsid w:val="5B292F37"/>
    <w:rsid w:val="5B377BB0"/>
    <w:rsid w:val="5B62530A"/>
    <w:rsid w:val="5BCB55F8"/>
    <w:rsid w:val="5C353B21"/>
    <w:rsid w:val="5C51134B"/>
    <w:rsid w:val="5C833CCD"/>
    <w:rsid w:val="5CC873BA"/>
    <w:rsid w:val="5D6A2070"/>
    <w:rsid w:val="5DD807CF"/>
    <w:rsid w:val="5E093DC1"/>
    <w:rsid w:val="5E8A6D72"/>
    <w:rsid w:val="5F110945"/>
    <w:rsid w:val="5F27593E"/>
    <w:rsid w:val="5F404CD8"/>
    <w:rsid w:val="5F6A7FE9"/>
    <w:rsid w:val="61432179"/>
    <w:rsid w:val="619E0C93"/>
    <w:rsid w:val="61AE12F2"/>
    <w:rsid w:val="624034C6"/>
    <w:rsid w:val="6245659C"/>
    <w:rsid w:val="62A840B5"/>
    <w:rsid w:val="62D347C6"/>
    <w:rsid w:val="63055F06"/>
    <w:rsid w:val="632E5258"/>
    <w:rsid w:val="633A2648"/>
    <w:rsid w:val="635A42A7"/>
    <w:rsid w:val="64A26432"/>
    <w:rsid w:val="64AF0585"/>
    <w:rsid w:val="64B15A6B"/>
    <w:rsid w:val="653965BF"/>
    <w:rsid w:val="6578669C"/>
    <w:rsid w:val="66206EDB"/>
    <w:rsid w:val="665D46F4"/>
    <w:rsid w:val="668C4C54"/>
    <w:rsid w:val="67B142B1"/>
    <w:rsid w:val="67DB656E"/>
    <w:rsid w:val="68A701EB"/>
    <w:rsid w:val="68D6739D"/>
    <w:rsid w:val="69101727"/>
    <w:rsid w:val="69184E7F"/>
    <w:rsid w:val="697353E7"/>
    <w:rsid w:val="699053E3"/>
    <w:rsid w:val="69C956EA"/>
    <w:rsid w:val="6A1C2BEF"/>
    <w:rsid w:val="6A424BBC"/>
    <w:rsid w:val="6A7625E4"/>
    <w:rsid w:val="6AAA7A92"/>
    <w:rsid w:val="6B1049BC"/>
    <w:rsid w:val="6B304C79"/>
    <w:rsid w:val="6B374F9E"/>
    <w:rsid w:val="6B585419"/>
    <w:rsid w:val="6B6B6DB2"/>
    <w:rsid w:val="6C896D4C"/>
    <w:rsid w:val="6CA44173"/>
    <w:rsid w:val="6D274CBD"/>
    <w:rsid w:val="6D9A7E21"/>
    <w:rsid w:val="6E1F0C07"/>
    <w:rsid w:val="6E9558E1"/>
    <w:rsid w:val="6FE85C0D"/>
    <w:rsid w:val="6FED55A5"/>
    <w:rsid w:val="700852F2"/>
    <w:rsid w:val="70502A44"/>
    <w:rsid w:val="70994CD6"/>
    <w:rsid w:val="70BF6F8B"/>
    <w:rsid w:val="717500D1"/>
    <w:rsid w:val="718656FD"/>
    <w:rsid w:val="71C97B42"/>
    <w:rsid w:val="72BD7A14"/>
    <w:rsid w:val="72E60096"/>
    <w:rsid w:val="730E2EAF"/>
    <w:rsid w:val="73CA4BC2"/>
    <w:rsid w:val="73D44DBD"/>
    <w:rsid w:val="73DE4496"/>
    <w:rsid w:val="73E1099C"/>
    <w:rsid w:val="749A7E56"/>
    <w:rsid w:val="75051E60"/>
    <w:rsid w:val="75B84E2C"/>
    <w:rsid w:val="75E048D4"/>
    <w:rsid w:val="76111F0C"/>
    <w:rsid w:val="7694079C"/>
    <w:rsid w:val="76AB6427"/>
    <w:rsid w:val="76BC1AC7"/>
    <w:rsid w:val="77CE7CAC"/>
    <w:rsid w:val="77DD72E3"/>
    <w:rsid w:val="780005E3"/>
    <w:rsid w:val="78910368"/>
    <w:rsid w:val="78EA2DC5"/>
    <w:rsid w:val="79147D34"/>
    <w:rsid w:val="79622E2C"/>
    <w:rsid w:val="79661C2E"/>
    <w:rsid w:val="79B27E52"/>
    <w:rsid w:val="7A116803"/>
    <w:rsid w:val="7A885935"/>
    <w:rsid w:val="7A9E24BE"/>
    <w:rsid w:val="7AFB65DA"/>
    <w:rsid w:val="7B150471"/>
    <w:rsid w:val="7B4064FF"/>
    <w:rsid w:val="7C6C284E"/>
    <w:rsid w:val="7C813A8D"/>
    <w:rsid w:val="7D1F2C4C"/>
    <w:rsid w:val="7D2271BA"/>
    <w:rsid w:val="7D5837AB"/>
    <w:rsid w:val="7E176584"/>
    <w:rsid w:val="7E520997"/>
    <w:rsid w:val="7EDB2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9EAF7246-64E1-45E5-8913-3F45FFAA89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Normal Indent" w:uiPriority="99" w:qFormat="1"/>
    <w:lsdException w:name="annotation text" w:uiPriority="99" w:unhideWhenUsed="1" w:qFormat="1"/>
    <w:lsdException w:name="header" w:qFormat="1"/>
    <w:lsdException w:name="footer" w:uiPriority="99" w:qFormat="1"/>
    <w:lsdException w:name="caption" w:semiHidden="1" w:unhideWhenUsed="1" w:qFormat="1"/>
    <w:lsdException w:name="List" w:qFormat="1"/>
    <w:lsdException w:name="List Number 5" w:qFormat="1"/>
    <w:lsdException w:name="Title" w:qFormat="1"/>
    <w:lsdException w:name="Default Paragraph Font" w:semiHidden="1" w:uiPriority="1" w:unhideWhenUsed="1" w:qFormat="1"/>
    <w:lsdException w:name="Body Text" w:qFormat="1"/>
    <w:lsdException w:name="Body Text Indent" w:uiPriority="99" w:qFormat="1"/>
    <w:lsdException w:name="Subtitle" w:qFormat="1"/>
    <w:lsdException w:name="Body Text Indent 3" w:qFormat="1"/>
    <w:lsdException w:name="Hyperlink" w:uiPriority="99" w:unhideWhenUsed="1"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adjustRightInd w:val="0"/>
      <w:snapToGrid w:val="0"/>
      <w:jc w:val="both"/>
    </w:pPr>
    <w:rPr>
      <w:rFonts w:eastAsia="仿宋_GB2312"/>
      <w:kern w:val="2"/>
      <w:sz w:val="24"/>
    </w:rPr>
  </w:style>
  <w:style w:type="paragraph" w:styleId="1">
    <w:name w:val="heading 1"/>
    <w:basedOn w:val="a"/>
    <w:next w:val="a"/>
    <w:link w:val="1Char"/>
    <w:qFormat/>
    <w:pPr>
      <w:keepNext/>
      <w:keepLines/>
      <w:spacing w:line="360" w:lineRule="auto"/>
      <w:outlineLvl w:val="0"/>
    </w:pPr>
    <w:rPr>
      <w:b/>
      <w:sz w:val="32"/>
    </w:rPr>
  </w:style>
  <w:style w:type="paragraph" w:styleId="2">
    <w:name w:val="heading 2"/>
    <w:basedOn w:val="a"/>
    <w:next w:val="a"/>
    <w:link w:val="2Char"/>
    <w:unhideWhenUsed/>
    <w:qFormat/>
    <w:pPr>
      <w:outlineLvl w:val="1"/>
    </w:pPr>
    <w:rPr>
      <w:spacing w:val="6"/>
      <w:sz w:val="30"/>
    </w:rPr>
  </w:style>
  <w:style w:type="paragraph" w:styleId="3">
    <w:name w:val="heading 3"/>
    <w:basedOn w:val="a"/>
    <w:next w:val="a"/>
    <w:link w:val="3Char"/>
    <w:unhideWhenUsed/>
    <w:qFormat/>
    <w:pPr>
      <w:keepNext/>
      <w:keepLines/>
      <w:spacing w:line="360" w:lineRule="auto"/>
      <w:outlineLvl w:val="2"/>
    </w:pPr>
    <w:rPr>
      <w:b/>
      <w:spacing w:val="6"/>
      <w:sz w:val="28"/>
    </w:rPr>
  </w:style>
  <w:style w:type="paragraph" w:styleId="4">
    <w:name w:val="heading 4"/>
    <w:basedOn w:val="a"/>
    <w:next w:val="a"/>
    <w:link w:val="4Char"/>
    <w:qFormat/>
    <w:pPr>
      <w:keepNext/>
      <w:keepLines/>
      <w:numPr>
        <w:ilvl w:val="3"/>
        <w:numId w:val="1"/>
      </w:numPr>
      <w:tabs>
        <w:tab w:val="clear" w:pos="1289"/>
        <w:tab w:val="left" w:pos="1224"/>
      </w:tabs>
      <w:spacing w:line="360" w:lineRule="auto"/>
      <w:ind w:left="0" w:firstLineChars="200" w:firstLine="482"/>
      <w:outlineLvl w:val="3"/>
    </w:pPr>
    <w:rPr>
      <w:b/>
      <w:color w:val="000000"/>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4"/>
    <w:link w:val="Char"/>
    <w:qFormat/>
    <w:pPr>
      <w:spacing w:after="120"/>
    </w:pPr>
    <w:rPr>
      <w:sz w:val="21"/>
    </w:rPr>
  </w:style>
  <w:style w:type="paragraph" w:styleId="a4">
    <w:name w:val="Body Text Indent"/>
    <w:basedOn w:val="a"/>
    <w:next w:val="a"/>
    <w:uiPriority w:val="99"/>
    <w:qFormat/>
    <w:pPr>
      <w:spacing w:after="120"/>
      <w:ind w:leftChars="200" w:left="420"/>
    </w:pPr>
    <w:rPr>
      <w:rFonts w:eastAsia="宋体"/>
    </w:rPr>
  </w:style>
  <w:style w:type="paragraph" w:styleId="a5">
    <w:name w:val="Normal Indent"/>
    <w:basedOn w:val="a"/>
    <w:uiPriority w:val="99"/>
    <w:qFormat/>
    <w:pPr>
      <w:ind w:firstLineChars="200" w:firstLine="664"/>
    </w:pPr>
  </w:style>
  <w:style w:type="paragraph" w:styleId="a6">
    <w:name w:val="annotation text"/>
    <w:basedOn w:val="a"/>
    <w:link w:val="Char0"/>
    <w:uiPriority w:val="99"/>
    <w:unhideWhenUsed/>
    <w:qFormat/>
  </w:style>
  <w:style w:type="paragraph" w:styleId="a7">
    <w:name w:val="Plain Text"/>
    <w:basedOn w:val="a"/>
    <w:link w:val="Char1"/>
    <w:qFormat/>
    <w:rPr>
      <w:rFonts w:hAnsi="Courier New"/>
      <w:sz w:val="21"/>
    </w:rPr>
  </w:style>
  <w:style w:type="paragraph" w:styleId="a8">
    <w:name w:val="footer"/>
    <w:basedOn w:val="a"/>
    <w:link w:val="Char2"/>
    <w:uiPriority w:val="99"/>
    <w:qFormat/>
    <w:pPr>
      <w:tabs>
        <w:tab w:val="center" w:pos="4153"/>
        <w:tab w:val="right" w:pos="8306"/>
      </w:tabs>
      <w:jc w:val="left"/>
    </w:pPr>
    <w:rPr>
      <w:sz w:val="18"/>
      <w:szCs w:val="18"/>
    </w:rPr>
  </w:style>
  <w:style w:type="paragraph" w:styleId="a9">
    <w:name w:val="header"/>
    <w:basedOn w:val="a"/>
    <w:next w:val="a"/>
    <w:link w:val="Char10"/>
    <w:qFormat/>
    <w:pPr>
      <w:pBdr>
        <w:bottom w:val="single" w:sz="6" w:space="1" w:color="auto"/>
      </w:pBdr>
      <w:tabs>
        <w:tab w:val="center" w:pos="4153"/>
        <w:tab w:val="right" w:pos="8306"/>
      </w:tabs>
      <w:jc w:val="center"/>
    </w:pPr>
    <w:rPr>
      <w:sz w:val="18"/>
    </w:rPr>
  </w:style>
  <w:style w:type="paragraph" w:styleId="10">
    <w:name w:val="toc 1"/>
    <w:basedOn w:val="a"/>
    <w:next w:val="a"/>
    <w:uiPriority w:val="39"/>
    <w:qFormat/>
  </w:style>
  <w:style w:type="paragraph" w:styleId="5">
    <w:name w:val="List Number 5"/>
    <w:basedOn w:val="a"/>
    <w:qFormat/>
    <w:pPr>
      <w:numPr>
        <w:numId w:val="2"/>
      </w:numPr>
    </w:pPr>
  </w:style>
  <w:style w:type="paragraph" w:styleId="aa">
    <w:name w:val="List"/>
    <w:basedOn w:val="a"/>
    <w:qFormat/>
    <w:pPr>
      <w:jc w:val="center"/>
    </w:pPr>
  </w:style>
  <w:style w:type="paragraph" w:styleId="30">
    <w:name w:val="Body Text Indent 3"/>
    <w:basedOn w:val="a"/>
    <w:link w:val="3Char0"/>
    <w:qFormat/>
    <w:pPr>
      <w:ind w:firstLineChars="200" w:firstLine="560"/>
    </w:pPr>
    <w:rPr>
      <w:sz w:val="28"/>
    </w:rPr>
  </w:style>
  <w:style w:type="paragraph" w:styleId="20">
    <w:name w:val="toc 2"/>
    <w:basedOn w:val="a"/>
    <w:next w:val="a"/>
    <w:uiPriority w:val="39"/>
    <w:qFormat/>
    <w:pPr>
      <w:ind w:leftChars="200" w:left="420"/>
    </w:pPr>
  </w:style>
  <w:style w:type="table" w:styleId="ab">
    <w:name w:val="Table Grid"/>
    <w:basedOn w:val="a2"/>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1"/>
    <w:uiPriority w:val="99"/>
    <w:unhideWhenUsed/>
    <w:qFormat/>
    <w:rPr>
      <w:color w:val="0563C1" w:themeColor="hyperlink"/>
      <w:u w:val="single"/>
    </w:rPr>
  </w:style>
  <w:style w:type="character" w:customStyle="1" w:styleId="2Char">
    <w:name w:val="标题 2 Char"/>
    <w:basedOn w:val="a1"/>
    <w:link w:val="2"/>
    <w:uiPriority w:val="99"/>
    <w:qFormat/>
    <w:locked/>
    <w:rPr>
      <w:rFonts w:ascii="Times New Roman" w:eastAsia="仿宋_GB2312" w:hAnsi="Times New Roman"/>
      <w:b/>
      <w:spacing w:val="6"/>
      <w:kern w:val="2"/>
      <w:sz w:val="30"/>
      <w:lang w:val="en-US" w:eastAsia="zh-CN" w:bidi="ar-SA"/>
    </w:rPr>
  </w:style>
  <w:style w:type="character" w:customStyle="1" w:styleId="1Char">
    <w:name w:val="标题 1 Char"/>
    <w:basedOn w:val="a1"/>
    <w:link w:val="1"/>
    <w:uiPriority w:val="9"/>
    <w:qFormat/>
    <w:locked/>
    <w:rPr>
      <w:rFonts w:ascii="Times New Roman" w:eastAsia="仿宋_GB2312" w:hAnsi="Times New Roman"/>
      <w:b/>
      <w:kern w:val="2"/>
      <w:sz w:val="32"/>
      <w:lang w:val="en-US" w:eastAsia="zh-CN" w:bidi="ar-SA"/>
    </w:rPr>
  </w:style>
  <w:style w:type="character" w:customStyle="1" w:styleId="3Char">
    <w:name w:val="标题 3 Char"/>
    <w:link w:val="3"/>
    <w:qFormat/>
    <w:rPr>
      <w:rFonts w:ascii="Times New Roman" w:eastAsia="仿宋_GB2312" w:hAnsi="Times New Roman"/>
      <w:b/>
      <w:spacing w:val="6"/>
      <w:sz w:val="28"/>
    </w:rPr>
  </w:style>
  <w:style w:type="character" w:customStyle="1" w:styleId="4Char">
    <w:name w:val="标题 4 Char"/>
    <w:basedOn w:val="a1"/>
    <w:link w:val="4"/>
    <w:qFormat/>
    <w:rPr>
      <w:rFonts w:eastAsia="仿宋_GB2312"/>
      <w:b/>
      <w:color w:val="000000"/>
      <w:kern w:val="2"/>
      <w:sz w:val="24"/>
      <w:szCs w:val="28"/>
    </w:rPr>
  </w:style>
  <w:style w:type="paragraph" w:customStyle="1" w:styleId="08522">
    <w:name w:val="样式 小四 首行缩进:  0.85 厘米 行距: 固定值 22 磅"/>
    <w:basedOn w:val="a"/>
    <w:next w:val="a"/>
    <w:qFormat/>
    <w:pPr>
      <w:spacing w:line="440" w:lineRule="exact"/>
      <w:ind w:firstLine="480"/>
    </w:pPr>
  </w:style>
  <w:style w:type="character" w:customStyle="1" w:styleId="Char0">
    <w:name w:val="批注文字 Char"/>
    <w:basedOn w:val="a1"/>
    <w:link w:val="a6"/>
    <w:uiPriority w:val="99"/>
    <w:qFormat/>
    <w:rPr>
      <w:rFonts w:eastAsia="仿宋_GB2312"/>
      <w:kern w:val="2"/>
      <w:sz w:val="24"/>
    </w:rPr>
  </w:style>
  <w:style w:type="character" w:customStyle="1" w:styleId="Char">
    <w:name w:val="正文文本 Char"/>
    <w:basedOn w:val="a1"/>
    <w:link w:val="a0"/>
    <w:qFormat/>
    <w:rPr>
      <w:rFonts w:eastAsia="仿宋_GB2312"/>
      <w:kern w:val="2"/>
      <w:sz w:val="21"/>
    </w:rPr>
  </w:style>
  <w:style w:type="character" w:customStyle="1" w:styleId="Char1">
    <w:name w:val="纯文本 Char"/>
    <w:basedOn w:val="a1"/>
    <w:link w:val="a7"/>
    <w:qFormat/>
    <w:rPr>
      <w:rFonts w:eastAsia="仿宋_GB2312" w:hAnsi="Courier New"/>
      <w:kern w:val="2"/>
      <w:sz w:val="21"/>
    </w:rPr>
  </w:style>
  <w:style w:type="character" w:customStyle="1" w:styleId="Char2">
    <w:name w:val="页脚 Char"/>
    <w:basedOn w:val="a1"/>
    <w:link w:val="a8"/>
    <w:uiPriority w:val="99"/>
    <w:qFormat/>
    <w:rPr>
      <w:rFonts w:eastAsia="仿宋_GB2312"/>
      <w:kern w:val="2"/>
      <w:sz w:val="18"/>
      <w:szCs w:val="18"/>
    </w:rPr>
  </w:style>
  <w:style w:type="character" w:customStyle="1" w:styleId="Char10">
    <w:name w:val="页眉 Char1"/>
    <w:basedOn w:val="a1"/>
    <w:link w:val="a9"/>
    <w:qFormat/>
    <w:rPr>
      <w:rFonts w:eastAsia="仿宋_GB2312"/>
      <w:kern w:val="2"/>
      <w:sz w:val="18"/>
    </w:rPr>
  </w:style>
  <w:style w:type="character" w:customStyle="1" w:styleId="3Char0">
    <w:name w:val="正文文本缩进 3 Char"/>
    <w:basedOn w:val="a1"/>
    <w:link w:val="30"/>
    <w:qFormat/>
    <w:rPr>
      <w:rFonts w:eastAsia="仿宋_GB2312"/>
      <w:kern w:val="2"/>
      <w:sz w:val="28"/>
    </w:rPr>
  </w:style>
  <w:style w:type="paragraph" w:customStyle="1" w:styleId="ad">
    <w:name w:val="仿宋"/>
    <w:basedOn w:val="a"/>
    <w:qFormat/>
    <w:pPr>
      <w:spacing w:line="360" w:lineRule="auto"/>
      <w:ind w:firstLineChars="200" w:firstLine="643"/>
    </w:pPr>
  </w:style>
  <w:style w:type="paragraph" w:customStyle="1" w:styleId="11">
    <w:name w:val="正文1"/>
    <w:next w:val="a"/>
    <w:qFormat/>
    <w:pPr>
      <w:spacing w:line="480" w:lineRule="exact"/>
      <w:ind w:firstLineChars="200" w:firstLine="496"/>
    </w:pPr>
    <w:rPr>
      <w:rFonts w:cs="宋体"/>
      <w:color w:val="000000"/>
      <w:spacing w:val="4"/>
      <w:kern w:val="2"/>
      <w:sz w:val="24"/>
      <w:szCs w:val="22"/>
    </w:rPr>
  </w:style>
  <w:style w:type="paragraph" w:customStyle="1" w:styleId="ae">
    <w:name w:val="水保表头"/>
    <w:basedOn w:val="af"/>
    <w:qFormat/>
    <w:pPr>
      <w:spacing w:line="240" w:lineRule="auto"/>
      <w:ind w:firstLineChars="0" w:firstLine="0"/>
      <w:jc w:val="center"/>
    </w:pPr>
    <w:rPr>
      <w:b/>
      <w:sz w:val="21"/>
    </w:rPr>
  </w:style>
  <w:style w:type="paragraph" w:customStyle="1" w:styleId="af">
    <w:name w:val="水保"/>
    <w:qFormat/>
    <w:pPr>
      <w:spacing w:line="360" w:lineRule="auto"/>
      <w:ind w:firstLineChars="200" w:firstLine="723"/>
      <w:jc w:val="both"/>
    </w:pPr>
    <w:rPr>
      <w:rFonts w:eastAsia="仿宋_GB2312"/>
      <w:color w:val="000000"/>
      <w:sz w:val="24"/>
      <w:szCs w:val="28"/>
    </w:rPr>
  </w:style>
  <w:style w:type="paragraph" w:customStyle="1" w:styleId="af0">
    <w:name w:val="表格内容"/>
    <w:basedOn w:val="a"/>
    <w:qFormat/>
    <w:pPr>
      <w:jc w:val="center"/>
    </w:pPr>
    <w:rPr>
      <w:sz w:val="21"/>
    </w:rPr>
  </w:style>
  <w:style w:type="paragraph" w:customStyle="1" w:styleId="31">
    <w:name w:val="3级标题"/>
    <w:basedOn w:val="3"/>
    <w:qFormat/>
    <w:rPr>
      <w:color w:val="000000"/>
      <w:kern w:val="0"/>
      <w:szCs w:val="28"/>
    </w:rPr>
  </w:style>
  <w:style w:type="paragraph" w:customStyle="1" w:styleId="af1">
    <w:name w:val="慧慧水保"/>
    <w:basedOn w:val="a"/>
    <w:qFormat/>
    <w:pPr>
      <w:spacing w:line="360" w:lineRule="auto"/>
      <w:ind w:firstLineChars="200" w:firstLine="664"/>
    </w:pPr>
  </w:style>
  <w:style w:type="paragraph" w:customStyle="1" w:styleId="af2">
    <w:name w:val="慧慧表格"/>
    <w:basedOn w:val="aa"/>
    <w:qFormat/>
    <w:rPr>
      <w:sz w:val="21"/>
      <w:szCs w:val="21"/>
    </w:rPr>
  </w:style>
  <w:style w:type="character" w:customStyle="1" w:styleId="font41">
    <w:name w:val="font41"/>
    <w:basedOn w:val="a1"/>
    <w:qFormat/>
    <w:rPr>
      <w:rFonts w:ascii="仿宋_GB2312" w:eastAsia="仿宋_GB2312" w:cs="仿宋_GB2312"/>
      <w:color w:val="339966"/>
      <w:sz w:val="18"/>
      <w:szCs w:val="18"/>
      <w:u w:val="none"/>
    </w:rPr>
  </w:style>
  <w:style w:type="paragraph" w:customStyle="1" w:styleId="af3">
    <w:name w:val="慧慧样式"/>
    <w:qFormat/>
    <w:pPr>
      <w:spacing w:line="360" w:lineRule="auto"/>
      <w:ind w:firstLineChars="200" w:firstLine="723"/>
      <w:jc w:val="both"/>
    </w:pPr>
    <w:rPr>
      <w:rFonts w:eastAsia="仿宋_GB2312"/>
      <w:color w:val="000000"/>
      <w:sz w:val="24"/>
      <w:szCs w:val="28"/>
    </w:rPr>
  </w:style>
  <w:style w:type="paragraph" w:customStyle="1" w:styleId="Char3">
    <w:name w:val="Char"/>
    <w:basedOn w:val="a"/>
    <w:next w:val="a"/>
    <w:qFormat/>
    <w:pPr>
      <w:autoSpaceDE w:val="0"/>
      <w:autoSpaceDN w:val="0"/>
      <w:spacing w:before="50" w:after="50" w:line="360" w:lineRule="auto"/>
      <w:ind w:firstLineChars="200" w:firstLine="560"/>
    </w:pPr>
    <w:rPr>
      <w:color w:val="000000"/>
    </w:rPr>
  </w:style>
  <w:style w:type="character" w:customStyle="1" w:styleId="font51">
    <w:name w:val="font51"/>
    <w:basedOn w:val="a1"/>
    <w:qFormat/>
    <w:rPr>
      <w:rFonts w:ascii="宋体" w:eastAsia="宋体" w:hAnsi="宋体" w:cs="宋体" w:hint="eastAsia"/>
      <w:color w:val="000000"/>
      <w:sz w:val="20"/>
      <w:szCs w:val="20"/>
      <w:u w:val="none"/>
    </w:rPr>
  </w:style>
  <w:style w:type="character" w:customStyle="1" w:styleId="font11">
    <w:name w:val="font11"/>
    <w:basedOn w:val="a1"/>
    <w:qFormat/>
    <w:rPr>
      <w:rFonts w:ascii="Times New Roman" w:hAnsi="Times New Roman" w:cs="Times New Roman" w:hint="default"/>
      <w:color w:val="000000"/>
      <w:sz w:val="20"/>
      <w:szCs w:val="20"/>
      <w:u w:val="none"/>
      <w:vertAlign w:val="superscript"/>
    </w:rPr>
  </w:style>
  <w:style w:type="character" w:customStyle="1" w:styleId="font01">
    <w:name w:val="font01"/>
    <w:basedOn w:val="a1"/>
    <w:qFormat/>
    <w:rPr>
      <w:rFonts w:ascii="宋体" w:eastAsia="宋体" w:hAnsi="宋体" w:cs="宋体" w:hint="eastAsia"/>
      <w:color w:val="000000"/>
      <w:sz w:val="20"/>
      <w:szCs w:val="20"/>
      <w:u w:val="none"/>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31">
    <w:name w:val="font31"/>
    <w:basedOn w:val="a1"/>
    <w:qFormat/>
    <w:rPr>
      <w:rFonts w:ascii="Times New Roman" w:hAnsi="Times New Roman" w:cs="Times New Roman" w:hint="default"/>
      <w:color w:val="000000"/>
      <w:sz w:val="20"/>
      <w:szCs w:val="20"/>
      <w:u w:val="none"/>
    </w:rPr>
  </w:style>
  <w:style w:type="paragraph" w:customStyle="1" w:styleId="0">
    <w:name w:val="0水保正文"/>
    <w:basedOn w:val="a"/>
    <w:qFormat/>
    <w:pPr>
      <w:ind w:firstLineChars="200" w:firstLine="480"/>
    </w:pPr>
    <w:rPr>
      <w:rFonts w:ascii="宋体" w:hAnsi="宋体"/>
      <w:color w:val="000000"/>
      <w:kern w:val="0"/>
    </w:rPr>
  </w:style>
  <w:style w:type="character" w:customStyle="1" w:styleId="font71">
    <w:name w:val="font71"/>
    <w:basedOn w:val="a1"/>
    <w:qFormat/>
    <w:rPr>
      <w:rFonts w:ascii="宋体" w:eastAsia="宋体" w:hAnsi="宋体" w:cs="宋体" w:hint="eastAsia"/>
      <w:b/>
      <w:color w:val="000000"/>
      <w:sz w:val="20"/>
      <w:szCs w:val="20"/>
      <w:u w:val="none"/>
    </w:rPr>
  </w:style>
  <w:style w:type="character" w:customStyle="1" w:styleId="font61">
    <w:name w:val="font61"/>
    <w:basedOn w:val="a1"/>
    <w:qFormat/>
    <w:rPr>
      <w:rFonts w:ascii="Times New Roman" w:hAnsi="Times New Roman" w:cs="Times New Roman" w:hint="default"/>
      <w:b/>
      <w:color w:val="000000"/>
      <w:sz w:val="20"/>
      <w:szCs w:val="20"/>
      <w:u w:val="none"/>
    </w:rPr>
  </w:style>
  <w:style w:type="character" w:customStyle="1" w:styleId="font81">
    <w:name w:val="font81"/>
    <w:basedOn w:val="a1"/>
    <w:qFormat/>
    <w:rPr>
      <w:rFonts w:ascii="宋体" w:eastAsia="宋体" w:hAnsi="宋体" w:cs="宋体" w:hint="eastAsia"/>
      <w:b/>
      <w:color w:val="000000"/>
      <w:sz w:val="20"/>
      <w:szCs w:val="20"/>
      <w:u w:val="none"/>
    </w:rPr>
  </w:style>
  <w:style w:type="paragraph" w:customStyle="1" w:styleId="af4">
    <w:name w:val="表标题"/>
    <w:basedOn w:val="a"/>
    <w:qFormat/>
    <w:pPr>
      <w:jc w:val="center"/>
    </w:pPr>
    <w:rPr>
      <w:rFonts w:ascii="黑体" w:eastAsia="黑体"/>
      <w:b/>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BZDL1">
    <w:name w:val="BZDL1"/>
    <w:basedOn w:val="a"/>
    <w:qFormat/>
    <w:pPr>
      <w:spacing w:beforeLines="50" w:before="156" w:afterLines="50" w:after="156" w:line="480" w:lineRule="exact"/>
      <w:ind w:firstLineChars="200" w:firstLine="200"/>
    </w:pPr>
    <w:rPr>
      <w:rFonts w:ascii="仿宋_GB2312"/>
      <w:sz w:val="28"/>
      <w:szCs w:val="28"/>
    </w:rPr>
  </w:style>
  <w:style w:type="paragraph" w:customStyle="1" w:styleId="15">
    <w:name w:val="样式15"/>
    <w:basedOn w:val="a9"/>
    <w:qFormat/>
    <w:pPr>
      <w:pBdr>
        <w:bottom w:val="none" w:sz="0" w:space="0" w:color="auto"/>
      </w:pBdr>
    </w:pPr>
  </w:style>
  <w:style w:type="paragraph" w:customStyle="1" w:styleId="00">
    <w:name w:val="0表标题居中"/>
    <w:basedOn w:val="a"/>
    <w:qFormat/>
    <w:pPr>
      <w:adjustRightInd/>
      <w:snapToGrid/>
      <w:jc w:val="center"/>
    </w:pPr>
    <w:rPr>
      <w:rFonts w:ascii="宋体" w:hAnsi="宋体"/>
      <w:b/>
    </w:rPr>
  </w:style>
  <w:style w:type="paragraph" w:customStyle="1" w:styleId="099">
    <w:name w:val="样式 左侧:  0.99 厘米"/>
    <w:basedOn w:val="a"/>
    <w:qFormat/>
    <w:rPr>
      <w:rFonts w:eastAsia="宋体" w:cs="宋体"/>
      <w:sz w:val="21"/>
    </w:rPr>
  </w:style>
  <w:style w:type="paragraph" w:customStyle="1" w:styleId="16">
    <w:name w:val="样式16"/>
    <w:basedOn w:val="a"/>
    <w:qFormat/>
    <w:pPr>
      <w:jc w:val="right"/>
    </w:pPr>
  </w:style>
  <w:style w:type="paragraph" w:customStyle="1" w:styleId="af5">
    <w:name w:val="表格表头"/>
    <w:basedOn w:val="a"/>
    <w:qFormat/>
    <w:pPr>
      <w:widowControl/>
      <w:adjustRightInd/>
      <w:snapToGrid/>
      <w:jc w:val="left"/>
    </w:pPr>
    <w:rPr>
      <w:b/>
      <w:bCs/>
      <w:kern w:val="0"/>
    </w:rPr>
  </w:style>
  <w:style w:type="paragraph" w:customStyle="1" w:styleId="Char11">
    <w:name w:val="Char11"/>
    <w:basedOn w:val="a"/>
    <w:qFormat/>
    <w:pPr>
      <w:autoSpaceDE w:val="0"/>
      <w:autoSpaceDN w:val="0"/>
      <w:spacing w:before="50" w:after="50"/>
    </w:pPr>
    <w:rPr>
      <w:color w:val="000000"/>
    </w:rPr>
  </w:style>
  <w:style w:type="paragraph" w:customStyle="1" w:styleId="af6">
    <w:name w:val="表头"/>
    <w:basedOn w:val="5"/>
    <w:qFormat/>
    <w:pPr>
      <w:widowControl/>
      <w:jc w:val="center"/>
    </w:pPr>
    <w:rPr>
      <w:rFonts w:ascii="黑体" w:eastAsia="黑体" w:hAnsi="黑体"/>
    </w:rPr>
  </w:style>
  <w:style w:type="paragraph" w:customStyle="1" w:styleId="nice">
    <w:name w:val="nice"/>
    <w:basedOn w:val="a"/>
    <w:qFormat/>
    <w:pPr>
      <w:topLinePunct/>
      <w:spacing w:line="360" w:lineRule="auto"/>
    </w:pPr>
    <w:rPr>
      <w:bCs/>
    </w:rPr>
  </w:style>
  <w:style w:type="paragraph" w:styleId="af7">
    <w:name w:val="List Paragraph"/>
    <w:basedOn w:val="a"/>
    <w:uiPriority w:val="99"/>
    <w:qFormat/>
    <w:pPr>
      <w:ind w:firstLineChars="200" w:firstLine="420"/>
    </w:pPr>
  </w:style>
  <w:style w:type="character" w:customStyle="1" w:styleId="3015Char">
    <w:name w:val="样式 样式 小四 蓝色 行距: 固定值 30 磅 + 行距: 1.5 倍行距 Char"/>
    <w:link w:val="3015"/>
    <w:qFormat/>
    <w:rPr>
      <w:rFonts w:cs="宋体"/>
      <w:color w:val="0000FF"/>
      <w:kern w:val="2"/>
      <w:sz w:val="24"/>
    </w:rPr>
  </w:style>
  <w:style w:type="paragraph" w:customStyle="1" w:styleId="3015">
    <w:name w:val="样式 样式 小四 蓝色 行距: 固定值 30 磅 + 行距: 1.5 倍行距"/>
    <w:basedOn w:val="a"/>
    <w:link w:val="3015Char"/>
    <w:qFormat/>
    <w:pPr>
      <w:spacing w:line="360" w:lineRule="auto"/>
      <w:ind w:firstLineChars="200" w:firstLine="480"/>
    </w:pPr>
    <w:rPr>
      <w:rFonts w:eastAsia="宋体" w:cs="宋体"/>
      <w:color w:val="0000FF"/>
    </w:rPr>
  </w:style>
  <w:style w:type="character" w:customStyle="1" w:styleId="1Char0">
    <w:name w:val="1正文版式 Char"/>
    <w:link w:val="12"/>
    <w:qFormat/>
    <w:rPr>
      <w:kern w:val="2"/>
      <w:sz w:val="24"/>
      <w:szCs w:val="24"/>
    </w:rPr>
  </w:style>
  <w:style w:type="paragraph" w:customStyle="1" w:styleId="12">
    <w:name w:val="1正文版式"/>
    <w:basedOn w:val="a"/>
    <w:link w:val="1Char0"/>
    <w:qFormat/>
    <w:pPr>
      <w:tabs>
        <w:tab w:val="left" w:pos="3514"/>
      </w:tabs>
      <w:spacing w:line="360" w:lineRule="auto"/>
      <w:ind w:firstLineChars="200" w:firstLine="200"/>
    </w:pPr>
    <w:rPr>
      <w:rFonts w:eastAsia="宋体"/>
      <w:szCs w:val="24"/>
    </w:rPr>
  </w:style>
  <w:style w:type="character" w:customStyle="1" w:styleId="Char4">
    <w:name w:val="页眉 Char"/>
    <w:qFormat/>
    <w:rPr>
      <w:kern w:val="2"/>
      <w:sz w:val="18"/>
      <w:szCs w:val="18"/>
    </w:rPr>
  </w:style>
  <w:style w:type="character" w:customStyle="1" w:styleId="Char5">
    <w:name w:val="表格标题 Char"/>
    <w:link w:val="af8"/>
    <w:qFormat/>
    <w:rPr>
      <w:rFonts w:eastAsia="仿宋_GB2312"/>
      <w:b/>
      <w:kern w:val="2"/>
      <w:sz w:val="21"/>
      <w:szCs w:val="21"/>
    </w:rPr>
  </w:style>
  <w:style w:type="paragraph" w:customStyle="1" w:styleId="af8">
    <w:name w:val="表格标题"/>
    <w:next w:val="a"/>
    <w:link w:val="Char5"/>
    <w:qFormat/>
    <w:pPr>
      <w:adjustRightInd w:val="0"/>
      <w:snapToGrid w:val="0"/>
      <w:jc w:val="center"/>
    </w:pPr>
    <w:rPr>
      <w:rFonts w:eastAsia="仿宋_GB2312"/>
      <w:b/>
      <w:kern w:val="2"/>
      <w:sz w:val="21"/>
      <w:szCs w:val="21"/>
    </w:rPr>
  </w:style>
  <w:style w:type="character" w:customStyle="1" w:styleId="Char6">
    <w:name w:val="表格文字 Char"/>
    <w:link w:val="af9"/>
    <w:uiPriority w:val="99"/>
    <w:qFormat/>
    <w:rPr>
      <w:sz w:val="21"/>
      <w:szCs w:val="21"/>
    </w:rPr>
  </w:style>
  <w:style w:type="paragraph" w:customStyle="1" w:styleId="af9">
    <w:name w:val="表格文字"/>
    <w:basedOn w:val="a"/>
    <w:next w:val="a"/>
    <w:link w:val="Char6"/>
    <w:uiPriority w:val="99"/>
    <w:qFormat/>
    <w:pPr>
      <w:widowControl/>
      <w:jc w:val="center"/>
    </w:pPr>
    <w:rPr>
      <w:rFonts w:eastAsia="宋体"/>
      <w:kern w:val="0"/>
      <w:sz w:val="21"/>
      <w:szCs w:val="21"/>
    </w:rPr>
  </w:style>
  <w:style w:type="paragraph" w:customStyle="1" w:styleId="13">
    <w:name w:val="1 正文"/>
    <w:basedOn w:val="a"/>
    <w:uiPriority w:val="99"/>
    <w:qFormat/>
    <w:pPr>
      <w:tabs>
        <w:tab w:val="left" w:pos="3514"/>
      </w:tabs>
      <w:spacing w:line="500" w:lineRule="exact"/>
      <w:ind w:firstLineChars="200" w:firstLine="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baike.baidu.com/item/%E5%B7%B4%E5%B9%BF%E6%B8%9D%E9%AB%98%E9%80%9F%E5%85%AC%E8%B7%AF" TargetMode="External"/><Relationship Id="rId23" Type="http://schemas.openxmlformats.org/officeDocument/2006/relationships/oleObject" Target="embeddings/oleObject2.bin"/><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s://baike.baidu.com/item/%E6%88%90%E5%B7%B4%E9%AB%98%E9%80%9F%E5%85%AC%E8%B7%AF" TargetMode="External"/><Relationship Id="rId22" Type="http://schemas.openxmlformats.org/officeDocument/2006/relationships/image" Target="media/image9.wmf"/><Relationship Id="rId27"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EE7A110-147A-424C-9A86-0B6323D4D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4461</Words>
  <Characters>25432</Characters>
  <Application>Microsoft Office Word</Application>
  <DocSecurity>0</DocSecurity>
  <Lines>211</Lines>
  <Paragraphs>59</Paragraphs>
  <ScaleCrop>false</ScaleCrop>
  <Company>微软中国</Company>
  <LinksUpToDate>false</LinksUpToDate>
  <CharactersWithSpaces>29834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Grew</dc:creator>
  <cp:lastModifiedBy>Administrator</cp:lastModifiedBy>
  <cp:revision>131</cp:revision>
  <dcterms:created xsi:type="dcterms:W3CDTF">2020-11-02T06:24:00Z</dcterms:created>
  <dcterms:modified xsi:type="dcterms:W3CDTF">2021-04-20T07:50:00Z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BE7A07546D9D441F9B7F3FCF4B98D81F</vt:lpwstr>
  </property>
</Properties>
</file>