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44F7B" w:rsidRDefault="00730D49" w:rsidP="00786EE5">
      <w:pPr>
        <w:jc w:val="center"/>
        <w:rPr>
          <w:rFonts w:eastAsia="宋体"/>
          <w:b/>
          <w:color w:val="000000" w:themeColor="text1"/>
          <w:sz w:val="28"/>
          <w:szCs w:val="28"/>
        </w:rPr>
      </w:pPr>
      <w:bookmarkStart w:id="0" w:name="_Hlk55231158"/>
      <w:r>
        <w:rPr>
          <w:rFonts w:eastAsia="宋体" w:hint="eastAsia"/>
          <w:b/>
          <w:color w:val="000000" w:themeColor="text1"/>
          <w:sz w:val="28"/>
          <w:szCs w:val="28"/>
          <w:u w:val="single"/>
        </w:rPr>
        <w:t>仪陇县公安局城西、度门、光华派出所业务用房建设项目</w:t>
      </w:r>
      <w:r>
        <w:rPr>
          <w:rFonts w:eastAsia="宋体"/>
          <w:b/>
          <w:color w:val="000000" w:themeColor="text1"/>
          <w:sz w:val="28"/>
          <w:szCs w:val="28"/>
        </w:rPr>
        <w:t>水土保持方案报告表</w:t>
      </w:r>
    </w:p>
    <w:tbl>
      <w:tblPr>
        <w:tblW w:w="8336" w:type="dxa"/>
        <w:tblLayout w:type="fixed"/>
        <w:tblCellMar>
          <w:left w:w="0" w:type="dxa"/>
          <w:right w:w="0" w:type="dxa"/>
        </w:tblCellMar>
        <w:tblLook w:val="04A0" w:firstRow="1" w:lastRow="0" w:firstColumn="1" w:lastColumn="0" w:noHBand="0" w:noVBand="1"/>
      </w:tblPr>
      <w:tblGrid>
        <w:gridCol w:w="1147"/>
        <w:gridCol w:w="361"/>
        <w:gridCol w:w="1513"/>
        <w:gridCol w:w="86"/>
        <w:gridCol w:w="1009"/>
        <w:gridCol w:w="281"/>
        <w:gridCol w:w="634"/>
        <w:gridCol w:w="241"/>
        <w:gridCol w:w="21"/>
        <w:gridCol w:w="372"/>
        <w:gridCol w:w="22"/>
        <w:gridCol w:w="529"/>
        <w:gridCol w:w="900"/>
        <w:gridCol w:w="95"/>
        <w:gridCol w:w="11"/>
        <w:gridCol w:w="1114"/>
      </w:tblGrid>
      <w:tr w:rsidR="00F44F7B">
        <w:trPr>
          <w:trHeight w:val="23"/>
        </w:trPr>
        <w:tc>
          <w:tcPr>
            <w:tcW w:w="1147"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bookmarkEnd w:id="0"/>
          <w:p w:rsidR="00F44F7B" w:rsidRDefault="00730D49">
            <w:pPr>
              <w:pStyle w:val="af0"/>
              <w:rPr>
                <w:sz w:val="20"/>
              </w:rPr>
            </w:pPr>
            <w:r>
              <w:rPr>
                <w:sz w:val="20"/>
              </w:rPr>
              <w:t>项目概况</w:t>
            </w: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位置</w:t>
            </w:r>
          </w:p>
        </w:tc>
        <w:tc>
          <w:tcPr>
            <w:tcW w:w="5315" w:type="dxa"/>
            <w:gridSpan w:val="1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rFonts w:hint="eastAsia"/>
                <w:sz w:val="20"/>
              </w:rPr>
              <w:t>仪陇县</w:t>
            </w:r>
          </w:p>
        </w:tc>
      </w:tr>
      <w:tr w:rsidR="00F44F7B">
        <w:trPr>
          <w:trHeight w:val="234"/>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pStyle w:val="af0"/>
              <w:rPr>
                <w:sz w:val="20"/>
              </w:rPr>
            </w:pP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建设内容</w:t>
            </w:r>
          </w:p>
        </w:tc>
        <w:tc>
          <w:tcPr>
            <w:tcW w:w="5315" w:type="dxa"/>
            <w:gridSpan w:val="1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jc w:val="left"/>
              <w:rPr>
                <w:b/>
                <w:bCs/>
                <w:sz w:val="20"/>
                <w:vertAlign w:val="superscript"/>
              </w:rPr>
            </w:pPr>
            <w:bookmarkStart w:id="1" w:name="_Hlk56415878"/>
            <w:r>
              <w:rPr>
                <w:rFonts w:hint="eastAsia"/>
                <w:sz w:val="20"/>
              </w:rPr>
              <w:t>新建业务用房</w:t>
            </w:r>
            <w:r>
              <w:rPr>
                <w:rFonts w:hint="eastAsia"/>
                <w:sz w:val="20"/>
              </w:rPr>
              <w:t>1</w:t>
            </w:r>
            <w:r>
              <w:rPr>
                <w:sz w:val="20"/>
              </w:rPr>
              <w:t>550 m</w:t>
            </w:r>
            <w:r>
              <w:rPr>
                <w:sz w:val="20"/>
                <w:vertAlign w:val="superscript"/>
              </w:rPr>
              <w:t>2</w:t>
            </w:r>
            <w:r>
              <w:rPr>
                <w:rFonts w:hint="eastAsia"/>
                <w:sz w:val="20"/>
                <w:vertAlign w:val="superscript"/>
              </w:rPr>
              <w:t>，</w:t>
            </w:r>
            <w:r>
              <w:rPr>
                <w:rFonts w:hint="eastAsia"/>
                <w:sz w:val="20"/>
              </w:rPr>
              <w:t>其中度门派出所</w:t>
            </w:r>
            <w:r>
              <w:rPr>
                <w:rFonts w:hint="eastAsia"/>
                <w:sz w:val="20"/>
              </w:rPr>
              <w:t>5</w:t>
            </w:r>
            <w:r>
              <w:rPr>
                <w:sz w:val="20"/>
              </w:rPr>
              <w:t>55 m</w:t>
            </w:r>
            <w:r>
              <w:rPr>
                <w:sz w:val="20"/>
                <w:vertAlign w:val="superscript"/>
              </w:rPr>
              <w:t>2</w:t>
            </w:r>
            <w:r>
              <w:rPr>
                <w:rFonts w:hint="eastAsia"/>
                <w:sz w:val="20"/>
              </w:rPr>
              <w:t>，光华派出所</w:t>
            </w:r>
            <w:r>
              <w:rPr>
                <w:rFonts w:hint="eastAsia"/>
                <w:sz w:val="20"/>
              </w:rPr>
              <w:t>2</w:t>
            </w:r>
            <w:r>
              <w:rPr>
                <w:sz w:val="20"/>
              </w:rPr>
              <w:t>60 m</w:t>
            </w:r>
            <w:r>
              <w:rPr>
                <w:sz w:val="20"/>
                <w:vertAlign w:val="superscript"/>
              </w:rPr>
              <w:t>2</w:t>
            </w:r>
            <w:r>
              <w:rPr>
                <w:rFonts w:hint="eastAsia"/>
                <w:sz w:val="20"/>
              </w:rPr>
              <w:t>，城西派出所</w:t>
            </w:r>
            <w:r>
              <w:rPr>
                <w:rFonts w:hint="eastAsia"/>
                <w:sz w:val="20"/>
              </w:rPr>
              <w:t>7</w:t>
            </w:r>
            <w:r>
              <w:rPr>
                <w:sz w:val="20"/>
              </w:rPr>
              <w:t>35 m</w:t>
            </w:r>
            <w:r>
              <w:rPr>
                <w:sz w:val="20"/>
                <w:vertAlign w:val="superscript"/>
              </w:rPr>
              <w:t>2</w:t>
            </w:r>
            <w:bookmarkEnd w:id="1"/>
          </w:p>
        </w:tc>
      </w:tr>
      <w:tr w:rsidR="00F44F7B">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pStyle w:val="af0"/>
              <w:rPr>
                <w:sz w:val="20"/>
              </w:rPr>
            </w:pP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建设性质</w:t>
            </w:r>
          </w:p>
        </w:tc>
        <w:tc>
          <w:tcPr>
            <w:tcW w:w="2010"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新建</w:t>
            </w:r>
          </w:p>
        </w:tc>
        <w:tc>
          <w:tcPr>
            <w:tcW w:w="2085"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总投资（万元）</w:t>
            </w:r>
          </w:p>
        </w:tc>
        <w:tc>
          <w:tcPr>
            <w:tcW w:w="1220"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540</w:t>
            </w:r>
          </w:p>
        </w:tc>
      </w:tr>
      <w:tr w:rsidR="00F44F7B">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pStyle w:val="af0"/>
              <w:rPr>
                <w:sz w:val="20"/>
              </w:rPr>
            </w:pPr>
          </w:p>
        </w:tc>
        <w:tc>
          <w:tcPr>
            <w:tcW w:w="1874" w:type="dxa"/>
            <w:gridSpan w:val="2"/>
            <w:vMerge w:val="restart"/>
            <w:tcBorders>
              <w:top w:val="single" w:sz="4" w:space="0" w:color="000000"/>
              <w:left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土建投资（万元）</w:t>
            </w:r>
          </w:p>
        </w:tc>
        <w:tc>
          <w:tcPr>
            <w:tcW w:w="2010" w:type="dxa"/>
            <w:gridSpan w:val="4"/>
            <w:vMerge w:val="restart"/>
            <w:tcBorders>
              <w:top w:val="single" w:sz="4" w:space="0" w:color="000000"/>
              <w:left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244</w:t>
            </w:r>
          </w:p>
        </w:tc>
        <w:tc>
          <w:tcPr>
            <w:tcW w:w="1185" w:type="dxa"/>
            <w:gridSpan w:val="5"/>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占地面积（</w:t>
            </w:r>
            <w:r>
              <w:rPr>
                <w:rFonts w:hint="eastAsia"/>
                <w:sz w:val="20"/>
              </w:rPr>
              <w:t>h</w:t>
            </w:r>
            <w:r>
              <w:rPr>
                <w:sz w:val="20"/>
              </w:rPr>
              <w:t>m</w:t>
            </w:r>
            <w:r>
              <w:rPr>
                <w:sz w:val="20"/>
                <w:vertAlign w:val="superscript"/>
              </w:rPr>
              <w:t>2</w:t>
            </w:r>
            <w:r>
              <w:rPr>
                <w:sz w:val="20"/>
              </w:rPr>
              <w:t>）</w:t>
            </w:r>
          </w:p>
        </w:tc>
        <w:tc>
          <w:tcPr>
            <w:tcW w:w="90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永久</w:t>
            </w:r>
          </w:p>
        </w:tc>
        <w:tc>
          <w:tcPr>
            <w:tcW w:w="1220"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rFonts w:hint="eastAsia"/>
                <w:sz w:val="20"/>
              </w:rPr>
              <w:t>0.43</w:t>
            </w:r>
          </w:p>
        </w:tc>
      </w:tr>
      <w:tr w:rsidR="00F44F7B">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pStyle w:val="af0"/>
              <w:rPr>
                <w:sz w:val="20"/>
              </w:rPr>
            </w:pPr>
          </w:p>
        </w:tc>
        <w:tc>
          <w:tcPr>
            <w:tcW w:w="1874" w:type="dxa"/>
            <w:gridSpan w:val="2"/>
            <w:vMerge/>
            <w:tcBorders>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pStyle w:val="af0"/>
              <w:rPr>
                <w:sz w:val="20"/>
              </w:rPr>
            </w:pPr>
          </w:p>
        </w:tc>
        <w:tc>
          <w:tcPr>
            <w:tcW w:w="2010" w:type="dxa"/>
            <w:gridSpan w:val="4"/>
            <w:vMerge/>
            <w:tcBorders>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pStyle w:val="af0"/>
              <w:rPr>
                <w:sz w:val="20"/>
              </w:rPr>
            </w:pPr>
          </w:p>
        </w:tc>
        <w:tc>
          <w:tcPr>
            <w:tcW w:w="1185" w:type="dxa"/>
            <w:gridSpan w:val="5"/>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pStyle w:val="af0"/>
              <w:rPr>
                <w:sz w:val="20"/>
              </w:rPr>
            </w:pPr>
          </w:p>
        </w:tc>
        <w:tc>
          <w:tcPr>
            <w:tcW w:w="90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临时</w:t>
            </w:r>
          </w:p>
        </w:tc>
        <w:tc>
          <w:tcPr>
            <w:tcW w:w="1220"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0</w:t>
            </w:r>
          </w:p>
        </w:tc>
      </w:tr>
      <w:tr w:rsidR="00F44F7B">
        <w:trPr>
          <w:trHeight w:val="236"/>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pStyle w:val="af0"/>
              <w:rPr>
                <w:sz w:val="20"/>
              </w:rPr>
            </w:pP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动工时间</w:t>
            </w:r>
          </w:p>
        </w:tc>
        <w:tc>
          <w:tcPr>
            <w:tcW w:w="2010"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2017</w:t>
            </w:r>
            <w:r>
              <w:rPr>
                <w:sz w:val="20"/>
              </w:rPr>
              <w:t>年</w:t>
            </w:r>
            <w:r>
              <w:rPr>
                <w:sz w:val="20"/>
              </w:rPr>
              <w:t>4</w:t>
            </w:r>
            <w:r>
              <w:rPr>
                <w:sz w:val="20"/>
              </w:rPr>
              <w:t>月</w:t>
            </w:r>
          </w:p>
        </w:tc>
        <w:tc>
          <w:tcPr>
            <w:tcW w:w="1185"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完工时间</w:t>
            </w:r>
          </w:p>
        </w:tc>
        <w:tc>
          <w:tcPr>
            <w:tcW w:w="2120"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2017</w:t>
            </w:r>
            <w:r>
              <w:rPr>
                <w:sz w:val="20"/>
              </w:rPr>
              <w:t>年</w:t>
            </w:r>
            <w:r>
              <w:rPr>
                <w:sz w:val="20"/>
              </w:rPr>
              <w:t>12</w:t>
            </w:r>
            <w:r>
              <w:rPr>
                <w:sz w:val="20"/>
              </w:rPr>
              <w:t>月</w:t>
            </w:r>
          </w:p>
        </w:tc>
      </w:tr>
      <w:tr w:rsidR="00F44F7B">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pStyle w:val="af0"/>
              <w:rPr>
                <w:sz w:val="20"/>
              </w:rPr>
            </w:pPr>
          </w:p>
        </w:tc>
        <w:tc>
          <w:tcPr>
            <w:tcW w:w="1874" w:type="dxa"/>
            <w:gridSpan w:val="2"/>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土石方（</w:t>
            </w:r>
            <w:r>
              <w:rPr>
                <w:sz w:val="20"/>
              </w:rPr>
              <w:t>m</w:t>
            </w:r>
            <w:r>
              <w:rPr>
                <w:sz w:val="20"/>
                <w:vertAlign w:val="superscript"/>
              </w:rPr>
              <w:t>3</w:t>
            </w:r>
            <w:r>
              <w:rPr>
                <w:sz w:val="20"/>
              </w:rPr>
              <w:t>)</w:t>
            </w:r>
          </w:p>
        </w:tc>
        <w:tc>
          <w:tcPr>
            <w:tcW w:w="109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挖方</w:t>
            </w:r>
          </w:p>
        </w:tc>
        <w:tc>
          <w:tcPr>
            <w:tcW w:w="91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填方</w:t>
            </w:r>
          </w:p>
        </w:tc>
        <w:tc>
          <w:tcPr>
            <w:tcW w:w="1185"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借方</w:t>
            </w:r>
          </w:p>
        </w:tc>
        <w:tc>
          <w:tcPr>
            <w:tcW w:w="2120"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余（弃）方</w:t>
            </w:r>
          </w:p>
        </w:tc>
      </w:tr>
      <w:tr w:rsidR="00F44F7B">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pStyle w:val="af0"/>
              <w:rPr>
                <w:sz w:val="20"/>
              </w:rPr>
            </w:pPr>
          </w:p>
        </w:tc>
        <w:tc>
          <w:tcPr>
            <w:tcW w:w="1874" w:type="dxa"/>
            <w:gridSpan w:val="2"/>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pStyle w:val="af0"/>
              <w:rPr>
                <w:sz w:val="20"/>
              </w:rPr>
            </w:pPr>
          </w:p>
        </w:tc>
        <w:tc>
          <w:tcPr>
            <w:tcW w:w="109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3271.8</w:t>
            </w:r>
          </w:p>
        </w:tc>
        <w:tc>
          <w:tcPr>
            <w:tcW w:w="91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3271.8</w:t>
            </w:r>
          </w:p>
        </w:tc>
        <w:tc>
          <w:tcPr>
            <w:tcW w:w="1185"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0</w:t>
            </w:r>
          </w:p>
        </w:tc>
        <w:tc>
          <w:tcPr>
            <w:tcW w:w="2120"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0</w:t>
            </w:r>
          </w:p>
        </w:tc>
      </w:tr>
      <w:tr w:rsidR="00F44F7B">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pStyle w:val="af0"/>
              <w:rPr>
                <w:sz w:val="20"/>
              </w:rPr>
            </w:pP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取土（石、沙）场</w:t>
            </w:r>
          </w:p>
        </w:tc>
        <w:tc>
          <w:tcPr>
            <w:tcW w:w="5315" w:type="dxa"/>
            <w:gridSpan w:val="1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不涉及</w:t>
            </w:r>
          </w:p>
        </w:tc>
      </w:tr>
      <w:tr w:rsidR="00F44F7B">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pStyle w:val="af0"/>
              <w:rPr>
                <w:sz w:val="20"/>
              </w:rPr>
            </w:pP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弃土（石、沙）场</w:t>
            </w:r>
          </w:p>
        </w:tc>
        <w:tc>
          <w:tcPr>
            <w:tcW w:w="5315" w:type="dxa"/>
            <w:gridSpan w:val="1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不涉及</w:t>
            </w:r>
          </w:p>
        </w:tc>
      </w:tr>
      <w:tr w:rsidR="00F44F7B">
        <w:trPr>
          <w:trHeight w:val="23"/>
        </w:trPr>
        <w:tc>
          <w:tcPr>
            <w:tcW w:w="1147"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项目区概况</w:t>
            </w: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涉及重点防治区情况</w:t>
            </w:r>
          </w:p>
        </w:tc>
        <w:tc>
          <w:tcPr>
            <w:tcW w:w="2251"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rFonts w:hint="eastAsia"/>
                <w:sz w:val="20"/>
              </w:rPr>
              <w:t>嘉陵江及沱江中下游国家级水土流失重点治理区</w:t>
            </w:r>
          </w:p>
        </w:tc>
        <w:tc>
          <w:tcPr>
            <w:tcW w:w="1939"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地貌类型</w:t>
            </w:r>
          </w:p>
        </w:tc>
        <w:tc>
          <w:tcPr>
            <w:tcW w:w="112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中山地貌</w:t>
            </w:r>
          </w:p>
        </w:tc>
      </w:tr>
      <w:tr w:rsidR="00F44F7B">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pStyle w:val="af0"/>
              <w:rPr>
                <w:sz w:val="20"/>
              </w:rPr>
            </w:pP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原地貌土壤侵蚀模数</w:t>
            </w:r>
            <w:r>
              <w:rPr>
                <w:sz w:val="20"/>
              </w:rPr>
              <w:t>[t/(km</w:t>
            </w:r>
            <w:r>
              <w:rPr>
                <w:sz w:val="20"/>
                <w:vertAlign w:val="superscript"/>
              </w:rPr>
              <w:t>2</w:t>
            </w:r>
            <w:r>
              <w:rPr>
                <w:sz w:val="20"/>
              </w:rPr>
              <w:t>·a</w:t>
            </w:r>
            <w:r>
              <w:rPr>
                <w:sz w:val="20"/>
              </w:rPr>
              <w:t>）</w:t>
            </w:r>
            <w:r>
              <w:rPr>
                <w:sz w:val="20"/>
              </w:rPr>
              <w:t>]</w:t>
            </w:r>
          </w:p>
        </w:tc>
        <w:tc>
          <w:tcPr>
            <w:tcW w:w="2251"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rFonts w:hint="eastAsia"/>
                <w:sz w:val="20"/>
              </w:rPr>
              <w:t>529</w:t>
            </w:r>
          </w:p>
        </w:tc>
        <w:tc>
          <w:tcPr>
            <w:tcW w:w="1939"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容许土壤流失量</w:t>
            </w:r>
            <w:r>
              <w:rPr>
                <w:sz w:val="20"/>
              </w:rPr>
              <w:t>[t/(km</w:t>
            </w:r>
            <w:r>
              <w:rPr>
                <w:sz w:val="20"/>
                <w:vertAlign w:val="superscript"/>
              </w:rPr>
              <w:t>2</w:t>
            </w:r>
            <w:r>
              <w:rPr>
                <w:sz w:val="20"/>
              </w:rPr>
              <w:t>·a</w:t>
            </w:r>
            <w:r>
              <w:rPr>
                <w:sz w:val="20"/>
              </w:rPr>
              <w:t>）</w:t>
            </w:r>
            <w:r>
              <w:rPr>
                <w:sz w:val="20"/>
              </w:rPr>
              <w:t>]</w:t>
            </w:r>
          </w:p>
        </w:tc>
        <w:tc>
          <w:tcPr>
            <w:tcW w:w="112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500</w:t>
            </w:r>
          </w:p>
        </w:tc>
      </w:tr>
      <w:tr w:rsidR="00F44F7B">
        <w:trPr>
          <w:trHeight w:val="23"/>
        </w:trPr>
        <w:tc>
          <w:tcPr>
            <w:tcW w:w="114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项目选址（线）水土保持评价</w:t>
            </w:r>
          </w:p>
        </w:tc>
        <w:tc>
          <w:tcPr>
            <w:tcW w:w="7189" w:type="dxa"/>
            <w:gridSpan w:val="1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spacing w:line="360" w:lineRule="auto"/>
              <w:ind w:firstLineChars="200" w:firstLine="400"/>
              <w:rPr>
                <w:sz w:val="20"/>
                <w:lang w:val="zh-CN"/>
              </w:rPr>
            </w:pPr>
            <w:r>
              <w:rPr>
                <w:sz w:val="20"/>
                <w:lang w:val="zh-CN"/>
              </w:rPr>
              <w:t>本项目选址唯一，无场址方案比选。本项目不在泥石流易发区、崩塌、滑坡危险区以及易引起严重水土流失和生态恶化的地区；本项目不在河流两岸、湖泊和水库周边的植物保护带范围内。本项目不属于全国水土保持监测网络中的水土保持监测站点、重点实验区及国家确定的水土保持长期定位观测站。本项目不存在绝对制约性因素。但</w:t>
            </w:r>
            <w:r>
              <w:rPr>
                <w:rFonts w:hint="eastAsia"/>
                <w:sz w:val="20"/>
                <w:lang w:val="zh-CN"/>
              </w:rPr>
              <w:t>工程所在的仪陇县属于嘉陵江及沱江中下游国家级水土流失重点治理区</w:t>
            </w:r>
            <w:r>
              <w:rPr>
                <w:sz w:val="20"/>
                <w:lang w:val="zh-CN"/>
              </w:rPr>
              <w:t>且本项目属于未批先建项目，违反水土保持法，本方案为补报方案。因此</w:t>
            </w:r>
            <w:r>
              <w:rPr>
                <w:rFonts w:hint="eastAsia"/>
                <w:sz w:val="20"/>
                <w:lang w:val="zh-CN"/>
              </w:rPr>
              <w:t>,</w:t>
            </w:r>
            <w:r>
              <w:rPr>
                <w:sz w:val="20"/>
                <w:lang w:val="zh-CN"/>
              </w:rPr>
              <w:t>本项目应执行</w:t>
            </w:r>
            <w:r>
              <w:rPr>
                <w:rFonts w:hint="eastAsia"/>
                <w:sz w:val="20"/>
                <w:lang w:val="zh-CN"/>
              </w:rPr>
              <w:t>西南紫色土区</w:t>
            </w:r>
            <w:r>
              <w:rPr>
                <w:sz w:val="20"/>
                <w:lang w:val="zh-CN"/>
              </w:rPr>
              <w:t>一级标准。</w:t>
            </w:r>
          </w:p>
        </w:tc>
      </w:tr>
      <w:tr w:rsidR="00F44F7B">
        <w:trPr>
          <w:trHeight w:val="90"/>
        </w:trPr>
        <w:tc>
          <w:tcPr>
            <w:tcW w:w="114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color w:val="0000FF"/>
                <w:sz w:val="20"/>
              </w:rPr>
            </w:pPr>
            <w:r>
              <w:rPr>
                <w:color w:val="0000FF"/>
                <w:sz w:val="20"/>
              </w:rPr>
              <w:t>预测水土流失总量</w:t>
            </w:r>
          </w:p>
        </w:tc>
        <w:tc>
          <w:tcPr>
            <w:tcW w:w="7189" w:type="dxa"/>
            <w:gridSpan w:val="1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color w:val="0000FF"/>
                <w:sz w:val="20"/>
              </w:rPr>
            </w:pPr>
            <w:r>
              <w:rPr>
                <w:color w:val="0000FF"/>
                <w:sz w:val="20"/>
              </w:rPr>
              <w:t>本项目工程可能造成的水土流失总量为</w:t>
            </w:r>
            <w:r>
              <w:rPr>
                <w:rFonts w:hint="eastAsia"/>
                <w:color w:val="0000FF"/>
                <w:sz w:val="20"/>
              </w:rPr>
              <w:t>2.81</w:t>
            </w:r>
            <w:r>
              <w:rPr>
                <w:color w:val="0000FF"/>
                <w:sz w:val="20"/>
              </w:rPr>
              <w:t>t</w:t>
            </w:r>
            <w:r>
              <w:rPr>
                <w:color w:val="0000FF"/>
                <w:sz w:val="20"/>
              </w:rPr>
              <w:t>，</w:t>
            </w:r>
            <w:r>
              <w:rPr>
                <w:rFonts w:hint="eastAsia"/>
                <w:color w:val="0000FF"/>
                <w:sz w:val="20"/>
              </w:rPr>
              <w:t>其中</w:t>
            </w:r>
            <w:r>
              <w:rPr>
                <w:color w:val="0000FF"/>
                <w:sz w:val="20"/>
              </w:rPr>
              <w:t>新增水土流失总量为</w:t>
            </w:r>
            <w:r>
              <w:rPr>
                <w:rFonts w:hint="eastAsia"/>
                <w:color w:val="0000FF"/>
                <w:sz w:val="20"/>
              </w:rPr>
              <w:t>0.89</w:t>
            </w:r>
            <w:r>
              <w:rPr>
                <w:color w:val="0000FF"/>
                <w:sz w:val="20"/>
              </w:rPr>
              <w:t>t</w:t>
            </w:r>
            <w:r>
              <w:rPr>
                <w:rFonts w:hint="eastAsia"/>
                <w:color w:val="0000FF"/>
                <w:sz w:val="20"/>
              </w:rPr>
              <w:t>。</w:t>
            </w:r>
          </w:p>
        </w:tc>
      </w:tr>
      <w:tr w:rsidR="00F44F7B">
        <w:trPr>
          <w:trHeight w:val="23"/>
        </w:trPr>
        <w:tc>
          <w:tcPr>
            <w:tcW w:w="114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color w:val="0000FF"/>
                <w:sz w:val="20"/>
              </w:rPr>
            </w:pPr>
            <w:r>
              <w:rPr>
                <w:color w:val="0000FF"/>
                <w:sz w:val="20"/>
              </w:rPr>
              <w:t>防治责任范围（</w:t>
            </w:r>
            <w:r>
              <w:rPr>
                <w:color w:val="0000FF"/>
                <w:sz w:val="20"/>
              </w:rPr>
              <w:t>hm</w:t>
            </w:r>
            <w:r>
              <w:rPr>
                <w:color w:val="0000FF"/>
                <w:sz w:val="20"/>
                <w:vertAlign w:val="superscript"/>
              </w:rPr>
              <w:t>2</w:t>
            </w:r>
            <w:r>
              <w:rPr>
                <w:color w:val="0000FF"/>
                <w:sz w:val="20"/>
              </w:rPr>
              <w:t>）</w:t>
            </w:r>
          </w:p>
        </w:tc>
        <w:tc>
          <w:tcPr>
            <w:tcW w:w="7189" w:type="dxa"/>
            <w:gridSpan w:val="1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jc w:val="left"/>
              <w:rPr>
                <w:color w:val="0000FF"/>
                <w:sz w:val="20"/>
              </w:rPr>
            </w:pPr>
            <w:r>
              <w:rPr>
                <w:color w:val="0000FF"/>
                <w:sz w:val="20"/>
              </w:rPr>
              <w:t>防治责任范围面积为</w:t>
            </w:r>
            <w:r>
              <w:rPr>
                <w:rFonts w:hint="eastAsia"/>
                <w:color w:val="0000FF"/>
                <w:sz w:val="20"/>
              </w:rPr>
              <w:t>0.43h</w:t>
            </w:r>
            <w:r>
              <w:rPr>
                <w:color w:val="0000FF"/>
                <w:sz w:val="20"/>
              </w:rPr>
              <w:t>m</w:t>
            </w:r>
            <w:r>
              <w:rPr>
                <w:color w:val="0000FF"/>
                <w:sz w:val="20"/>
                <w:vertAlign w:val="superscript"/>
              </w:rPr>
              <w:t>2</w:t>
            </w:r>
          </w:p>
        </w:tc>
      </w:tr>
      <w:tr w:rsidR="00F44F7B">
        <w:trPr>
          <w:trHeight w:val="23"/>
        </w:trPr>
        <w:tc>
          <w:tcPr>
            <w:tcW w:w="1147"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防治标准等级及目标</w:t>
            </w: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color w:val="0000FF"/>
                <w:sz w:val="20"/>
              </w:rPr>
            </w:pPr>
            <w:r>
              <w:rPr>
                <w:color w:val="0000FF"/>
                <w:sz w:val="20"/>
              </w:rPr>
              <w:t>水土流失治理度（</w:t>
            </w:r>
            <w:r>
              <w:rPr>
                <w:color w:val="0000FF"/>
                <w:sz w:val="20"/>
              </w:rPr>
              <w:t>%</w:t>
            </w:r>
            <w:r>
              <w:rPr>
                <w:color w:val="0000FF"/>
                <w:sz w:val="20"/>
              </w:rPr>
              <w:t>）</w:t>
            </w:r>
          </w:p>
        </w:tc>
        <w:tc>
          <w:tcPr>
            <w:tcW w:w="2251"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color w:val="0000FF"/>
                <w:sz w:val="20"/>
              </w:rPr>
            </w:pPr>
            <w:r>
              <w:rPr>
                <w:color w:val="0000FF"/>
                <w:sz w:val="20"/>
              </w:rPr>
              <w:t>97</w:t>
            </w:r>
          </w:p>
        </w:tc>
        <w:tc>
          <w:tcPr>
            <w:tcW w:w="1939"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color w:val="0000FF"/>
                <w:sz w:val="20"/>
              </w:rPr>
            </w:pPr>
            <w:r>
              <w:rPr>
                <w:color w:val="0000FF"/>
                <w:sz w:val="20"/>
              </w:rPr>
              <w:t>水土流失控制比</w:t>
            </w:r>
          </w:p>
        </w:tc>
        <w:tc>
          <w:tcPr>
            <w:tcW w:w="112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color w:val="0000FF"/>
                <w:sz w:val="20"/>
              </w:rPr>
            </w:pPr>
            <w:r>
              <w:rPr>
                <w:color w:val="0000FF"/>
                <w:sz w:val="20"/>
              </w:rPr>
              <w:t>1</w:t>
            </w:r>
          </w:p>
        </w:tc>
      </w:tr>
      <w:tr w:rsidR="00F44F7B">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pStyle w:val="af0"/>
              <w:rPr>
                <w:sz w:val="20"/>
              </w:rPr>
            </w:pP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color w:val="0000FF"/>
                <w:sz w:val="20"/>
              </w:rPr>
            </w:pPr>
            <w:r>
              <w:rPr>
                <w:color w:val="0000FF"/>
                <w:sz w:val="20"/>
              </w:rPr>
              <w:t>渣土防护率（</w:t>
            </w:r>
            <w:r>
              <w:rPr>
                <w:color w:val="0000FF"/>
                <w:sz w:val="20"/>
              </w:rPr>
              <w:t>%</w:t>
            </w:r>
            <w:r>
              <w:rPr>
                <w:color w:val="0000FF"/>
                <w:sz w:val="20"/>
              </w:rPr>
              <w:t>）</w:t>
            </w:r>
          </w:p>
        </w:tc>
        <w:tc>
          <w:tcPr>
            <w:tcW w:w="2251"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color w:val="0000FF"/>
                <w:sz w:val="20"/>
              </w:rPr>
            </w:pPr>
            <w:r>
              <w:rPr>
                <w:color w:val="0000FF"/>
                <w:sz w:val="20"/>
              </w:rPr>
              <w:t>9</w:t>
            </w:r>
            <w:r>
              <w:rPr>
                <w:rFonts w:hint="eastAsia"/>
                <w:color w:val="0000FF"/>
                <w:sz w:val="20"/>
              </w:rPr>
              <w:t>2</w:t>
            </w:r>
          </w:p>
        </w:tc>
        <w:tc>
          <w:tcPr>
            <w:tcW w:w="1939"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color w:val="0000FF"/>
                <w:sz w:val="20"/>
              </w:rPr>
            </w:pPr>
            <w:r>
              <w:rPr>
                <w:color w:val="0000FF"/>
                <w:sz w:val="20"/>
              </w:rPr>
              <w:t>表土保护率（</w:t>
            </w:r>
            <w:r>
              <w:rPr>
                <w:color w:val="0000FF"/>
                <w:sz w:val="20"/>
              </w:rPr>
              <w:t>%</w:t>
            </w:r>
            <w:r>
              <w:rPr>
                <w:color w:val="0000FF"/>
                <w:sz w:val="20"/>
              </w:rPr>
              <w:t>）</w:t>
            </w:r>
          </w:p>
        </w:tc>
        <w:tc>
          <w:tcPr>
            <w:tcW w:w="112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color w:val="0000FF"/>
                <w:sz w:val="20"/>
              </w:rPr>
            </w:pPr>
            <w:r>
              <w:rPr>
                <w:color w:val="0000FF"/>
                <w:sz w:val="20"/>
              </w:rPr>
              <w:t>9</w:t>
            </w:r>
            <w:r>
              <w:rPr>
                <w:rFonts w:hint="eastAsia"/>
                <w:color w:val="0000FF"/>
                <w:sz w:val="20"/>
              </w:rPr>
              <w:t>2</w:t>
            </w:r>
          </w:p>
        </w:tc>
      </w:tr>
      <w:tr w:rsidR="00F44F7B">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pStyle w:val="af0"/>
              <w:rPr>
                <w:sz w:val="20"/>
              </w:rPr>
            </w:pP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color w:val="0000FF"/>
                <w:sz w:val="20"/>
              </w:rPr>
            </w:pPr>
            <w:r>
              <w:rPr>
                <w:color w:val="0000FF"/>
                <w:sz w:val="20"/>
              </w:rPr>
              <w:t>林草植被恢复率（</w:t>
            </w:r>
            <w:r>
              <w:rPr>
                <w:color w:val="0000FF"/>
                <w:sz w:val="20"/>
              </w:rPr>
              <w:t>%</w:t>
            </w:r>
            <w:r>
              <w:rPr>
                <w:color w:val="0000FF"/>
                <w:sz w:val="20"/>
              </w:rPr>
              <w:t>）</w:t>
            </w:r>
          </w:p>
        </w:tc>
        <w:tc>
          <w:tcPr>
            <w:tcW w:w="2251"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color w:val="0000FF"/>
                <w:sz w:val="20"/>
              </w:rPr>
            </w:pPr>
            <w:r>
              <w:rPr>
                <w:color w:val="0000FF"/>
                <w:sz w:val="20"/>
              </w:rPr>
              <w:t>9</w:t>
            </w:r>
            <w:r>
              <w:rPr>
                <w:rFonts w:hint="eastAsia"/>
                <w:color w:val="0000FF"/>
                <w:sz w:val="20"/>
              </w:rPr>
              <w:t>7</w:t>
            </w:r>
          </w:p>
        </w:tc>
        <w:tc>
          <w:tcPr>
            <w:tcW w:w="1939"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color w:val="0000FF"/>
                <w:sz w:val="20"/>
              </w:rPr>
            </w:pPr>
            <w:r>
              <w:rPr>
                <w:color w:val="0000FF"/>
                <w:sz w:val="20"/>
              </w:rPr>
              <w:t>林草覆盖率（</w:t>
            </w:r>
            <w:r>
              <w:rPr>
                <w:color w:val="0000FF"/>
                <w:sz w:val="20"/>
              </w:rPr>
              <w:t>%</w:t>
            </w:r>
            <w:r>
              <w:rPr>
                <w:color w:val="0000FF"/>
                <w:sz w:val="20"/>
              </w:rPr>
              <w:t>）</w:t>
            </w:r>
          </w:p>
        </w:tc>
        <w:tc>
          <w:tcPr>
            <w:tcW w:w="112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color w:val="0000FF"/>
                <w:sz w:val="20"/>
              </w:rPr>
            </w:pPr>
            <w:r>
              <w:rPr>
                <w:rFonts w:hint="eastAsia"/>
                <w:color w:val="0000FF"/>
                <w:sz w:val="20"/>
              </w:rPr>
              <w:t>5</w:t>
            </w:r>
          </w:p>
        </w:tc>
      </w:tr>
      <w:tr w:rsidR="00F44F7B">
        <w:trPr>
          <w:trHeight w:val="23"/>
        </w:trPr>
        <w:tc>
          <w:tcPr>
            <w:tcW w:w="114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水土保持措施</w:t>
            </w:r>
          </w:p>
        </w:tc>
        <w:tc>
          <w:tcPr>
            <w:tcW w:w="7189" w:type="dxa"/>
            <w:gridSpan w:val="1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jc w:val="both"/>
              <w:rPr>
                <w:sz w:val="20"/>
                <w:szCs w:val="22"/>
                <w:lang w:val="zh-CN"/>
              </w:rPr>
            </w:pPr>
            <w:r>
              <w:rPr>
                <w:rFonts w:hint="eastAsia"/>
                <w:sz w:val="20"/>
                <w:szCs w:val="22"/>
                <w:lang w:val="zh-CN"/>
              </w:rPr>
              <w:t>建构筑物区</w:t>
            </w:r>
            <w:r>
              <w:rPr>
                <w:rFonts w:hint="eastAsia"/>
                <w:sz w:val="20"/>
                <w:szCs w:val="22"/>
                <w:lang w:val="zh-CN"/>
              </w:rPr>
              <w:t>：主体在施工在进行了表土剥离</w:t>
            </w:r>
            <w:r>
              <w:rPr>
                <w:rFonts w:hint="eastAsia"/>
                <w:sz w:val="20"/>
                <w:szCs w:val="22"/>
                <w:lang w:val="zh-CN"/>
              </w:rPr>
              <w:t>1000m3</w:t>
            </w:r>
            <w:r>
              <w:rPr>
                <w:rFonts w:hint="eastAsia"/>
                <w:sz w:val="20"/>
                <w:szCs w:val="22"/>
                <w:lang w:val="zh-CN"/>
              </w:rPr>
              <w:t>。在项目建设区四周设立排水沟，雨水管排水措施，雨水管采用Ⅱ级钢筋混凝土管直径</w:t>
            </w:r>
            <w:r>
              <w:rPr>
                <w:rFonts w:hint="eastAsia"/>
                <w:sz w:val="20"/>
                <w:szCs w:val="22"/>
                <w:lang w:val="zh-CN"/>
              </w:rPr>
              <w:t>800</w:t>
            </w:r>
            <w:r>
              <w:rPr>
                <w:rFonts w:hint="eastAsia"/>
                <w:sz w:val="20"/>
                <w:szCs w:val="22"/>
                <w:lang w:val="zh-CN"/>
              </w:rPr>
              <w:t>，</w:t>
            </w:r>
            <w:r>
              <w:rPr>
                <w:rFonts w:hint="eastAsia"/>
                <w:sz w:val="20"/>
                <w:szCs w:val="22"/>
                <w:lang w:val="zh-CN"/>
              </w:rPr>
              <w:t>120</w:t>
            </w:r>
            <w:r>
              <w:rPr>
                <w:rFonts w:hint="eastAsia"/>
                <w:sz w:val="20"/>
                <w:szCs w:val="22"/>
                <w:lang w:val="zh-CN"/>
              </w:rPr>
              <w:t>度混凝土基础，雨水支管采用</w:t>
            </w:r>
            <w:r>
              <w:rPr>
                <w:rFonts w:hint="eastAsia"/>
                <w:sz w:val="20"/>
                <w:szCs w:val="22"/>
                <w:lang w:val="zh-CN"/>
              </w:rPr>
              <w:t>DN300</w:t>
            </w:r>
            <w:r>
              <w:rPr>
                <w:rFonts w:hint="eastAsia"/>
                <w:sz w:val="20"/>
                <w:szCs w:val="22"/>
                <w:lang w:val="zh-CN"/>
              </w:rPr>
              <w:t>，</w:t>
            </w:r>
            <w:r>
              <w:rPr>
                <w:rFonts w:hint="eastAsia"/>
                <w:sz w:val="20"/>
                <w:szCs w:val="22"/>
                <w:lang w:val="zh-CN"/>
              </w:rPr>
              <w:t>HDPE</w:t>
            </w:r>
            <w:r>
              <w:rPr>
                <w:rFonts w:hint="eastAsia"/>
                <w:sz w:val="20"/>
                <w:szCs w:val="22"/>
                <w:lang w:val="zh-CN"/>
              </w:rPr>
              <w:t>管，沙土垫层。</w:t>
            </w:r>
          </w:p>
          <w:p w:rsidR="00F44F7B" w:rsidRDefault="00730D49">
            <w:pPr>
              <w:pStyle w:val="af0"/>
              <w:jc w:val="both"/>
              <w:rPr>
                <w:sz w:val="20"/>
              </w:rPr>
            </w:pPr>
            <w:r>
              <w:rPr>
                <w:rFonts w:hint="eastAsia"/>
                <w:sz w:val="20"/>
                <w:szCs w:val="22"/>
                <w:lang w:val="zh-CN"/>
              </w:rPr>
              <w:t>配套设施</w:t>
            </w:r>
            <w:r>
              <w:rPr>
                <w:sz w:val="20"/>
                <w:szCs w:val="22"/>
                <w:lang w:val="zh-CN"/>
              </w:rPr>
              <w:t>区：</w:t>
            </w:r>
            <w:r>
              <w:rPr>
                <w:rFonts w:hint="eastAsia"/>
                <w:sz w:val="20"/>
                <w:szCs w:val="22"/>
                <w:lang w:val="zh-CN"/>
              </w:rPr>
              <w:t>主体在施工在进行了表土剥离</w:t>
            </w:r>
            <w:r>
              <w:rPr>
                <w:sz w:val="20"/>
                <w:szCs w:val="22"/>
                <w:lang w:val="zh-CN"/>
              </w:rPr>
              <w:t>3</w:t>
            </w:r>
            <w:r>
              <w:rPr>
                <w:rFonts w:hint="eastAsia"/>
                <w:sz w:val="20"/>
                <w:szCs w:val="22"/>
                <w:lang w:val="zh-CN"/>
              </w:rPr>
              <w:t>75m3</w:t>
            </w:r>
            <w:r>
              <w:rPr>
                <w:rFonts w:hint="eastAsia"/>
                <w:sz w:val="20"/>
                <w:szCs w:val="22"/>
                <w:lang w:val="zh-CN"/>
              </w:rPr>
              <w:t>。施工结束后，在绿化区域进行</w:t>
            </w:r>
            <w:r>
              <w:rPr>
                <w:rFonts w:hint="eastAsia"/>
                <w:sz w:val="20"/>
                <w:szCs w:val="22"/>
                <w:lang w:val="zh-CN"/>
              </w:rPr>
              <w:t>表土回覆</w:t>
            </w:r>
            <w:r>
              <w:rPr>
                <w:sz w:val="20"/>
                <w:szCs w:val="22"/>
                <w:lang w:val="zh-CN"/>
              </w:rPr>
              <w:t>3</w:t>
            </w:r>
            <w:r>
              <w:rPr>
                <w:rFonts w:hint="eastAsia"/>
                <w:sz w:val="20"/>
                <w:szCs w:val="22"/>
                <w:lang w:val="zh-CN"/>
              </w:rPr>
              <w:t>75m3</w:t>
            </w:r>
            <w:r>
              <w:rPr>
                <w:rFonts w:hint="eastAsia"/>
                <w:sz w:val="20"/>
                <w:szCs w:val="22"/>
                <w:lang w:val="zh-CN"/>
              </w:rPr>
              <w:t>。在植物绿化区域种植乔木和结缕草，面积</w:t>
            </w:r>
            <w:r>
              <w:rPr>
                <w:sz w:val="20"/>
                <w:szCs w:val="22"/>
                <w:lang w:val="zh-CN"/>
              </w:rPr>
              <w:t>200</w:t>
            </w:r>
            <w:r>
              <w:rPr>
                <w:rFonts w:hint="eastAsia"/>
                <w:sz w:val="20"/>
                <w:szCs w:val="22"/>
                <w:lang w:val="zh-CN"/>
              </w:rPr>
              <w:t>m</w:t>
            </w:r>
            <w:r>
              <w:rPr>
                <w:sz w:val="20"/>
                <w:szCs w:val="22"/>
                <w:lang w:val="zh-CN"/>
              </w:rPr>
              <w:t>2</w:t>
            </w:r>
            <w:r>
              <w:rPr>
                <w:rFonts w:hint="eastAsia"/>
                <w:sz w:val="20"/>
                <w:szCs w:val="22"/>
                <w:lang w:val="zh-CN"/>
              </w:rPr>
              <w:t>。</w:t>
            </w:r>
          </w:p>
        </w:tc>
      </w:tr>
      <w:tr w:rsidR="00F44F7B">
        <w:trPr>
          <w:trHeight w:val="23"/>
        </w:trPr>
        <w:tc>
          <w:tcPr>
            <w:tcW w:w="1147"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color w:val="0000FF"/>
                <w:sz w:val="20"/>
              </w:rPr>
            </w:pPr>
            <w:r>
              <w:rPr>
                <w:color w:val="0000FF"/>
                <w:sz w:val="20"/>
              </w:rPr>
              <w:t>水土保持投资（万元）</w:t>
            </w:r>
          </w:p>
        </w:tc>
        <w:tc>
          <w:tcPr>
            <w:tcW w:w="1960"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color w:val="0000FF"/>
                <w:sz w:val="20"/>
              </w:rPr>
            </w:pPr>
            <w:r>
              <w:rPr>
                <w:color w:val="0000FF"/>
                <w:sz w:val="20"/>
              </w:rPr>
              <w:t>工程措施</w:t>
            </w:r>
          </w:p>
        </w:tc>
        <w:tc>
          <w:tcPr>
            <w:tcW w:w="2186"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color w:val="0000FF"/>
                <w:sz w:val="20"/>
              </w:rPr>
            </w:pPr>
            <w:r>
              <w:rPr>
                <w:color w:val="0000FF"/>
                <w:sz w:val="20"/>
              </w:rPr>
              <w:t>8.</w:t>
            </w:r>
            <w:r>
              <w:rPr>
                <w:rFonts w:hint="eastAsia"/>
                <w:color w:val="0000FF"/>
                <w:sz w:val="20"/>
              </w:rPr>
              <w:t>00</w:t>
            </w:r>
          </w:p>
        </w:tc>
        <w:tc>
          <w:tcPr>
            <w:tcW w:w="1929"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color w:val="0000FF"/>
                <w:sz w:val="20"/>
              </w:rPr>
            </w:pPr>
            <w:r>
              <w:rPr>
                <w:color w:val="0000FF"/>
                <w:sz w:val="20"/>
              </w:rPr>
              <w:t>植物措施</w:t>
            </w:r>
          </w:p>
        </w:tc>
        <w:tc>
          <w:tcPr>
            <w:tcW w:w="111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color w:val="0000FF"/>
                <w:sz w:val="20"/>
              </w:rPr>
            </w:pPr>
            <w:r>
              <w:rPr>
                <w:color w:val="0000FF"/>
                <w:sz w:val="20"/>
              </w:rPr>
              <w:t>0.25</w:t>
            </w:r>
          </w:p>
        </w:tc>
      </w:tr>
      <w:tr w:rsidR="00F44F7B">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pStyle w:val="af0"/>
              <w:rPr>
                <w:color w:val="0000FF"/>
                <w:sz w:val="20"/>
              </w:rPr>
            </w:pPr>
          </w:p>
        </w:tc>
        <w:tc>
          <w:tcPr>
            <w:tcW w:w="1960"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color w:val="0000FF"/>
                <w:sz w:val="20"/>
              </w:rPr>
            </w:pPr>
            <w:r>
              <w:rPr>
                <w:color w:val="0000FF"/>
                <w:sz w:val="20"/>
              </w:rPr>
              <w:t>临时措施</w:t>
            </w:r>
          </w:p>
        </w:tc>
        <w:tc>
          <w:tcPr>
            <w:tcW w:w="2186"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color w:val="0000FF"/>
                <w:sz w:val="20"/>
              </w:rPr>
            </w:pPr>
            <w:r>
              <w:rPr>
                <w:rFonts w:hint="eastAsia"/>
                <w:color w:val="0000FF"/>
                <w:sz w:val="20"/>
              </w:rPr>
              <w:t>0.60</w:t>
            </w:r>
          </w:p>
        </w:tc>
        <w:tc>
          <w:tcPr>
            <w:tcW w:w="1929"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color w:val="0000FF"/>
                <w:sz w:val="20"/>
              </w:rPr>
            </w:pPr>
            <w:r>
              <w:rPr>
                <w:color w:val="0000FF"/>
                <w:sz w:val="20"/>
              </w:rPr>
              <w:t>水土保持补偿费</w:t>
            </w:r>
          </w:p>
        </w:tc>
        <w:tc>
          <w:tcPr>
            <w:tcW w:w="1114"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color w:val="0000FF"/>
                <w:sz w:val="20"/>
              </w:rPr>
            </w:pPr>
            <w:r>
              <w:rPr>
                <w:rFonts w:hint="eastAsia"/>
                <w:color w:val="0000FF"/>
                <w:sz w:val="20"/>
              </w:rPr>
              <w:t>0.555</w:t>
            </w:r>
          </w:p>
        </w:tc>
      </w:tr>
      <w:tr w:rsidR="00F44F7B">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pStyle w:val="af0"/>
              <w:rPr>
                <w:color w:val="0000FF"/>
                <w:sz w:val="20"/>
              </w:rPr>
            </w:pPr>
          </w:p>
        </w:tc>
        <w:tc>
          <w:tcPr>
            <w:tcW w:w="1960" w:type="dxa"/>
            <w:gridSpan w:val="3"/>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color w:val="0000FF"/>
                <w:sz w:val="20"/>
                <w:szCs w:val="22"/>
              </w:rPr>
            </w:pPr>
            <w:r>
              <w:rPr>
                <w:color w:val="0000FF"/>
                <w:sz w:val="20"/>
                <w:szCs w:val="22"/>
              </w:rPr>
              <w:t>独立费用</w:t>
            </w:r>
          </w:p>
        </w:tc>
        <w:tc>
          <w:tcPr>
            <w:tcW w:w="2558"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color w:val="0000FF"/>
                <w:sz w:val="20"/>
                <w:szCs w:val="22"/>
              </w:rPr>
            </w:pPr>
            <w:r>
              <w:rPr>
                <w:color w:val="0000FF"/>
                <w:sz w:val="20"/>
                <w:szCs w:val="22"/>
              </w:rPr>
              <w:t>建设管理费</w:t>
            </w:r>
          </w:p>
        </w:tc>
        <w:tc>
          <w:tcPr>
            <w:tcW w:w="2671"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color w:val="0000FF"/>
                <w:sz w:val="20"/>
                <w:szCs w:val="22"/>
              </w:rPr>
            </w:pPr>
            <w:r>
              <w:rPr>
                <w:color w:val="0000FF"/>
                <w:sz w:val="20"/>
                <w:szCs w:val="22"/>
              </w:rPr>
              <w:t>0</w:t>
            </w:r>
          </w:p>
        </w:tc>
      </w:tr>
      <w:tr w:rsidR="00F44F7B">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pStyle w:val="af0"/>
              <w:rPr>
                <w:color w:val="0000FF"/>
                <w:sz w:val="20"/>
              </w:rPr>
            </w:pPr>
          </w:p>
        </w:tc>
        <w:tc>
          <w:tcPr>
            <w:tcW w:w="1960" w:type="dxa"/>
            <w:gridSpan w:val="3"/>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pStyle w:val="af0"/>
              <w:rPr>
                <w:color w:val="0000FF"/>
                <w:sz w:val="20"/>
                <w:szCs w:val="22"/>
              </w:rPr>
            </w:pPr>
          </w:p>
        </w:tc>
        <w:tc>
          <w:tcPr>
            <w:tcW w:w="2558"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color w:val="0000FF"/>
                <w:sz w:val="20"/>
                <w:szCs w:val="22"/>
              </w:rPr>
            </w:pPr>
            <w:r>
              <w:rPr>
                <w:color w:val="0000FF"/>
                <w:sz w:val="20"/>
                <w:szCs w:val="22"/>
              </w:rPr>
              <w:t>水土保持方案编制费</w:t>
            </w:r>
          </w:p>
        </w:tc>
        <w:tc>
          <w:tcPr>
            <w:tcW w:w="2671"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color w:val="0000FF"/>
                <w:sz w:val="20"/>
                <w:szCs w:val="22"/>
              </w:rPr>
            </w:pPr>
            <w:r>
              <w:rPr>
                <w:color w:val="0000FF"/>
                <w:sz w:val="20"/>
                <w:szCs w:val="22"/>
              </w:rPr>
              <w:t>3.5</w:t>
            </w:r>
          </w:p>
        </w:tc>
      </w:tr>
      <w:tr w:rsidR="00F44F7B">
        <w:trPr>
          <w:trHeight w:val="141"/>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pStyle w:val="af0"/>
              <w:rPr>
                <w:color w:val="0000FF"/>
                <w:sz w:val="20"/>
              </w:rPr>
            </w:pPr>
          </w:p>
        </w:tc>
        <w:tc>
          <w:tcPr>
            <w:tcW w:w="1960" w:type="dxa"/>
            <w:gridSpan w:val="3"/>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pStyle w:val="af0"/>
              <w:rPr>
                <w:color w:val="0000FF"/>
                <w:sz w:val="20"/>
                <w:szCs w:val="22"/>
              </w:rPr>
            </w:pPr>
          </w:p>
        </w:tc>
        <w:tc>
          <w:tcPr>
            <w:tcW w:w="2558"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color w:val="0000FF"/>
                <w:sz w:val="20"/>
                <w:szCs w:val="22"/>
              </w:rPr>
            </w:pPr>
            <w:r>
              <w:rPr>
                <w:color w:val="0000FF"/>
                <w:sz w:val="20"/>
                <w:szCs w:val="22"/>
              </w:rPr>
              <w:t>水土保持设施竣工验收费</w:t>
            </w:r>
          </w:p>
        </w:tc>
        <w:tc>
          <w:tcPr>
            <w:tcW w:w="2671"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color w:val="0000FF"/>
                <w:sz w:val="20"/>
                <w:szCs w:val="22"/>
              </w:rPr>
            </w:pPr>
            <w:r>
              <w:rPr>
                <w:color w:val="0000FF"/>
                <w:sz w:val="20"/>
                <w:szCs w:val="22"/>
              </w:rPr>
              <w:t>3.8</w:t>
            </w:r>
          </w:p>
        </w:tc>
      </w:tr>
      <w:tr w:rsidR="00F44F7B">
        <w:trPr>
          <w:trHeight w:val="23"/>
        </w:trPr>
        <w:tc>
          <w:tcPr>
            <w:tcW w:w="1147" w:type="dxa"/>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pStyle w:val="af0"/>
              <w:rPr>
                <w:color w:val="0000FF"/>
                <w:sz w:val="20"/>
              </w:rPr>
            </w:pPr>
          </w:p>
        </w:tc>
        <w:tc>
          <w:tcPr>
            <w:tcW w:w="1960" w:type="dxa"/>
            <w:gridSpan w:val="3"/>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color w:val="0000FF"/>
                <w:sz w:val="20"/>
                <w:szCs w:val="22"/>
              </w:rPr>
            </w:pPr>
            <w:r>
              <w:rPr>
                <w:color w:val="0000FF"/>
                <w:sz w:val="20"/>
                <w:szCs w:val="22"/>
              </w:rPr>
              <w:t>总投资</w:t>
            </w:r>
          </w:p>
        </w:tc>
        <w:tc>
          <w:tcPr>
            <w:tcW w:w="5229" w:type="dxa"/>
            <w:gridSpan w:val="1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color w:val="0000FF"/>
                <w:sz w:val="20"/>
                <w:szCs w:val="22"/>
              </w:rPr>
            </w:pPr>
            <w:r>
              <w:rPr>
                <w:rFonts w:hint="eastAsia"/>
                <w:color w:val="0000FF"/>
                <w:sz w:val="20"/>
                <w:szCs w:val="22"/>
              </w:rPr>
              <w:t>19.70</w:t>
            </w:r>
          </w:p>
        </w:tc>
      </w:tr>
      <w:tr w:rsidR="00F44F7B">
        <w:trPr>
          <w:trHeight w:val="23"/>
        </w:trPr>
        <w:tc>
          <w:tcPr>
            <w:tcW w:w="150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编制单位</w:t>
            </w:r>
          </w:p>
        </w:tc>
        <w:tc>
          <w:tcPr>
            <w:tcW w:w="2889"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rFonts w:hint="eastAsia"/>
                <w:sz w:val="20"/>
              </w:rPr>
              <w:t>四川丰讯工程技术咨询有限公司</w:t>
            </w:r>
          </w:p>
        </w:tc>
        <w:tc>
          <w:tcPr>
            <w:tcW w:w="1290"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建设单位</w:t>
            </w:r>
          </w:p>
        </w:tc>
        <w:tc>
          <w:tcPr>
            <w:tcW w:w="2649"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rFonts w:hint="eastAsia"/>
                <w:sz w:val="20"/>
              </w:rPr>
              <w:t>仪陇县公安局</w:t>
            </w:r>
          </w:p>
        </w:tc>
      </w:tr>
      <w:tr w:rsidR="00F44F7B">
        <w:trPr>
          <w:trHeight w:val="23"/>
        </w:trPr>
        <w:tc>
          <w:tcPr>
            <w:tcW w:w="150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法人代表</w:t>
            </w:r>
          </w:p>
        </w:tc>
        <w:tc>
          <w:tcPr>
            <w:tcW w:w="2889"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rFonts w:hint="eastAsia"/>
                <w:sz w:val="20"/>
              </w:rPr>
              <w:t>吴</w:t>
            </w:r>
            <w:r>
              <w:rPr>
                <w:rFonts w:hint="eastAsia"/>
                <w:sz w:val="20"/>
              </w:rPr>
              <w:t>韬</w:t>
            </w:r>
          </w:p>
        </w:tc>
        <w:tc>
          <w:tcPr>
            <w:tcW w:w="1290"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法人代表</w:t>
            </w:r>
          </w:p>
        </w:tc>
        <w:tc>
          <w:tcPr>
            <w:tcW w:w="2649"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胡成麒</w:t>
            </w:r>
          </w:p>
        </w:tc>
      </w:tr>
      <w:tr w:rsidR="00F44F7B">
        <w:trPr>
          <w:trHeight w:val="23"/>
        </w:trPr>
        <w:tc>
          <w:tcPr>
            <w:tcW w:w="150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lastRenderedPageBreak/>
              <w:t>地址</w:t>
            </w:r>
          </w:p>
        </w:tc>
        <w:tc>
          <w:tcPr>
            <w:tcW w:w="2889"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rFonts w:hint="eastAsia"/>
                <w:kern w:val="0"/>
                <w:sz w:val="20"/>
                <w:lang w:bidi="ar"/>
              </w:rPr>
              <w:t>成都市金牛区金青路</w:t>
            </w:r>
            <w:r>
              <w:rPr>
                <w:rFonts w:hint="eastAsia"/>
                <w:kern w:val="0"/>
                <w:sz w:val="20"/>
                <w:lang w:bidi="ar"/>
              </w:rPr>
              <w:t>62</w:t>
            </w:r>
            <w:r>
              <w:rPr>
                <w:rFonts w:hint="eastAsia"/>
                <w:kern w:val="0"/>
                <w:sz w:val="20"/>
                <w:lang w:bidi="ar"/>
              </w:rPr>
              <w:t>号附</w:t>
            </w:r>
            <w:r>
              <w:rPr>
                <w:rFonts w:hint="eastAsia"/>
                <w:kern w:val="0"/>
                <w:sz w:val="20"/>
                <w:lang w:bidi="ar"/>
              </w:rPr>
              <w:t>58</w:t>
            </w:r>
            <w:r>
              <w:rPr>
                <w:rFonts w:hint="eastAsia"/>
                <w:kern w:val="0"/>
                <w:sz w:val="20"/>
                <w:lang w:bidi="ar"/>
              </w:rPr>
              <w:t>号</w:t>
            </w:r>
          </w:p>
        </w:tc>
        <w:tc>
          <w:tcPr>
            <w:tcW w:w="1290"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地址</w:t>
            </w:r>
          </w:p>
        </w:tc>
        <w:tc>
          <w:tcPr>
            <w:tcW w:w="2649"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rFonts w:hint="eastAsia"/>
                <w:sz w:val="20"/>
              </w:rPr>
              <w:t>仪陇县度门镇</w:t>
            </w:r>
          </w:p>
        </w:tc>
      </w:tr>
      <w:tr w:rsidR="00F44F7B">
        <w:trPr>
          <w:trHeight w:val="23"/>
        </w:trPr>
        <w:tc>
          <w:tcPr>
            <w:tcW w:w="150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邮编</w:t>
            </w:r>
          </w:p>
        </w:tc>
        <w:tc>
          <w:tcPr>
            <w:tcW w:w="2889"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86EE5">
            <w:pPr>
              <w:pStyle w:val="af0"/>
              <w:rPr>
                <w:sz w:val="20"/>
              </w:rPr>
            </w:pPr>
            <w:r>
              <w:rPr>
                <w:sz w:val="20"/>
              </w:rPr>
              <w:t>630000</w:t>
            </w:r>
          </w:p>
        </w:tc>
        <w:tc>
          <w:tcPr>
            <w:tcW w:w="1290"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邮编</w:t>
            </w:r>
          </w:p>
        </w:tc>
        <w:tc>
          <w:tcPr>
            <w:tcW w:w="2649"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561000</w:t>
            </w:r>
          </w:p>
        </w:tc>
      </w:tr>
      <w:tr w:rsidR="00F44F7B">
        <w:trPr>
          <w:trHeight w:val="23"/>
        </w:trPr>
        <w:tc>
          <w:tcPr>
            <w:tcW w:w="150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联系人及电话</w:t>
            </w:r>
          </w:p>
        </w:tc>
        <w:tc>
          <w:tcPr>
            <w:tcW w:w="2889"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86EE5" w:rsidP="00786EE5">
            <w:pPr>
              <w:pStyle w:val="af0"/>
              <w:rPr>
                <w:sz w:val="20"/>
              </w:rPr>
            </w:pPr>
            <w:r>
              <w:rPr>
                <w:rFonts w:hint="eastAsia"/>
                <w:kern w:val="0"/>
                <w:sz w:val="20"/>
              </w:rPr>
              <w:t>吴韬</w:t>
            </w:r>
            <w:r w:rsidR="00730D49">
              <w:rPr>
                <w:kern w:val="0"/>
                <w:sz w:val="20"/>
              </w:rPr>
              <w:t>/</w:t>
            </w:r>
            <w:r>
              <w:rPr>
                <w:kern w:val="0"/>
                <w:sz w:val="20"/>
              </w:rPr>
              <w:t>18581506588</w:t>
            </w:r>
          </w:p>
        </w:tc>
        <w:tc>
          <w:tcPr>
            <w:tcW w:w="1290"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联</w:t>
            </w:r>
            <w:r>
              <w:rPr>
                <w:sz w:val="20"/>
              </w:rPr>
              <w:t>系人及电话</w:t>
            </w:r>
          </w:p>
        </w:tc>
        <w:tc>
          <w:tcPr>
            <w:tcW w:w="2649"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曾涛</w:t>
            </w:r>
            <w:r>
              <w:rPr>
                <w:sz w:val="20"/>
              </w:rPr>
              <w:t>/13908595058</w:t>
            </w:r>
          </w:p>
        </w:tc>
      </w:tr>
      <w:tr w:rsidR="00F44F7B">
        <w:trPr>
          <w:trHeight w:val="23"/>
        </w:trPr>
        <w:tc>
          <w:tcPr>
            <w:tcW w:w="1508"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电子邮箱</w:t>
            </w:r>
          </w:p>
        </w:tc>
        <w:tc>
          <w:tcPr>
            <w:tcW w:w="2889" w:type="dxa"/>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86EE5">
            <w:pPr>
              <w:pStyle w:val="af0"/>
              <w:rPr>
                <w:sz w:val="20"/>
              </w:rPr>
            </w:pPr>
            <w:r>
              <w:rPr>
                <w:kern w:val="0"/>
                <w:sz w:val="20"/>
              </w:rPr>
              <w:t>wutaozx</w:t>
            </w:r>
            <w:bookmarkStart w:id="2" w:name="_GoBack"/>
            <w:bookmarkEnd w:id="2"/>
            <w:r w:rsidR="00730D49">
              <w:rPr>
                <w:sz w:val="20"/>
              </w:rPr>
              <w:t>@qq.com</w:t>
            </w:r>
          </w:p>
        </w:tc>
        <w:tc>
          <w:tcPr>
            <w:tcW w:w="1290"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电子邮箱</w:t>
            </w:r>
          </w:p>
        </w:tc>
        <w:tc>
          <w:tcPr>
            <w:tcW w:w="2649" w:type="dxa"/>
            <w:gridSpan w:val="5"/>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pStyle w:val="af0"/>
              <w:rPr>
                <w:sz w:val="20"/>
              </w:rPr>
            </w:pPr>
            <w:r>
              <w:rPr>
                <w:sz w:val="20"/>
              </w:rPr>
              <w:t>——</w:t>
            </w:r>
          </w:p>
        </w:tc>
      </w:tr>
    </w:tbl>
    <w:p w:rsidR="00F44F7B" w:rsidRDefault="00F44F7B">
      <w:pPr>
        <w:pStyle w:val="af6"/>
        <w:numPr>
          <w:ilvl w:val="0"/>
          <w:numId w:val="0"/>
        </w:numPr>
        <w:tabs>
          <w:tab w:val="clear" w:pos="2040"/>
          <w:tab w:val="left" w:pos="720"/>
          <w:tab w:val="left" w:pos="2600"/>
        </w:tabs>
        <w:jc w:val="left"/>
        <w:rPr>
          <w:rFonts w:ascii="Times New Roman" w:eastAsia="仿宋_GB2312" w:hAnsi="Times New Roman"/>
          <w:b/>
          <w:bCs/>
          <w:sz w:val="21"/>
          <w:szCs w:val="21"/>
        </w:rPr>
      </w:pPr>
    </w:p>
    <w:p w:rsidR="00F44F7B" w:rsidRDefault="00730D49">
      <w:pPr>
        <w:tabs>
          <w:tab w:val="right" w:pos="8306"/>
        </w:tabs>
      </w:pPr>
      <w:r>
        <w:br w:type="page"/>
      </w:r>
      <w:r>
        <w:lastRenderedPageBreak/>
        <w:tab/>
      </w:r>
    </w:p>
    <w:sdt>
      <w:sdtPr>
        <w:rPr>
          <w:rFonts w:eastAsia="宋体"/>
          <w:b/>
          <w:bCs/>
          <w:sz w:val="21"/>
        </w:rPr>
        <w:id w:val="147459560"/>
        <w15:color w:val="DBDBDB"/>
        <w:docPartObj>
          <w:docPartGallery w:val="Table of Contents"/>
          <w:docPartUnique/>
        </w:docPartObj>
      </w:sdtPr>
      <w:sdtEndPr>
        <w:rPr>
          <w:rFonts w:eastAsia="仿宋_GB2312"/>
          <w:sz w:val="24"/>
          <w:szCs w:val="24"/>
        </w:rPr>
      </w:sdtEndPr>
      <w:sdtContent>
        <w:p w:rsidR="00F44F7B" w:rsidRDefault="00730D49">
          <w:pPr>
            <w:spacing w:line="360" w:lineRule="auto"/>
            <w:jc w:val="center"/>
            <w:rPr>
              <w:rStyle w:val="3Char"/>
            </w:rPr>
          </w:pPr>
          <w:r>
            <w:rPr>
              <w:rStyle w:val="3Char"/>
            </w:rPr>
            <w:t>目录</w:t>
          </w:r>
        </w:p>
        <w:p w:rsidR="00F44F7B" w:rsidRDefault="00730D49">
          <w:pPr>
            <w:pStyle w:val="10"/>
            <w:tabs>
              <w:tab w:val="right" w:leader="dot" w:pos="8306"/>
            </w:tabs>
          </w:pPr>
          <w:r>
            <w:rPr>
              <w:szCs w:val="24"/>
            </w:rPr>
            <w:fldChar w:fldCharType="begin"/>
          </w:r>
          <w:r>
            <w:rPr>
              <w:szCs w:val="24"/>
            </w:rPr>
            <w:instrText xml:space="preserve">TOC \o "1-2" \h \u </w:instrText>
          </w:r>
          <w:r>
            <w:rPr>
              <w:szCs w:val="24"/>
            </w:rPr>
            <w:fldChar w:fldCharType="separate"/>
          </w:r>
          <w:hyperlink w:anchor="_Toc3168" w:history="1">
            <w:r>
              <w:rPr>
                <w:rFonts w:hint="eastAsia"/>
              </w:rPr>
              <w:t>1</w:t>
            </w:r>
            <w:r>
              <w:t>项目</w:t>
            </w:r>
            <w:r>
              <w:rPr>
                <w:rFonts w:hint="eastAsia"/>
              </w:rPr>
              <w:t>简述</w:t>
            </w:r>
            <w:r>
              <w:tab/>
            </w:r>
            <w:r>
              <w:fldChar w:fldCharType="begin"/>
            </w:r>
            <w:r>
              <w:instrText xml:space="preserve"> PAGEREF _Toc3168 </w:instrText>
            </w:r>
            <w:r>
              <w:fldChar w:fldCharType="separate"/>
            </w:r>
            <w:r>
              <w:t>8</w:t>
            </w:r>
            <w:r>
              <w:fldChar w:fldCharType="end"/>
            </w:r>
          </w:hyperlink>
        </w:p>
        <w:p w:rsidR="00F44F7B" w:rsidRDefault="00730D49">
          <w:pPr>
            <w:pStyle w:val="20"/>
            <w:tabs>
              <w:tab w:val="right" w:leader="dot" w:pos="8306"/>
            </w:tabs>
            <w:ind w:left="480"/>
          </w:pPr>
          <w:hyperlink w:anchor="_Toc3507" w:history="1">
            <w:r>
              <w:rPr>
                <w:rFonts w:hint="eastAsia"/>
              </w:rPr>
              <w:t>1</w:t>
            </w:r>
            <w:r>
              <w:t>.1</w:t>
            </w:r>
            <w:r>
              <w:rPr>
                <w:rFonts w:hint="eastAsia"/>
              </w:rPr>
              <w:t>基本情况</w:t>
            </w:r>
            <w:r>
              <w:tab/>
            </w:r>
            <w:r>
              <w:fldChar w:fldCharType="begin"/>
            </w:r>
            <w:r>
              <w:instrText xml:space="preserve"> PAGEREF _Toc3507 </w:instrText>
            </w:r>
            <w:r>
              <w:fldChar w:fldCharType="separate"/>
            </w:r>
            <w:r>
              <w:t>8</w:t>
            </w:r>
            <w:r>
              <w:fldChar w:fldCharType="end"/>
            </w:r>
          </w:hyperlink>
        </w:p>
        <w:p w:rsidR="00F44F7B" w:rsidRDefault="00730D49">
          <w:pPr>
            <w:pStyle w:val="20"/>
            <w:tabs>
              <w:tab w:val="right" w:leader="dot" w:pos="8306"/>
            </w:tabs>
            <w:ind w:left="480"/>
          </w:pPr>
          <w:hyperlink w:anchor="_Toc20199" w:history="1">
            <w:r>
              <w:rPr>
                <w:rFonts w:hint="eastAsia"/>
              </w:rPr>
              <w:t>1</w:t>
            </w:r>
            <w:r>
              <w:t>.</w:t>
            </w:r>
            <w:r>
              <w:rPr>
                <w:rFonts w:hint="eastAsia"/>
              </w:rPr>
              <w:t>2</w:t>
            </w:r>
            <w:r>
              <w:rPr>
                <w:rFonts w:hint="eastAsia"/>
              </w:rPr>
              <w:t>工程建设现状</w:t>
            </w:r>
            <w:r>
              <w:tab/>
            </w:r>
            <w:r>
              <w:fldChar w:fldCharType="begin"/>
            </w:r>
            <w:r>
              <w:instrText xml:space="preserve"> PAGEREF _Toc20199 </w:instrText>
            </w:r>
            <w:r>
              <w:fldChar w:fldCharType="separate"/>
            </w:r>
            <w:r>
              <w:t>8</w:t>
            </w:r>
            <w:r>
              <w:fldChar w:fldCharType="end"/>
            </w:r>
          </w:hyperlink>
        </w:p>
        <w:p w:rsidR="00F44F7B" w:rsidRDefault="00730D49">
          <w:pPr>
            <w:pStyle w:val="20"/>
            <w:tabs>
              <w:tab w:val="right" w:leader="dot" w:pos="8306"/>
            </w:tabs>
            <w:ind w:left="480"/>
          </w:pPr>
          <w:hyperlink w:anchor="_Toc8240" w:history="1">
            <w:r>
              <w:t>1.</w:t>
            </w:r>
            <w:r>
              <w:rPr>
                <w:rFonts w:hint="eastAsia"/>
              </w:rPr>
              <w:t>3</w:t>
            </w:r>
            <w:r>
              <w:t>项目组成</w:t>
            </w:r>
            <w:r>
              <w:rPr>
                <w:rFonts w:hint="eastAsia"/>
              </w:rPr>
              <w:t>及布置</w:t>
            </w:r>
            <w:r>
              <w:tab/>
            </w:r>
            <w:r>
              <w:fldChar w:fldCharType="begin"/>
            </w:r>
            <w:r>
              <w:instrText xml:space="preserve"> PAGEREF _Toc8240 </w:instrText>
            </w:r>
            <w:r>
              <w:fldChar w:fldCharType="separate"/>
            </w:r>
            <w:r>
              <w:t>10</w:t>
            </w:r>
            <w:r>
              <w:fldChar w:fldCharType="end"/>
            </w:r>
          </w:hyperlink>
        </w:p>
        <w:p w:rsidR="00F44F7B" w:rsidRDefault="00730D49">
          <w:pPr>
            <w:pStyle w:val="20"/>
            <w:tabs>
              <w:tab w:val="right" w:leader="dot" w:pos="8306"/>
            </w:tabs>
            <w:ind w:left="480"/>
          </w:pPr>
          <w:hyperlink w:anchor="_Toc88" w:history="1">
            <w:r>
              <w:t>1</w:t>
            </w:r>
            <w:r>
              <w:t>.</w:t>
            </w:r>
            <w:r>
              <w:rPr>
                <w:rFonts w:hint="eastAsia"/>
              </w:rPr>
              <w:t>4</w:t>
            </w:r>
            <w:r>
              <w:t>项目</w:t>
            </w:r>
            <w:r>
              <w:rPr>
                <w:rFonts w:hint="eastAsia"/>
              </w:rPr>
              <w:t>前期工作进展</w:t>
            </w:r>
            <w:r>
              <w:tab/>
            </w:r>
            <w:r>
              <w:fldChar w:fldCharType="begin"/>
            </w:r>
            <w:r>
              <w:instrText xml:space="preserve"> PAGEREF _Toc88 </w:instrText>
            </w:r>
            <w:r>
              <w:fldChar w:fldCharType="separate"/>
            </w:r>
            <w:r>
              <w:t>11</w:t>
            </w:r>
            <w:r>
              <w:fldChar w:fldCharType="end"/>
            </w:r>
          </w:hyperlink>
        </w:p>
        <w:p w:rsidR="00F44F7B" w:rsidRDefault="00730D49">
          <w:pPr>
            <w:pStyle w:val="20"/>
            <w:tabs>
              <w:tab w:val="right" w:leader="dot" w:pos="8306"/>
            </w:tabs>
            <w:ind w:left="480"/>
          </w:pPr>
          <w:hyperlink w:anchor="_Toc27595" w:history="1">
            <w:r>
              <w:t>1.</w:t>
            </w:r>
            <w:r>
              <w:rPr>
                <w:rFonts w:hint="eastAsia"/>
              </w:rPr>
              <w:t>5</w:t>
            </w:r>
            <w:r>
              <w:rPr>
                <w:rFonts w:hint="eastAsia"/>
              </w:rPr>
              <w:t>移民拆迁安置工作</w:t>
            </w:r>
            <w:r>
              <w:tab/>
            </w:r>
            <w:r>
              <w:fldChar w:fldCharType="begin"/>
            </w:r>
            <w:r>
              <w:instrText xml:space="preserve"> PAGEREF _Toc27595 </w:instrText>
            </w:r>
            <w:r>
              <w:fldChar w:fldCharType="separate"/>
            </w:r>
            <w:r>
              <w:t>11</w:t>
            </w:r>
            <w:r>
              <w:fldChar w:fldCharType="end"/>
            </w:r>
          </w:hyperlink>
        </w:p>
        <w:p w:rsidR="00F44F7B" w:rsidRDefault="00730D49">
          <w:pPr>
            <w:pStyle w:val="20"/>
            <w:tabs>
              <w:tab w:val="right" w:leader="dot" w:pos="8306"/>
            </w:tabs>
            <w:ind w:left="480"/>
          </w:pPr>
          <w:hyperlink w:anchor="_Toc11742" w:history="1">
            <w:r>
              <w:t>1.</w:t>
            </w:r>
            <w:r>
              <w:rPr>
                <w:rFonts w:hint="eastAsia"/>
              </w:rPr>
              <w:t>6</w:t>
            </w:r>
            <w:r>
              <w:rPr>
                <w:rFonts w:hint="eastAsia"/>
              </w:rPr>
              <w:t>施工组织</w:t>
            </w:r>
            <w:r>
              <w:tab/>
            </w:r>
            <w:r>
              <w:fldChar w:fldCharType="begin"/>
            </w:r>
            <w:r>
              <w:instrText xml:space="preserve"> PAGEREF _Toc11742 </w:instrText>
            </w:r>
            <w:r>
              <w:fldChar w:fldCharType="separate"/>
            </w:r>
            <w:r>
              <w:t>11</w:t>
            </w:r>
            <w:r>
              <w:fldChar w:fldCharType="end"/>
            </w:r>
          </w:hyperlink>
        </w:p>
        <w:p w:rsidR="00F44F7B" w:rsidRDefault="00730D49">
          <w:pPr>
            <w:pStyle w:val="20"/>
            <w:tabs>
              <w:tab w:val="right" w:leader="dot" w:pos="8306"/>
            </w:tabs>
            <w:ind w:left="480"/>
          </w:pPr>
          <w:hyperlink w:anchor="_Toc8658" w:history="1">
            <w:r>
              <w:rPr>
                <w:rFonts w:hint="eastAsia"/>
              </w:rPr>
              <w:t>1</w:t>
            </w:r>
            <w:r>
              <w:t>.</w:t>
            </w:r>
            <w:r>
              <w:rPr>
                <w:rFonts w:hint="eastAsia"/>
              </w:rPr>
              <w:t>6</w:t>
            </w:r>
            <w:r>
              <w:rPr>
                <w:rFonts w:hint="eastAsia"/>
              </w:rPr>
              <w:t>项目占地情况</w:t>
            </w:r>
            <w:r>
              <w:tab/>
            </w:r>
            <w:r>
              <w:fldChar w:fldCharType="begin"/>
            </w:r>
            <w:r>
              <w:instrText xml:space="preserve"> PAGEREF _Toc8658 </w:instrText>
            </w:r>
            <w:r>
              <w:fldChar w:fldCharType="separate"/>
            </w:r>
            <w:r>
              <w:t>12</w:t>
            </w:r>
            <w:r>
              <w:fldChar w:fldCharType="end"/>
            </w:r>
          </w:hyperlink>
        </w:p>
        <w:p w:rsidR="00F44F7B" w:rsidRDefault="00730D49">
          <w:pPr>
            <w:pStyle w:val="20"/>
            <w:tabs>
              <w:tab w:val="right" w:leader="dot" w:pos="8306"/>
            </w:tabs>
            <w:ind w:left="480"/>
          </w:pPr>
          <w:hyperlink w:anchor="_Toc282" w:history="1">
            <w:r>
              <w:t>1.</w:t>
            </w:r>
            <w:r>
              <w:rPr>
                <w:rFonts w:hint="eastAsia"/>
              </w:rPr>
              <w:t>7</w:t>
            </w:r>
            <w:r>
              <w:rPr>
                <w:rFonts w:hint="eastAsia"/>
              </w:rPr>
              <w:t>土石方平衡分析与评价</w:t>
            </w:r>
            <w:r>
              <w:tab/>
            </w:r>
            <w:r>
              <w:fldChar w:fldCharType="begin"/>
            </w:r>
            <w:r>
              <w:instrText xml:space="preserve"> PAGEREF _Toc282 </w:instrText>
            </w:r>
            <w:r>
              <w:fldChar w:fldCharType="separate"/>
            </w:r>
            <w:r>
              <w:t>12</w:t>
            </w:r>
            <w:r>
              <w:fldChar w:fldCharType="end"/>
            </w:r>
          </w:hyperlink>
        </w:p>
        <w:p w:rsidR="00F44F7B" w:rsidRDefault="00730D49">
          <w:pPr>
            <w:pStyle w:val="20"/>
            <w:tabs>
              <w:tab w:val="right" w:leader="dot" w:pos="8306"/>
            </w:tabs>
            <w:ind w:left="480"/>
          </w:pPr>
          <w:hyperlink w:anchor="_Toc13511" w:history="1">
            <w:r>
              <w:t>1.</w:t>
            </w:r>
            <w:r>
              <w:rPr>
                <w:rFonts w:hint="eastAsia"/>
              </w:rPr>
              <w:t>8</w:t>
            </w:r>
            <w:r>
              <w:rPr>
                <w:rFonts w:hint="eastAsia"/>
              </w:rPr>
              <w:t>工程投资及施工进度</w:t>
            </w:r>
            <w:r>
              <w:tab/>
            </w:r>
            <w:r>
              <w:fldChar w:fldCharType="begin"/>
            </w:r>
            <w:r>
              <w:instrText xml:space="preserve"> PAGEREF _Toc13511 </w:instrText>
            </w:r>
            <w:r>
              <w:fldChar w:fldCharType="separate"/>
            </w:r>
            <w:r>
              <w:t>12</w:t>
            </w:r>
            <w:r>
              <w:fldChar w:fldCharType="end"/>
            </w:r>
          </w:hyperlink>
        </w:p>
        <w:p w:rsidR="00F44F7B" w:rsidRDefault="00730D49">
          <w:pPr>
            <w:pStyle w:val="20"/>
            <w:tabs>
              <w:tab w:val="right" w:leader="dot" w:pos="8306"/>
            </w:tabs>
            <w:ind w:left="480"/>
          </w:pPr>
          <w:hyperlink w:anchor="_Toc23651" w:history="1">
            <w:r>
              <w:rPr>
                <w:rFonts w:hint="eastAsia"/>
              </w:rPr>
              <w:t>1</w:t>
            </w:r>
            <w:r>
              <w:t>.</w:t>
            </w:r>
            <w:r>
              <w:rPr>
                <w:rFonts w:hint="eastAsia"/>
              </w:rPr>
              <w:t>9</w:t>
            </w:r>
            <w:r>
              <w:rPr>
                <w:rFonts w:hint="eastAsia"/>
              </w:rPr>
              <w:t>水土流失防治的执行标准</w:t>
            </w:r>
            <w:r>
              <w:tab/>
            </w:r>
            <w:r>
              <w:fldChar w:fldCharType="begin"/>
            </w:r>
            <w:r>
              <w:instrText xml:space="preserve"> PAGEREF _Toc23651 </w:instrText>
            </w:r>
            <w:r>
              <w:fldChar w:fldCharType="separate"/>
            </w:r>
            <w:r>
              <w:t>12</w:t>
            </w:r>
            <w:r>
              <w:fldChar w:fldCharType="end"/>
            </w:r>
          </w:hyperlink>
        </w:p>
        <w:p w:rsidR="00F44F7B" w:rsidRDefault="00730D49">
          <w:pPr>
            <w:pStyle w:val="20"/>
            <w:tabs>
              <w:tab w:val="right" w:leader="dot" w:pos="8306"/>
            </w:tabs>
            <w:ind w:left="480"/>
          </w:pPr>
          <w:hyperlink w:anchor="_Toc14355" w:history="1">
            <w:r>
              <w:rPr>
                <w:rFonts w:hint="eastAsia"/>
                <w:szCs w:val="22"/>
              </w:rPr>
              <w:t>1</w:t>
            </w:r>
            <w:r>
              <w:rPr>
                <w:szCs w:val="22"/>
              </w:rPr>
              <w:t>.</w:t>
            </w:r>
            <w:r>
              <w:rPr>
                <w:rFonts w:hint="eastAsia"/>
                <w:szCs w:val="22"/>
              </w:rPr>
              <w:t>1</w:t>
            </w:r>
            <w:r>
              <w:rPr>
                <w:rFonts w:hint="eastAsia"/>
                <w:szCs w:val="22"/>
              </w:rPr>
              <w:t>0</w:t>
            </w:r>
            <w:r>
              <w:rPr>
                <w:rFonts w:hint="eastAsia"/>
                <w:szCs w:val="22"/>
              </w:rPr>
              <w:t>设计水平年</w:t>
            </w:r>
            <w:r>
              <w:tab/>
            </w:r>
            <w:r>
              <w:fldChar w:fldCharType="begin"/>
            </w:r>
            <w:r>
              <w:instrText xml:space="preserve"> PAGEREF _Toc14355 </w:instrText>
            </w:r>
            <w:r>
              <w:fldChar w:fldCharType="separate"/>
            </w:r>
            <w:r>
              <w:t>13</w:t>
            </w:r>
            <w:r>
              <w:fldChar w:fldCharType="end"/>
            </w:r>
          </w:hyperlink>
        </w:p>
        <w:p w:rsidR="00F44F7B" w:rsidRDefault="00730D49">
          <w:pPr>
            <w:pStyle w:val="20"/>
            <w:tabs>
              <w:tab w:val="right" w:leader="dot" w:pos="8306"/>
            </w:tabs>
            <w:ind w:left="480"/>
          </w:pPr>
          <w:hyperlink w:anchor="_Toc7718" w:history="1">
            <w:r>
              <w:t>1</w:t>
            </w:r>
            <w:r>
              <w:rPr>
                <w:rFonts w:hint="eastAsia"/>
              </w:rPr>
              <w:t>.1</w:t>
            </w:r>
            <w:r>
              <w:rPr>
                <w:rFonts w:hint="eastAsia"/>
              </w:rPr>
              <w:t>1</w:t>
            </w:r>
            <w:r>
              <w:rPr>
                <w:rFonts w:hint="eastAsia"/>
              </w:rPr>
              <w:t>主体设计分析与评价</w:t>
            </w:r>
            <w:r>
              <w:tab/>
            </w:r>
            <w:r>
              <w:fldChar w:fldCharType="begin"/>
            </w:r>
            <w:r>
              <w:instrText xml:space="preserve"> PAGEREF _Toc7718 </w:instrText>
            </w:r>
            <w:r>
              <w:fldChar w:fldCharType="separate"/>
            </w:r>
            <w:r>
              <w:t>13</w:t>
            </w:r>
            <w:r>
              <w:fldChar w:fldCharType="end"/>
            </w:r>
          </w:hyperlink>
        </w:p>
        <w:p w:rsidR="00F44F7B" w:rsidRDefault="00730D49">
          <w:pPr>
            <w:pStyle w:val="20"/>
            <w:tabs>
              <w:tab w:val="right" w:leader="dot" w:pos="8306"/>
            </w:tabs>
            <w:ind w:left="480"/>
          </w:pPr>
          <w:hyperlink w:anchor="_Toc28278" w:history="1">
            <w:r>
              <w:t>1.</w:t>
            </w:r>
            <w:r>
              <w:rPr>
                <w:rFonts w:hint="eastAsia"/>
              </w:rPr>
              <w:t>1</w:t>
            </w:r>
            <w:r>
              <w:rPr>
                <w:rFonts w:hint="eastAsia"/>
              </w:rPr>
              <w:t>2</w:t>
            </w:r>
            <w:r>
              <w:t>编制依据</w:t>
            </w:r>
            <w:r>
              <w:tab/>
            </w:r>
            <w:r>
              <w:fldChar w:fldCharType="begin"/>
            </w:r>
            <w:r>
              <w:instrText xml:space="preserve"> PAGEREF _Toc28278 </w:instrText>
            </w:r>
            <w:r>
              <w:fldChar w:fldCharType="separate"/>
            </w:r>
            <w:r>
              <w:t>14</w:t>
            </w:r>
            <w:r>
              <w:fldChar w:fldCharType="end"/>
            </w:r>
          </w:hyperlink>
        </w:p>
        <w:p w:rsidR="00F44F7B" w:rsidRDefault="00730D49">
          <w:pPr>
            <w:pStyle w:val="10"/>
            <w:tabs>
              <w:tab w:val="right" w:leader="dot" w:pos="8306"/>
            </w:tabs>
          </w:pPr>
          <w:hyperlink w:anchor="_Toc27678" w:history="1">
            <w:r>
              <w:t>2</w:t>
            </w:r>
            <w:r>
              <w:t>项目区概况</w:t>
            </w:r>
            <w:r>
              <w:tab/>
            </w:r>
            <w:r>
              <w:fldChar w:fldCharType="begin"/>
            </w:r>
            <w:r>
              <w:instrText xml:space="preserve"> PAGEREF _Toc27678 </w:instrText>
            </w:r>
            <w:r>
              <w:fldChar w:fldCharType="separate"/>
            </w:r>
            <w:r>
              <w:t>15</w:t>
            </w:r>
            <w:r>
              <w:fldChar w:fldCharType="end"/>
            </w:r>
          </w:hyperlink>
        </w:p>
        <w:p w:rsidR="00F44F7B" w:rsidRDefault="00730D49">
          <w:pPr>
            <w:pStyle w:val="20"/>
            <w:tabs>
              <w:tab w:val="right" w:leader="dot" w:pos="8306"/>
            </w:tabs>
            <w:ind w:left="480"/>
          </w:pPr>
          <w:hyperlink w:anchor="_Toc1228" w:history="1">
            <w:r>
              <w:t>2.1</w:t>
            </w:r>
            <w:r>
              <w:t>地理位置</w:t>
            </w:r>
            <w:r>
              <w:tab/>
            </w:r>
            <w:r>
              <w:fldChar w:fldCharType="begin"/>
            </w:r>
            <w:r>
              <w:instrText xml:space="preserve"> PAGEREF _Toc1228 </w:instrText>
            </w:r>
            <w:r>
              <w:fldChar w:fldCharType="separate"/>
            </w:r>
            <w:r>
              <w:t>15</w:t>
            </w:r>
            <w:r>
              <w:fldChar w:fldCharType="end"/>
            </w:r>
          </w:hyperlink>
        </w:p>
        <w:p w:rsidR="00F44F7B" w:rsidRDefault="00730D49">
          <w:pPr>
            <w:pStyle w:val="20"/>
            <w:tabs>
              <w:tab w:val="right" w:leader="dot" w:pos="8306"/>
            </w:tabs>
            <w:ind w:left="480"/>
          </w:pPr>
          <w:hyperlink w:anchor="_Toc11647" w:history="1">
            <w:r>
              <w:t>2.2</w:t>
            </w:r>
            <w:r>
              <w:t>自然环境概况</w:t>
            </w:r>
            <w:r>
              <w:tab/>
            </w:r>
            <w:r>
              <w:fldChar w:fldCharType="begin"/>
            </w:r>
            <w:r>
              <w:instrText xml:space="preserve"> PAGEREF _Toc116</w:instrText>
            </w:r>
            <w:r>
              <w:instrText xml:space="preserve">47 </w:instrText>
            </w:r>
            <w:r>
              <w:fldChar w:fldCharType="separate"/>
            </w:r>
            <w:r>
              <w:t>15</w:t>
            </w:r>
            <w:r>
              <w:fldChar w:fldCharType="end"/>
            </w:r>
          </w:hyperlink>
        </w:p>
        <w:p w:rsidR="00F44F7B" w:rsidRDefault="00730D49">
          <w:pPr>
            <w:pStyle w:val="20"/>
            <w:tabs>
              <w:tab w:val="right" w:leader="dot" w:pos="8306"/>
            </w:tabs>
            <w:ind w:left="480"/>
          </w:pPr>
          <w:hyperlink w:anchor="_Toc9246" w:history="1">
            <w:r>
              <w:t>2.3</w:t>
            </w:r>
            <w:r>
              <w:t>社会经济概况</w:t>
            </w:r>
            <w:r>
              <w:tab/>
            </w:r>
            <w:r>
              <w:fldChar w:fldCharType="begin"/>
            </w:r>
            <w:r>
              <w:instrText xml:space="preserve"> PAGEREF _Toc9246 </w:instrText>
            </w:r>
            <w:r>
              <w:fldChar w:fldCharType="separate"/>
            </w:r>
            <w:r>
              <w:t>17</w:t>
            </w:r>
            <w:r>
              <w:fldChar w:fldCharType="end"/>
            </w:r>
          </w:hyperlink>
        </w:p>
        <w:p w:rsidR="00F44F7B" w:rsidRDefault="00730D49">
          <w:pPr>
            <w:pStyle w:val="20"/>
            <w:tabs>
              <w:tab w:val="right" w:leader="dot" w:pos="8306"/>
            </w:tabs>
            <w:ind w:left="480"/>
          </w:pPr>
          <w:hyperlink w:anchor="_Toc21322" w:history="1">
            <w:r>
              <w:t>2.4</w:t>
            </w:r>
            <w:r>
              <w:rPr>
                <w:rFonts w:hint="eastAsia"/>
              </w:rPr>
              <w:t>土地利用现状</w:t>
            </w:r>
            <w:r>
              <w:tab/>
            </w:r>
            <w:r>
              <w:fldChar w:fldCharType="begin"/>
            </w:r>
            <w:r>
              <w:instrText xml:space="preserve"> PAGEREF _Toc21322 </w:instrText>
            </w:r>
            <w:r>
              <w:fldChar w:fldCharType="separate"/>
            </w:r>
            <w:r>
              <w:t>17</w:t>
            </w:r>
            <w:r>
              <w:fldChar w:fldCharType="end"/>
            </w:r>
          </w:hyperlink>
        </w:p>
        <w:p w:rsidR="00F44F7B" w:rsidRDefault="00730D49">
          <w:pPr>
            <w:pStyle w:val="20"/>
            <w:tabs>
              <w:tab w:val="right" w:leader="dot" w:pos="8306"/>
            </w:tabs>
            <w:ind w:left="480"/>
          </w:pPr>
          <w:hyperlink w:anchor="_Toc7450" w:history="1">
            <w:r>
              <w:t>2.5</w:t>
            </w:r>
            <w:r>
              <w:t>水土流失现状</w:t>
            </w:r>
            <w:r>
              <w:tab/>
            </w:r>
            <w:r>
              <w:fldChar w:fldCharType="begin"/>
            </w:r>
            <w:r>
              <w:instrText xml:space="preserve"> PAGEREF _Toc7450 </w:instrText>
            </w:r>
            <w:r>
              <w:fldChar w:fldCharType="separate"/>
            </w:r>
            <w:r>
              <w:t>18</w:t>
            </w:r>
            <w:r>
              <w:fldChar w:fldCharType="end"/>
            </w:r>
          </w:hyperlink>
        </w:p>
        <w:p w:rsidR="00F44F7B" w:rsidRDefault="00730D49">
          <w:pPr>
            <w:pStyle w:val="20"/>
            <w:tabs>
              <w:tab w:val="right" w:leader="dot" w:pos="8306"/>
            </w:tabs>
            <w:ind w:left="480"/>
          </w:pPr>
          <w:hyperlink w:anchor="_Toc18527" w:history="1">
            <w:r>
              <w:t>2.6</w:t>
            </w:r>
            <w:r>
              <w:t>项目区水土保持现状</w:t>
            </w:r>
            <w:r>
              <w:tab/>
            </w:r>
            <w:r>
              <w:fldChar w:fldCharType="begin"/>
            </w:r>
            <w:r>
              <w:instrText xml:space="preserve"> PAGEREF _Toc18527 </w:instrText>
            </w:r>
            <w:r>
              <w:fldChar w:fldCharType="separate"/>
            </w:r>
            <w:r>
              <w:t>18</w:t>
            </w:r>
            <w:r>
              <w:fldChar w:fldCharType="end"/>
            </w:r>
          </w:hyperlink>
        </w:p>
        <w:p w:rsidR="00F44F7B" w:rsidRDefault="00730D49">
          <w:pPr>
            <w:pStyle w:val="20"/>
            <w:tabs>
              <w:tab w:val="right" w:leader="dot" w:pos="8306"/>
            </w:tabs>
            <w:ind w:left="480"/>
          </w:pPr>
          <w:hyperlink w:anchor="_Toc16484" w:history="1">
            <w:r>
              <w:t>2.7</w:t>
            </w:r>
            <w:r>
              <w:t>水土流失防治经验</w:t>
            </w:r>
            <w:r>
              <w:tab/>
            </w:r>
            <w:r>
              <w:fldChar w:fldCharType="begin"/>
            </w:r>
            <w:r>
              <w:instrText xml:space="preserve"> PAGEREF _Toc16484 </w:instrText>
            </w:r>
            <w:r>
              <w:fldChar w:fldCharType="separate"/>
            </w:r>
            <w:r>
              <w:t>20</w:t>
            </w:r>
            <w:r>
              <w:fldChar w:fldCharType="end"/>
            </w:r>
          </w:hyperlink>
        </w:p>
        <w:p w:rsidR="00F44F7B" w:rsidRDefault="00730D49">
          <w:pPr>
            <w:pStyle w:val="10"/>
            <w:tabs>
              <w:tab w:val="right" w:leader="dot" w:pos="8306"/>
            </w:tabs>
          </w:pPr>
          <w:hyperlink w:anchor="_Toc28428" w:history="1">
            <w:r>
              <w:rPr>
                <w:rFonts w:hint="eastAsia"/>
                <w:szCs w:val="22"/>
              </w:rPr>
              <w:t>3</w:t>
            </w:r>
            <w:r>
              <w:rPr>
                <w:rFonts w:hint="eastAsia"/>
                <w:szCs w:val="22"/>
              </w:rPr>
              <w:t>水土流失防治责任范围及防治分区</w:t>
            </w:r>
            <w:r>
              <w:tab/>
            </w:r>
            <w:r>
              <w:fldChar w:fldCharType="begin"/>
            </w:r>
            <w:r>
              <w:instrText xml:space="preserve"> PAGEREF _Toc28428 </w:instrText>
            </w:r>
            <w:r>
              <w:fldChar w:fldCharType="separate"/>
            </w:r>
            <w:r>
              <w:t>22</w:t>
            </w:r>
            <w:r>
              <w:fldChar w:fldCharType="end"/>
            </w:r>
          </w:hyperlink>
        </w:p>
        <w:p w:rsidR="00F44F7B" w:rsidRDefault="00730D49">
          <w:pPr>
            <w:pStyle w:val="20"/>
            <w:tabs>
              <w:tab w:val="right" w:leader="dot" w:pos="8306"/>
            </w:tabs>
            <w:ind w:left="480"/>
          </w:pPr>
          <w:hyperlink w:anchor="_Toc21089" w:history="1">
            <w:r>
              <w:rPr>
                <w:rFonts w:hint="eastAsia"/>
                <w:szCs w:val="30"/>
              </w:rPr>
              <w:t>3</w:t>
            </w:r>
            <w:r>
              <w:rPr>
                <w:szCs w:val="30"/>
              </w:rPr>
              <w:t>.1</w:t>
            </w:r>
            <w:r>
              <w:rPr>
                <w:rFonts w:hint="eastAsia"/>
                <w:szCs w:val="30"/>
              </w:rPr>
              <w:t>水土流失防治责任范围</w:t>
            </w:r>
            <w:r>
              <w:tab/>
            </w:r>
            <w:r>
              <w:fldChar w:fldCharType="begin"/>
            </w:r>
            <w:r>
              <w:instrText xml:space="preserve"> PAGEREF _Toc21089 </w:instrText>
            </w:r>
            <w:r>
              <w:fldChar w:fldCharType="separate"/>
            </w:r>
            <w:r>
              <w:t>22</w:t>
            </w:r>
            <w:r>
              <w:fldChar w:fldCharType="end"/>
            </w:r>
          </w:hyperlink>
        </w:p>
        <w:p w:rsidR="00F44F7B" w:rsidRDefault="00730D49">
          <w:pPr>
            <w:pStyle w:val="20"/>
            <w:tabs>
              <w:tab w:val="right" w:leader="dot" w:pos="8306"/>
            </w:tabs>
            <w:ind w:left="480"/>
          </w:pPr>
          <w:hyperlink w:anchor="_Toc41" w:history="1">
            <w:r>
              <w:rPr>
                <w:rFonts w:hint="eastAsia"/>
                <w:szCs w:val="30"/>
              </w:rPr>
              <w:t>3</w:t>
            </w:r>
            <w:r>
              <w:rPr>
                <w:szCs w:val="30"/>
              </w:rPr>
              <w:t>.</w:t>
            </w:r>
            <w:r>
              <w:rPr>
                <w:rFonts w:hint="eastAsia"/>
                <w:szCs w:val="30"/>
              </w:rPr>
              <w:t>2</w:t>
            </w:r>
            <w:r>
              <w:rPr>
                <w:rFonts w:hint="eastAsia"/>
                <w:szCs w:val="30"/>
              </w:rPr>
              <w:t>水土流失防治分区</w:t>
            </w:r>
            <w:r>
              <w:tab/>
            </w:r>
            <w:r>
              <w:fldChar w:fldCharType="begin"/>
            </w:r>
            <w:r>
              <w:instrText xml:space="preserve"> PAGEREF _Toc41 </w:instrText>
            </w:r>
            <w:r>
              <w:fldChar w:fldCharType="separate"/>
            </w:r>
            <w:r>
              <w:t>23</w:t>
            </w:r>
            <w:r>
              <w:fldChar w:fldCharType="end"/>
            </w:r>
          </w:hyperlink>
        </w:p>
        <w:p w:rsidR="00F44F7B" w:rsidRDefault="00730D49">
          <w:pPr>
            <w:pStyle w:val="10"/>
            <w:tabs>
              <w:tab w:val="right" w:leader="dot" w:pos="8306"/>
            </w:tabs>
          </w:pPr>
          <w:hyperlink w:anchor="_Toc15979" w:history="1">
            <w:r>
              <w:rPr>
                <w:rFonts w:hint="eastAsia"/>
                <w:szCs w:val="22"/>
              </w:rPr>
              <w:t>4</w:t>
            </w:r>
            <w:r>
              <w:rPr>
                <w:rFonts w:hint="eastAsia"/>
                <w:szCs w:val="22"/>
              </w:rPr>
              <w:t>水土流失分析与调查</w:t>
            </w:r>
            <w:r>
              <w:tab/>
            </w:r>
            <w:r>
              <w:fldChar w:fldCharType="begin"/>
            </w:r>
            <w:r>
              <w:instrText xml:space="preserve"> PAGEREF _Toc15979 </w:instrText>
            </w:r>
            <w:r>
              <w:fldChar w:fldCharType="separate"/>
            </w:r>
            <w:r>
              <w:t>23</w:t>
            </w:r>
            <w:r>
              <w:fldChar w:fldCharType="end"/>
            </w:r>
          </w:hyperlink>
        </w:p>
        <w:p w:rsidR="00F44F7B" w:rsidRDefault="00730D49">
          <w:pPr>
            <w:pStyle w:val="20"/>
            <w:tabs>
              <w:tab w:val="right" w:leader="dot" w:pos="8306"/>
            </w:tabs>
            <w:ind w:left="480"/>
          </w:pPr>
          <w:hyperlink w:anchor="_Toc3" w:history="1">
            <w:r>
              <w:rPr>
                <w:rFonts w:hint="eastAsia"/>
              </w:rPr>
              <w:t>4</w:t>
            </w:r>
            <w:r>
              <w:t>.1</w:t>
            </w:r>
            <w:r>
              <w:t>水土流失现状</w:t>
            </w:r>
            <w:r>
              <w:tab/>
            </w:r>
            <w:r>
              <w:fldChar w:fldCharType="begin"/>
            </w:r>
            <w:r>
              <w:instrText xml:space="preserve"> PAGEREF _Toc3 </w:instrText>
            </w:r>
            <w:r>
              <w:fldChar w:fldCharType="separate"/>
            </w:r>
            <w:r>
              <w:t>23</w:t>
            </w:r>
            <w:r>
              <w:fldChar w:fldCharType="end"/>
            </w:r>
          </w:hyperlink>
        </w:p>
        <w:p w:rsidR="00F44F7B" w:rsidRDefault="00730D49">
          <w:pPr>
            <w:pStyle w:val="20"/>
            <w:tabs>
              <w:tab w:val="right" w:leader="dot" w:pos="8306"/>
            </w:tabs>
            <w:ind w:left="480"/>
          </w:pPr>
          <w:hyperlink w:anchor="_Toc3216" w:history="1">
            <w:r>
              <w:rPr>
                <w:rFonts w:hint="eastAsia"/>
                <w:position w:val="4"/>
                <w:szCs w:val="30"/>
              </w:rPr>
              <w:t>4</w:t>
            </w:r>
            <w:r>
              <w:rPr>
                <w:position w:val="4"/>
                <w:szCs w:val="30"/>
              </w:rPr>
              <w:t>.2</w:t>
            </w:r>
            <w:r>
              <w:rPr>
                <w:position w:val="4"/>
                <w:szCs w:val="30"/>
              </w:rPr>
              <w:t>水土流失影响因素分析</w:t>
            </w:r>
            <w:r>
              <w:tab/>
            </w:r>
            <w:r>
              <w:fldChar w:fldCharType="begin"/>
            </w:r>
            <w:r>
              <w:instrText xml:space="preserve"> PAGEREF _Toc3216 </w:instrText>
            </w:r>
            <w:r>
              <w:fldChar w:fldCharType="separate"/>
            </w:r>
            <w:r>
              <w:t>23</w:t>
            </w:r>
            <w:r>
              <w:fldChar w:fldCharType="end"/>
            </w:r>
          </w:hyperlink>
        </w:p>
        <w:p w:rsidR="00F44F7B" w:rsidRDefault="00730D49">
          <w:pPr>
            <w:pStyle w:val="20"/>
            <w:tabs>
              <w:tab w:val="right" w:leader="dot" w:pos="8306"/>
            </w:tabs>
            <w:ind w:left="480"/>
          </w:pPr>
          <w:hyperlink w:anchor="_Toc24479" w:history="1">
            <w:r>
              <w:rPr>
                <w:rFonts w:hint="eastAsia"/>
              </w:rPr>
              <w:t>4</w:t>
            </w:r>
            <w:r>
              <w:t>.3</w:t>
            </w:r>
            <w:r>
              <w:t>土壤流失量</w:t>
            </w:r>
            <w:r>
              <w:rPr>
                <w:rFonts w:hint="eastAsia"/>
              </w:rPr>
              <w:t>调查</w:t>
            </w:r>
            <w:r>
              <w:tab/>
            </w:r>
            <w:r>
              <w:fldChar w:fldCharType="begin"/>
            </w:r>
            <w:r>
              <w:instrText xml:space="preserve"> PAGEREF _Toc24479 </w:instrText>
            </w:r>
            <w:r>
              <w:fldChar w:fldCharType="separate"/>
            </w:r>
            <w:r>
              <w:t>24</w:t>
            </w:r>
            <w:r>
              <w:fldChar w:fldCharType="end"/>
            </w:r>
          </w:hyperlink>
        </w:p>
        <w:p w:rsidR="00F44F7B" w:rsidRDefault="00730D49">
          <w:pPr>
            <w:pStyle w:val="10"/>
            <w:tabs>
              <w:tab w:val="right" w:leader="dot" w:pos="8306"/>
            </w:tabs>
          </w:pPr>
          <w:hyperlink w:anchor="_Toc30272" w:history="1">
            <w:r>
              <w:rPr>
                <w:rFonts w:hint="eastAsia"/>
                <w:szCs w:val="22"/>
              </w:rPr>
              <w:t>5</w:t>
            </w:r>
            <w:r>
              <w:rPr>
                <w:rFonts w:hint="eastAsia"/>
                <w:szCs w:val="22"/>
              </w:rPr>
              <w:t>水土保持措施</w:t>
            </w:r>
            <w:r>
              <w:tab/>
            </w:r>
            <w:r>
              <w:fldChar w:fldCharType="begin"/>
            </w:r>
            <w:r>
              <w:instrText xml:space="preserve"> PAGEREF _Toc30272 </w:instrText>
            </w:r>
            <w:r>
              <w:fldChar w:fldCharType="separate"/>
            </w:r>
            <w:r>
              <w:t>26</w:t>
            </w:r>
            <w:r>
              <w:fldChar w:fldCharType="end"/>
            </w:r>
          </w:hyperlink>
        </w:p>
        <w:p w:rsidR="00F44F7B" w:rsidRDefault="00730D49">
          <w:pPr>
            <w:pStyle w:val="20"/>
            <w:tabs>
              <w:tab w:val="right" w:leader="dot" w:pos="8306"/>
            </w:tabs>
            <w:ind w:left="480"/>
          </w:pPr>
          <w:hyperlink w:anchor="_Toc21792" w:history="1">
            <w:r>
              <w:rPr>
                <w:bCs/>
                <w:kern w:val="30"/>
                <w:szCs w:val="30"/>
              </w:rPr>
              <w:t>5.1</w:t>
            </w:r>
            <w:r>
              <w:rPr>
                <w:bCs/>
                <w:kern w:val="30"/>
                <w:szCs w:val="30"/>
              </w:rPr>
              <w:t>防治区划分</w:t>
            </w:r>
            <w:r>
              <w:tab/>
            </w:r>
            <w:r>
              <w:fldChar w:fldCharType="begin"/>
            </w:r>
            <w:r>
              <w:instrText xml:space="preserve"> PAGEREF _Toc21792 </w:instrText>
            </w:r>
            <w:r>
              <w:fldChar w:fldCharType="separate"/>
            </w:r>
            <w:r>
              <w:t>26</w:t>
            </w:r>
            <w:r>
              <w:fldChar w:fldCharType="end"/>
            </w:r>
          </w:hyperlink>
        </w:p>
        <w:p w:rsidR="00F44F7B" w:rsidRDefault="00730D49">
          <w:pPr>
            <w:pStyle w:val="20"/>
            <w:tabs>
              <w:tab w:val="right" w:leader="dot" w:pos="8306"/>
            </w:tabs>
            <w:ind w:left="480"/>
          </w:pPr>
          <w:hyperlink w:anchor="_Toc6566" w:history="1">
            <w:r>
              <w:t>5.2</w:t>
            </w:r>
            <w:r>
              <w:t>主体工程设计中具有水土保持措施界定与评价</w:t>
            </w:r>
            <w:r>
              <w:tab/>
            </w:r>
            <w:r>
              <w:fldChar w:fldCharType="begin"/>
            </w:r>
            <w:r>
              <w:instrText xml:space="preserve"> PAGEREF _Toc6566 </w:instrText>
            </w:r>
            <w:r>
              <w:fldChar w:fldCharType="separate"/>
            </w:r>
            <w:r>
              <w:t>27</w:t>
            </w:r>
            <w:r>
              <w:fldChar w:fldCharType="end"/>
            </w:r>
          </w:hyperlink>
        </w:p>
        <w:p w:rsidR="00F44F7B" w:rsidRDefault="00730D49">
          <w:pPr>
            <w:pStyle w:val="20"/>
            <w:tabs>
              <w:tab w:val="right" w:leader="dot" w:pos="8306"/>
            </w:tabs>
            <w:ind w:left="480"/>
          </w:pPr>
          <w:hyperlink w:anchor="_Toc3157" w:history="1">
            <w:r>
              <w:t>5.2</w:t>
            </w:r>
            <w:r>
              <w:t>措施总体布局</w:t>
            </w:r>
            <w:r>
              <w:tab/>
            </w:r>
            <w:r>
              <w:fldChar w:fldCharType="begin"/>
            </w:r>
            <w:r>
              <w:instrText xml:space="preserve"> PAGEREF _Toc3157 </w:instrText>
            </w:r>
            <w:r>
              <w:fldChar w:fldCharType="separate"/>
            </w:r>
            <w:r>
              <w:t>30</w:t>
            </w:r>
            <w:r>
              <w:fldChar w:fldCharType="end"/>
            </w:r>
          </w:hyperlink>
        </w:p>
        <w:p w:rsidR="00F44F7B" w:rsidRDefault="00730D49">
          <w:pPr>
            <w:pStyle w:val="20"/>
            <w:tabs>
              <w:tab w:val="right" w:leader="dot" w:pos="8306"/>
            </w:tabs>
            <w:ind w:left="480"/>
          </w:pPr>
          <w:hyperlink w:anchor="_Toc2166" w:history="1">
            <w:r>
              <w:t>5.3</w:t>
            </w:r>
            <w:r>
              <w:rPr>
                <w:lang w:val="zh-CN"/>
              </w:rPr>
              <w:t>分区措施布设</w:t>
            </w:r>
            <w:r>
              <w:tab/>
            </w:r>
            <w:r>
              <w:fldChar w:fldCharType="begin"/>
            </w:r>
            <w:r>
              <w:instrText xml:space="preserve"> PAGEREF _Toc2166 </w:instrText>
            </w:r>
            <w:r>
              <w:fldChar w:fldCharType="separate"/>
            </w:r>
            <w:r>
              <w:t>31</w:t>
            </w:r>
            <w:r>
              <w:fldChar w:fldCharType="end"/>
            </w:r>
          </w:hyperlink>
        </w:p>
        <w:p w:rsidR="00F44F7B" w:rsidRDefault="00730D49">
          <w:pPr>
            <w:pStyle w:val="10"/>
            <w:tabs>
              <w:tab w:val="right" w:leader="dot" w:pos="8306"/>
            </w:tabs>
          </w:pPr>
          <w:hyperlink w:anchor="_Toc6328" w:history="1">
            <w:r>
              <w:rPr>
                <w:rFonts w:hint="eastAsia"/>
                <w:szCs w:val="22"/>
              </w:rPr>
              <w:t>6</w:t>
            </w:r>
            <w:r>
              <w:rPr>
                <w:rFonts w:hint="eastAsia"/>
                <w:szCs w:val="22"/>
              </w:rPr>
              <w:t>水土保持监测</w:t>
            </w:r>
            <w:r>
              <w:tab/>
            </w:r>
            <w:r>
              <w:fldChar w:fldCharType="begin"/>
            </w:r>
            <w:r>
              <w:instrText xml:space="preserve"> PAGEREF _Toc6328 </w:instrText>
            </w:r>
            <w:r>
              <w:fldChar w:fldCharType="separate"/>
            </w:r>
            <w:r>
              <w:t>32</w:t>
            </w:r>
            <w:r>
              <w:fldChar w:fldCharType="end"/>
            </w:r>
          </w:hyperlink>
        </w:p>
        <w:p w:rsidR="00F44F7B" w:rsidRDefault="00730D49">
          <w:pPr>
            <w:pStyle w:val="20"/>
            <w:tabs>
              <w:tab w:val="right" w:leader="dot" w:pos="8306"/>
            </w:tabs>
            <w:ind w:left="480"/>
          </w:pPr>
          <w:hyperlink w:anchor="_Toc5749" w:history="1">
            <w:r>
              <w:rPr>
                <w:rFonts w:hint="eastAsia"/>
                <w:szCs w:val="22"/>
              </w:rPr>
              <w:t>6.1</w:t>
            </w:r>
            <w:r>
              <w:rPr>
                <w:rFonts w:hint="eastAsia"/>
                <w:szCs w:val="22"/>
              </w:rPr>
              <w:t>监测范围</w:t>
            </w:r>
            <w:r>
              <w:tab/>
            </w:r>
            <w:r>
              <w:fldChar w:fldCharType="begin"/>
            </w:r>
            <w:r>
              <w:instrText xml:space="preserve"> PAGEREF _Toc5749 </w:instrText>
            </w:r>
            <w:r>
              <w:fldChar w:fldCharType="separate"/>
            </w:r>
            <w:r>
              <w:t>32</w:t>
            </w:r>
            <w:r>
              <w:fldChar w:fldCharType="end"/>
            </w:r>
          </w:hyperlink>
        </w:p>
        <w:p w:rsidR="00F44F7B" w:rsidRDefault="00730D49">
          <w:pPr>
            <w:pStyle w:val="20"/>
            <w:tabs>
              <w:tab w:val="right" w:leader="dot" w:pos="8306"/>
            </w:tabs>
            <w:ind w:left="480"/>
          </w:pPr>
          <w:hyperlink w:anchor="_Toc7269" w:history="1">
            <w:r>
              <w:rPr>
                <w:rFonts w:hint="eastAsia"/>
                <w:szCs w:val="22"/>
              </w:rPr>
              <w:t>6.2</w:t>
            </w:r>
            <w:r>
              <w:rPr>
                <w:rFonts w:hint="eastAsia"/>
                <w:szCs w:val="22"/>
                <w:lang w:val="zh-CN"/>
              </w:rPr>
              <w:t>监测内容</w:t>
            </w:r>
            <w:r>
              <w:tab/>
            </w:r>
            <w:r>
              <w:fldChar w:fldCharType="begin"/>
            </w:r>
            <w:r>
              <w:instrText xml:space="preserve"> PAGEREF _Toc7269 </w:instrText>
            </w:r>
            <w:r>
              <w:fldChar w:fldCharType="separate"/>
            </w:r>
            <w:r>
              <w:t>32</w:t>
            </w:r>
            <w:r>
              <w:fldChar w:fldCharType="end"/>
            </w:r>
          </w:hyperlink>
        </w:p>
        <w:p w:rsidR="00F44F7B" w:rsidRDefault="00730D49">
          <w:pPr>
            <w:pStyle w:val="20"/>
            <w:tabs>
              <w:tab w:val="right" w:leader="dot" w:pos="8306"/>
            </w:tabs>
            <w:ind w:left="480"/>
          </w:pPr>
          <w:hyperlink w:anchor="_Toc11533" w:history="1">
            <w:r>
              <w:rPr>
                <w:rFonts w:hint="eastAsia"/>
                <w:szCs w:val="22"/>
              </w:rPr>
              <w:t>6.3</w:t>
            </w:r>
            <w:r>
              <w:rPr>
                <w:rFonts w:hint="eastAsia"/>
                <w:szCs w:val="22"/>
                <w:lang w:val="zh-CN"/>
              </w:rPr>
              <w:t>监测方法</w:t>
            </w:r>
            <w:r>
              <w:tab/>
            </w:r>
            <w:r>
              <w:fldChar w:fldCharType="begin"/>
            </w:r>
            <w:r>
              <w:instrText xml:space="preserve"> PAGEREF _Toc11533 </w:instrText>
            </w:r>
            <w:r>
              <w:fldChar w:fldCharType="separate"/>
            </w:r>
            <w:r>
              <w:t>33</w:t>
            </w:r>
            <w:r>
              <w:fldChar w:fldCharType="end"/>
            </w:r>
          </w:hyperlink>
        </w:p>
        <w:p w:rsidR="00F44F7B" w:rsidRDefault="00730D49">
          <w:pPr>
            <w:pStyle w:val="10"/>
            <w:tabs>
              <w:tab w:val="right" w:leader="dot" w:pos="8306"/>
            </w:tabs>
          </w:pPr>
          <w:hyperlink w:anchor="_Toc29655" w:history="1">
            <w:r>
              <w:rPr>
                <w:rFonts w:hint="eastAsia"/>
                <w:szCs w:val="22"/>
              </w:rPr>
              <w:t>7</w:t>
            </w:r>
            <w:r>
              <w:rPr>
                <w:rFonts w:hint="eastAsia"/>
                <w:szCs w:val="22"/>
              </w:rPr>
              <w:t>水土保持投资概算及效益分析</w:t>
            </w:r>
            <w:r>
              <w:tab/>
            </w:r>
            <w:r>
              <w:fldChar w:fldCharType="begin"/>
            </w:r>
            <w:r>
              <w:instrText xml:space="preserve"> PAGEREF _Toc29655 </w:instrText>
            </w:r>
            <w:r>
              <w:fldChar w:fldCharType="separate"/>
            </w:r>
            <w:r>
              <w:t>33</w:t>
            </w:r>
            <w:r>
              <w:fldChar w:fldCharType="end"/>
            </w:r>
          </w:hyperlink>
        </w:p>
        <w:p w:rsidR="00F44F7B" w:rsidRDefault="00730D49">
          <w:pPr>
            <w:pStyle w:val="20"/>
            <w:tabs>
              <w:tab w:val="right" w:leader="dot" w:pos="8306"/>
            </w:tabs>
            <w:ind w:left="480"/>
          </w:pPr>
          <w:hyperlink w:anchor="_Toc21669" w:history="1">
            <w:r>
              <w:rPr>
                <w:rFonts w:hint="eastAsia"/>
              </w:rPr>
              <w:t>7</w:t>
            </w:r>
            <w:r>
              <w:t>.1</w:t>
            </w:r>
            <w:r>
              <w:t>投资概算</w:t>
            </w:r>
            <w:r>
              <w:tab/>
            </w:r>
            <w:r>
              <w:fldChar w:fldCharType="begin"/>
            </w:r>
            <w:r>
              <w:instrText xml:space="preserve"> PAGEREF _Toc21669 </w:instrText>
            </w:r>
            <w:r>
              <w:fldChar w:fldCharType="separate"/>
            </w:r>
            <w:r>
              <w:t>33</w:t>
            </w:r>
            <w:r>
              <w:fldChar w:fldCharType="end"/>
            </w:r>
          </w:hyperlink>
        </w:p>
        <w:p w:rsidR="00F44F7B" w:rsidRDefault="00730D49">
          <w:pPr>
            <w:pStyle w:val="20"/>
            <w:tabs>
              <w:tab w:val="right" w:leader="dot" w:pos="8306"/>
            </w:tabs>
            <w:ind w:left="480"/>
          </w:pPr>
          <w:hyperlink w:anchor="_Toc29797" w:history="1">
            <w:r>
              <w:rPr>
                <w:rFonts w:hint="eastAsia"/>
              </w:rPr>
              <w:t>7</w:t>
            </w:r>
            <w:r>
              <w:t>.2</w:t>
            </w:r>
            <w:r>
              <w:t>效益分析</w:t>
            </w:r>
            <w:r>
              <w:tab/>
            </w:r>
            <w:r>
              <w:fldChar w:fldCharType="begin"/>
            </w:r>
            <w:r>
              <w:instrText xml:space="preserve"> PAGEREF _Toc29797 </w:instrText>
            </w:r>
            <w:r>
              <w:fldChar w:fldCharType="separate"/>
            </w:r>
            <w:r>
              <w:t>37</w:t>
            </w:r>
            <w:r>
              <w:fldChar w:fldCharType="end"/>
            </w:r>
          </w:hyperlink>
        </w:p>
        <w:p w:rsidR="00F44F7B" w:rsidRDefault="00730D49">
          <w:pPr>
            <w:pStyle w:val="10"/>
            <w:tabs>
              <w:tab w:val="right" w:leader="dot" w:pos="8306"/>
            </w:tabs>
          </w:pPr>
          <w:hyperlink w:anchor="_Toc27033" w:history="1">
            <w:r>
              <w:rPr>
                <w:rFonts w:hint="eastAsia"/>
              </w:rPr>
              <w:t>8</w:t>
            </w:r>
            <w:r>
              <w:t>结论及建议</w:t>
            </w:r>
            <w:r>
              <w:tab/>
            </w:r>
            <w:r>
              <w:fldChar w:fldCharType="begin"/>
            </w:r>
            <w:r>
              <w:instrText xml:space="preserve"> PAGEREF _Toc27033 </w:instrText>
            </w:r>
            <w:r>
              <w:fldChar w:fldCharType="separate"/>
            </w:r>
            <w:r>
              <w:t>38</w:t>
            </w:r>
            <w:r>
              <w:fldChar w:fldCharType="end"/>
            </w:r>
          </w:hyperlink>
        </w:p>
        <w:p w:rsidR="00F44F7B" w:rsidRDefault="00730D49">
          <w:pPr>
            <w:pStyle w:val="20"/>
            <w:tabs>
              <w:tab w:val="right" w:leader="dot" w:pos="8306"/>
            </w:tabs>
            <w:ind w:left="480"/>
          </w:pPr>
          <w:hyperlink w:anchor="_Toc31704" w:history="1">
            <w:r>
              <w:rPr>
                <w:rFonts w:hint="eastAsia"/>
              </w:rPr>
              <w:t>8</w:t>
            </w:r>
            <w:r>
              <w:t>.1</w:t>
            </w:r>
            <w:r>
              <w:t>结论</w:t>
            </w:r>
            <w:r>
              <w:tab/>
            </w:r>
            <w:r>
              <w:fldChar w:fldCharType="begin"/>
            </w:r>
            <w:r>
              <w:instrText xml:space="preserve"> PAGEREF _Toc31704 </w:instrText>
            </w:r>
            <w:r>
              <w:fldChar w:fldCharType="separate"/>
            </w:r>
            <w:r>
              <w:t>38</w:t>
            </w:r>
            <w:r>
              <w:fldChar w:fldCharType="end"/>
            </w:r>
          </w:hyperlink>
        </w:p>
        <w:p w:rsidR="00F44F7B" w:rsidRDefault="00730D49">
          <w:pPr>
            <w:pStyle w:val="20"/>
            <w:tabs>
              <w:tab w:val="right" w:leader="dot" w:pos="8306"/>
            </w:tabs>
            <w:ind w:left="480"/>
          </w:pPr>
          <w:hyperlink w:anchor="_Toc25085" w:history="1">
            <w:r>
              <w:rPr>
                <w:rFonts w:hint="eastAsia"/>
              </w:rPr>
              <w:t>8</w:t>
            </w:r>
            <w:r>
              <w:t>.2</w:t>
            </w:r>
            <w:r>
              <w:rPr>
                <w:rFonts w:hint="eastAsia"/>
              </w:rPr>
              <w:t>建议</w:t>
            </w:r>
            <w:r>
              <w:tab/>
            </w:r>
            <w:r>
              <w:fldChar w:fldCharType="begin"/>
            </w:r>
            <w:r>
              <w:instrText xml:space="preserve"> PAGEREF _Toc25085 </w:instrText>
            </w:r>
            <w:r>
              <w:fldChar w:fldCharType="separate"/>
            </w:r>
            <w:r>
              <w:t>38</w:t>
            </w:r>
            <w:r>
              <w:fldChar w:fldCharType="end"/>
            </w:r>
          </w:hyperlink>
        </w:p>
        <w:p w:rsidR="00F44F7B" w:rsidRDefault="00730D49">
          <w:pPr>
            <w:pStyle w:val="af1"/>
            <w:ind w:firstLine="480"/>
            <w:rPr>
              <w:szCs w:val="24"/>
            </w:rPr>
            <w:sectPr w:rsidR="00F44F7B">
              <w:headerReference w:type="default" r:id="rId9"/>
              <w:footerReference w:type="default" r:id="rId10"/>
              <w:pgSz w:w="11906" w:h="16838"/>
              <w:pgMar w:top="1440" w:right="1800" w:bottom="1440" w:left="1800" w:header="851" w:footer="992" w:gutter="0"/>
              <w:pgNumType w:fmt="upperRoman"/>
              <w:cols w:space="425"/>
              <w:titlePg/>
              <w:docGrid w:type="lines" w:linePitch="326"/>
            </w:sectPr>
          </w:pPr>
          <w:r>
            <w:rPr>
              <w:szCs w:val="24"/>
            </w:rPr>
            <w:fldChar w:fldCharType="end"/>
          </w:r>
        </w:p>
      </w:sdtContent>
    </w:sdt>
    <w:p w:rsidR="00F44F7B" w:rsidRDefault="00730D49">
      <w:pPr>
        <w:pStyle w:val="1"/>
      </w:pPr>
      <w:bookmarkStart w:id="3" w:name="_Toc3168"/>
      <w:bookmarkStart w:id="4" w:name="_Toc61602695"/>
      <w:bookmarkStart w:id="5" w:name="_Toc61605675"/>
      <w:r>
        <w:rPr>
          <w:rFonts w:hint="eastAsia"/>
        </w:rPr>
        <w:lastRenderedPageBreak/>
        <w:t>1</w:t>
      </w:r>
      <w:r>
        <w:t>项目</w:t>
      </w:r>
      <w:r>
        <w:rPr>
          <w:rFonts w:hint="eastAsia"/>
        </w:rPr>
        <w:t>简述</w:t>
      </w:r>
      <w:bookmarkEnd w:id="3"/>
    </w:p>
    <w:p w:rsidR="00F44F7B" w:rsidRDefault="00730D49">
      <w:pPr>
        <w:pStyle w:val="2"/>
      </w:pPr>
      <w:bookmarkStart w:id="6" w:name="_Toc3507"/>
      <w:r>
        <w:rPr>
          <w:rFonts w:hint="eastAsia"/>
        </w:rPr>
        <w:t>1</w:t>
      </w:r>
      <w:r>
        <w:t>.1</w:t>
      </w:r>
      <w:r>
        <w:rPr>
          <w:rFonts w:hint="eastAsia"/>
        </w:rPr>
        <w:t>基本情况</w:t>
      </w:r>
      <w:bookmarkEnd w:id="6"/>
    </w:p>
    <w:p w:rsidR="00F44F7B" w:rsidRDefault="00730D49">
      <w:pPr>
        <w:pStyle w:val="af1"/>
        <w:widowControl/>
        <w:adjustRightInd/>
        <w:snapToGrid/>
        <w:ind w:leftChars="200" w:left="480" w:firstLineChars="0" w:firstLine="0"/>
        <w:rPr>
          <w:szCs w:val="16"/>
        </w:rPr>
      </w:pPr>
      <w:r>
        <w:t>●</w:t>
      </w:r>
      <w:r>
        <w:t>项目名称：</w:t>
      </w:r>
      <w:r>
        <w:rPr>
          <w:rFonts w:hint="eastAsia"/>
          <w:szCs w:val="16"/>
        </w:rPr>
        <w:t>仪陇县公安局城西、度门、光华派出所业务用房</w:t>
      </w:r>
      <w:r>
        <w:rPr>
          <w:szCs w:val="16"/>
        </w:rPr>
        <w:t>建设项目</w:t>
      </w:r>
    </w:p>
    <w:p w:rsidR="00F44F7B" w:rsidRDefault="00730D49">
      <w:pPr>
        <w:pStyle w:val="af1"/>
        <w:widowControl/>
        <w:adjustRightInd/>
        <w:snapToGrid/>
        <w:ind w:leftChars="200" w:left="480" w:firstLineChars="0" w:firstLine="0"/>
      </w:pPr>
      <w:r>
        <w:t>●</w:t>
      </w:r>
      <w:r>
        <w:t>建设单位：</w:t>
      </w:r>
      <w:r>
        <w:rPr>
          <w:rFonts w:hint="eastAsia"/>
        </w:rPr>
        <w:t>仪陇县公安局</w:t>
      </w:r>
    </w:p>
    <w:p w:rsidR="00F44F7B" w:rsidRDefault="00730D49">
      <w:pPr>
        <w:pStyle w:val="af1"/>
        <w:widowControl/>
        <w:adjustRightInd/>
        <w:snapToGrid/>
        <w:ind w:leftChars="200" w:left="480" w:firstLineChars="0" w:firstLine="0"/>
        <w:rPr>
          <w:szCs w:val="16"/>
        </w:rPr>
      </w:pPr>
      <w:r>
        <w:t>●</w:t>
      </w:r>
      <w:r>
        <w:t>建设地点：</w:t>
      </w:r>
      <w:r>
        <w:rPr>
          <w:rFonts w:hint="eastAsia"/>
          <w:szCs w:val="16"/>
        </w:rPr>
        <w:t>仪陇县度门镇</w:t>
      </w:r>
    </w:p>
    <w:p w:rsidR="00F44F7B" w:rsidRDefault="00730D49">
      <w:pPr>
        <w:pStyle w:val="af1"/>
        <w:widowControl/>
        <w:adjustRightInd/>
        <w:snapToGrid/>
        <w:ind w:leftChars="200" w:left="480" w:firstLineChars="0" w:firstLine="0"/>
      </w:pPr>
      <w:r>
        <w:t>●</w:t>
      </w:r>
      <w:r>
        <w:t>建设性质：新建</w:t>
      </w:r>
    </w:p>
    <w:p w:rsidR="00F44F7B" w:rsidRDefault="00730D49">
      <w:pPr>
        <w:pStyle w:val="af1"/>
        <w:ind w:firstLine="480"/>
        <w:rPr>
          <w:vertAlign w:val="superscript"/>
        </w:rPr>
      </w:pPr>
      <w:r>
        <w:t>●</w:t>
      </w:r>
      <w:r>
        <w:t>建设内容：</w:t>
      </w:r>
      <w:r>
        <w:rPr>
          <w:rFonts w:hint="eastAsia"/>
        </w:rPr>
        <w:t>新建业务用房</w:t>
      </w:r>
      <w:r>
        <w:rPr>
          <w:rFonts w:hint="eastAsia"/>
        </w:rPr>
        <w:t>1</w:t>
      </w:r>
      <w:r>
        <w:t>550 m</w:t>
      </w:r>
      <w:r>
        <w:rPr>
          <w:vertAlign w:val="superscript"/>
        </w:rPr>
        <w:t>2</w:t>
      </w:r>
      <w:r>
        <w:rPr>
          <w:rFonts w:hint="eastAsia"/>
          <w:vertAlign w:val="superscript"/>
        </w:rPr>
        <w:t>，</w:t>
      </w:r>
      <w:r>
        <w:rPr>
          <w:rFonts w:hint="eastAsia"/>
        </w:rPr>
        <w:t>其中度门派出所</w:t>
      </w:r>
      <w:r>
        <w:rPr>
          <w:rFonts w:hint="eastAsia"/>
        </w:rPr>
        <w:t>5</w:t>
      </w:r>
      <w:r>
        <w:t>55 m</w:t>
      </w:r>
      <w:r>
        <w:rPr>
          <w:vertAlign w:val="superscript"/>
        </w:rPr>
        <w:t>2</w:t>
      </w:r>
      <w:r>
        <w:rPr>
          <w:rFonts w:hint="eastAsia"/>
        </w:rPr>
        <w:t>，光华派出所</w:t>
      </w:r>
      <w:r>
        <w:rPr>
          <w:rFonts w:hint="eastAsia"/>
        </w:rPr>
        <w:t>2</w:t>
      </w:r>
      <w:r>
        <w:t>60 m</w:t>
      </w:r>
      <w:r>
        <w:rPr>
          <w:vertAlign w:val="superscript"/>
        </w:rPr>
        <w:t>2</w:t>
      </w:r>
      <w:r>
        <w:rPr>
          <w:rFonts w:hint="eastAsia"/>
        </w:rPr>
        <w:t>，城西派出所</w:t>
      </w:r>
      <w:r>
        <w:rPr>
          <w:rFonts w:hint="eastAsia"/>
        </w:rPr>
        <w:t>7</w:t>
      </w:r>
      <w:r>
        <w:t>35 m</w:t>
      </w:r>
      <w:r>
        <w:rPr>
          <w:vertAlign w:val="superscript"/>
        </w:rPr>
        <w:t>2</w:t>
      </w:r>
    </w:p>
    <w:p w:rsidR="00F44F7B" w:rsidRDefault="00730D49">
      <w:pPr>
        <w:pStyle w:val="af1"/>
        <w:ind w:firstLine="480"/>
      </w:pPr>
      <w:r>
        <w:t>●</w:t>
      </w:r>
      <w:r>
        <w:t>施工内容：机械开挖、场地平整、道路平整、管道敷设、场地绿化美化等。</w:t>
      </w:r>
    </w:p>
    <w:p w:rsidR="00F44F7B" w:rsidRDefault="00730D49">
      <w:pPr>
        <w:pStyle w:val="af1"/>
        <w:ind w:firstLine="480"/>
      </w:pPr>
      <w:r>
        <w:t>●</w:t>
      </w:r>
      <w:r>
        <w:t>建设工期：本项目建设总工期</w:t>
      </w:r>
      <w:r>
        <w:t>9</w:t>
      </w:r>
      <w:r>
        <w:t>个月，即从</w:t>
      </w:r>
      <w:r>
        <w:t>2017</w:t>
      </w:r>
      <w:r>
        <w:t>年</w:t>
      </w:r>
      <w:r>
        <w:t>4</w:t>
      </w:r>
      <w:r>
        <w:t>月至</w:t>
      </w:r>
      <w:r>
        <w:t>2017</w:t>
      </w:r>
      <w:r>
        <w:t>年</w:t>
      </w:r>
      <w:r>
        <w:t>12</w:t>
      </w:r>
      <w:r>
        <w:t>月。</w:t>
      </w:r>
    </w:p>
    <w:p w:rsidR="00F44F7B" w:rsidRDefault="00730D49">
      <w:pPr>
        <w:pStyle w:val="af1"/>
        <w:ind w:firstLine="480"/>
      </w:pPr>
      <w:r>
        <w:t>●</w:t>
      </w:r>
      <w:r>
        <w:t>项目总投资及资金来源：总投资</w:t>
      </w:r>
      <w:r>
        <w:t>540</w:t>
      </w:r>
      <w:r>
        <w:t>万元，其中土建投资</w:t>
      </w:r>
      <w:r>
        <w:t>244</w:t>
      </w:r>
      <w:r>
        <w:t>万元，资金全部由部门、中央和省专项经费解决。</w:t>
      </w:r>
      <w:r>
        <w:t xml:space="preserve">    </w:t>
      </w:r>
    </w:p>
    <w:p w:rsidR="00F44F7B" w:rsidRDefault="00730D49">
      <w:pPr>
        <w:jc w:val="center"/>
        <w:rPr>
          <w:b/>
          <w:bCs/>
          <w:kern w:val="0"/>
        </w:rPr>
      </w:pPr>
      <w:r>
        <w:rPr>
          <w:b/>
          <w:bCs/>
          <w:kern w:val="0"/>
          <w:sz w:val="22"/>
          <w:szCs w:val="18"/>
        </w:rPr>
        <w:t>表</w:t>
      </w:r>
      <w:r>
        <w:rPr>
          <w:rFonts w:hint="eastAsia"/>
          <w:b/>
          <w:bCs/>
          <w:kern w:val="0"/>
          <w:sz w:val="22"/>
          <w:szCs w:val="18"/>
        </w:rPr>
        <w:t>1</w:t>
      </w:r>
      <w:r>
        <w:rPr>
          <w:b/>
          <w:bCs/>
          <w:kern w:val="0"/>
          <w:sz w:val="22"/>
          <w:szCs w:val="18"/>
        </w:rPr>
        <w:t xml:space="preserve">-1     </w:t>
      </w:r>
      <w:r>
        <w:rPr>
          <w:b/>
          <w:bCs/>
          <w:kern w:val="0"/>
          <w:sz w:val="22"/>
          <w:szCs w:val="18"/>
        </w:rPr>
        <w:t>项目建设</w:t>
      </w:r>
      <w:r>
        <w:rPr>
          <w:rFonts w:hint="eastAsia"/>
          <w:b/>
          <w:bCs/>
          <w:kern w:val="0"/>
          <w:sz w:val="22"/>
          <w:szCs w:val="18"/>
        </w:rPr>
        <w:t>区</w:t>
      </w:r>
      <w:r>
        <w:rPr>
          <w:b/>
          <w:bCs/>
          <w:kern w:val="0"/>
          <w:sz w:val="22"/>
          <w:szCs w:val="18"/>
        </w:rPr>
        <w:t>工程特性表</w:t>
      </w:r>
    </w:p>
    <w:tbl>
      <w:tblPr>
        <w:tblW w:w="4999" w:type="pct"/>
        <w:tblCellMar>
          <w:left w:w="0" w:type="dxa"/>
          <w:right w:w="0" w:type="dxa"/>
        </w:tblCellMar>
        <w:tblLook w:val="04A0" w:firstRow="1" w:lastRow="0" w:firstColumn="1" w:lastColumn="0" w:noHBand="0" w:noVBand="1"/>
      </w:tblPr>
      <w:tblGrid>
        <w:gridCol w:w="742"/>
        <w:gridCol w:w="842"/>
        <w:gridCol w:w="2227"/>
        <w:gridCol w:w="1402"/>
        <w:gridCol w:w="985"/>
        <w:gridCol w:w="2578"/>
      </w:tblGrid>
      <w:tr w:rsidR="00F44F7B">
        <w:trPr>
          <w:trHeight w:val="283"/>
        </w:trPr>
        <w:tc>
          <w:tcPr>
            <w:tcW w:w="901" w:type="pct"/>
            <w:gridSpan w:val="2"/>
            <w:tcBorders>
              <w:top w:val="single" w:sz="4" w:space="0" w:color="auto"/>
              <w:left w:val="single" w:sz="4" w:space="0" w:color="auto"/>
              <w:bottom w:val="single" w:sz="4" w:space="0" w:color="auto"/>
              <w:right w:val="single" w:sz="4" w:space="0" w:color="auto"/>
            </w:tcBorders>
            <w:vAlign w:val="center"/>
          </w:tcPr>
          <w:p w:rsidR="00F44F7B" w:rsidRDefault="00730D49">
            <w:pPr>
              <w:widowControl/>
              <w:jc w:val="center"/>
              <w:rPr>
                <w:kern w:val="0"/>
                <w:sz w:val="21"/>
                <w:szCs w:val="21"/>
              </w:rPr>
            </w:pPr>
            <w:r>
              <w:rPr>
                <w:kern w:val="0"/>
                <w:sz w:val="21"/>
                <w:szCs w:val="21"/>
              </w:rPr>
              <w:t>项目名称</w:t>
            </w:r>
          </w:p>
        </w:tc>
        <w:tc>
          <w:tcPr>
            <w:tcW w:w="4099" w:type="pct"/>
            <w:gridSpan w:val="4"/>
            <w:tcBorders>
              <w:top w:val="single" w:sz="4" w:space="0" w:color="auto"/>
              <w:left w:val="nil"/>
              <w:bottom w:val="single" w:sz="4" w:space="0" w:color="auto"/>
              <w:right w:val="single" w:sz="4" w:space="0" w:color="auto"/>
            </w:tcBorders>
            <w:vAlign w:val="center"/>
          </w:tcPr>
          <w:p w:rsidR="00F44F7B" w:rsidRDefault="00730D49">
            <w:pPr>
              <w:widowControl/>
              <w:ind w:firstLine="420"/>
              <w:jc w:val="center"/>
              <w:rPr>
                <w:kern w:val="0"/>
                <w:sz w:val="21"/>
                <w:szCs w:val="21"/>
              </w:rPr>
            </w:pPr>
            <w:r>
              <w:rPr>
                <w:rFonts w:hint="eastAsia"/>
                <w:sz w:val="21"/>
                <w:szCs w:val="21"/>
              </w:rPr>
              <w:t>仪陇县公安局城西、度门、光华派出所业务用房建设项目</w:t>
            </w:r>
          </w:p>
        </w:tc>
      </w:tr>
      <w:tr w:rsidR="00F44F7B">
        <w:trPr>
          <w:trHeight w:val="456"/>
        </w:trPr>
        <w:tc>
          <w:tcPr>
            <w:tcW w:w="901" w:type="pct"/>
            <w:gridSpan w:val="2"/>
            <w:tcBorders>
              <w:top w:val="single" w:sz="4" w:space="0" w:color="auto"/>
              <w:left w:val="single" w:sz="4" w:space="0" w:color="auto"/>
              <w:bottom w:val="single" w:sz="4" w:space="0" w:color="auto"/>
              <w:right w:val="single" w:sz="4" w:space="0" w:color="auto"/>
            </w:tcBorders>
            <w:vAlign w:val="center"/>
          </w:tcPr>
          <w:p w:rsidR="00F44F7B" w:rsidRDefault="00730D49">
            <w:pPr>
              <w:widowControl/>
              <w:jc w:val="center"/>
              <w:rPr>
                <w:kern w:val="0"/>
                <w:sz w:val="21"/>
                <w:szCs w:val="21"/>
              </w:rPr>
            </w:pPr>
            <w:r>
              <w:rPr>
                <w:kern w:val="0"/>
                <w:sz w:val="21"/>
                <w:szCs w:val="21"/>
              </w:rPr>
              <w:t>建设单位</w:t>
            </w:r>
          </w:p>
        </w:tc>
        <w:tc>
          <w:tcPr>
            <w:tcW w:w="4099" w:type="pct"/>
            <w:gridSpan w:val="4"/>
            <w:tcBorders>
              <w:top w:val="single" w:sz="4" w:space="0" w:color="auto"/>
              <w:left w:val="nil"/>
              <w:bottom w:val="single" w:sz="4" w:space="0" w:color="auto"/>
              <w:right w:val="single" w:sz="4" w:space="0" w:color="auto"/>
            </w:tcBorders>
            <w:vAlign w:val="center"/>
          </w:tcPr>
          <w:p w:rsidR="00F44F7B" w:rsidRDefault="00730D49">
            <w:pPr>
              <w:pStyle w:val="af1"/>
              <w:widowControl/>
              <w:adjustRightInd/>
              <w:snapToGrid/>
              <w:ind w:firstLineChars="0" w:firstLine="0"/>
              <w:jc w:val="center"/>
              <w:rPr>
                <w:kern w:val="0"/>
                <w:sz w:val="21"/>
                <w:szCs w:val="21"/>
              </w:rPr>
            </w:pPr>
            <w:r>
              <w:rPr>
                <w:rFonts w:hint="eastAsia"/>
                <w:sz w:val="21"/>
                <w:szCs w:val="21"/>
              </w:rPr>
              <w:t>仪陇县公安局</w:t>
            </w:r>
          </w:p>
        </w:tc>
      </w:tr>
      <w:tr w:rsidR="00F44F7B">
        <w:trPr>
          <w:trHeight w:val="283"/>
        </w:trPr>
        <w:tc>
          <w:tcPr>
            <w:tcW w:w="901" w:type="pct"/>
            <w:gridSpan w:val="2"/>
            <w:tcBorders>
              <w:top w:val="single" w:sz="4" w:space="0" w:color="auto"/>
              <w:left w:val="single" w:sz="4" w:space="0" w:color="auto"/>
              <w:bottom w:val="single" w:sz="4" w:space="0" w:color="auto"/>
              <w:right w:val="single" w:sz="4" w:space="0" w:color="auto"/>
            </w:tcBorders>
            <w:vAlign w:val="center"/>
          </w:tcPr>
          <w:p w:rsidR="00F44F7B" w:rsidRDefault="00730D49">
            <w:pPr>
              <w:widowControl/>
              <w:jc w:val="center"/>
              <w:rPr>
                <w:kern w:val="0"/>
                <w:sz w:val="21"/>
                <w:szCs w:val="21"/>
              </w:rPr>
            </w:pPr>
            <w:r>
              <w:rPr>
                <w:kern w:val="0"/>
                <w:sz w:val="21"/>
                <w:szCs w:val="21"/>
              </w:rPr>
              <w:t>建设地点</w:t>
            </w:r>
          </w:p>
        </w:tc>
        <w:tc>
          <w:tcPr>
            <w:tcW w:w="4099" w:type="pct"/>
            <w:gridSpan w:val="4"/>
            <w:tcBorders>
              <w:top w:val="single" w:sz="4" w:space="0" w:color="auto"/>
              <w:left w:val="nil"/>
              <w:bottom w:val="single" w:sz="4" w:space="0" w:color="auto"/>
              <w:right w:val="single" w:sz="4" w:space="0" w:color="auto"/>
            </w:tcBorders>
            <w:vAlign w:val="center"/>
          </w:tcPr>
          <w:p w:rsidR="00F44F7B" w:rsidRDefault="00730D49">
            <w:pPr>
              <w:widowControl/>
              <w:jc w:val="center"/>
              <w:rPr>
                <w:kern w:val="0"/>
                <w:sz w:val="21"/>
                <w:szCs w:val="21"/>
              </w:rPr>
            </w:pPr>
            <w:r>
              <w:rPr>
                <w:rFonts w:hint="eastAsia"/>
                <w:sz w:val="21"/>
                <w:szCs w:val="21"/>
              </w:rPr>
              <w:t>仪陇县度门镇</w:t>
            </w:r>
          </w:p>
        </w:tc>
      </w:tr>
      <w:tr w:rsidR="00F44F7B">
        <w:trPr>
          <w:trHeight w:val="283"/>
        </w:trPr>
        <w:tc>
          <w:tcPr>
            <w:tcW w:w="422" w:type="pct"/>
            <w:vMerge w:val="restart"/>
            <w:tcBorders>
              <w:left w:val="single" w:sz="4" w:space="0" w:color="auto"/>
              <w:right w:val="single" w:sz="4" w:space="0" w:color="auto"/>
            </w:tcBorders>
            <w:vAlign w:val="center"/>
          </w:tcPr>
          <w:p w:rsidR="00F44F7B" w:rsidRDefault="00730D49">
            <w:pPr>
              <w:widowControl/>
              <w:jc w:val="center"/>
              <w:rPr>
                <w:kern w:val="0"/>
                <w:sz w:val="21"/>
                <w:szCs w:val="21"/>
              </w:rPr>
            </w:pPr>
            <w:r>
              <w:rPr>
                <w:kern w:val="0"/>
                <w:sz w:val="21"/>
                <w:szCs w:val="21"/>
              </w:rPr>
              <w:t>建设工程</w:t>
            </w:r>
          </w:p>
        </w:tc>
        <w:tc>
          <w:tcPr>
            <w:tcW w:w="480" w:type="pct"/>
            <w:tcBorders>
              <w:top w:val="single" w:sz="4" w:space="0" w:color="auto"/>
              <w:left w:val="single" w:sz="4" w:space="0" w:color="auto"/>
              <w:bottom w:val="single" w:sz="4" w:space="0" w:color="auto"/>
              <w:right w:val="single" w:sz="4" w:space="0" w:color="auto"/>
            </w:tcBorders>
            <w:vAlign w:val="center"/>
          </w:tcPr>
          <w:p w:rsidR="00F44F7B" w:rsidRDefault="00730D49">
            <w:pPr>
              <w:widowControl/>
              <w:jc w:val="center"/>
              <w:rPr>
                <w:kern w:val="0"/>
                <w:sz w:val="21"/>
                <w:szCs w:val="21"/>
              </w:rPr>
            </w:pPr>
            <w:r>
              <w:rPr>
                <w:kern w:val="0"/>
                <w:sz w:val="21"/>
                <w:szCs w:val="21"/>
              </w:rPr>
              <w:t>供水</w:t>
            </w:r>
          </w:p>
        </w:tc>
        <w:tc>
          <w:tcPr>
            <w:tcW w:w="1269" w:type="pct"/>
            <w:tcBorders>
              <w:top w:val="single" w:sz="4" w:space="0" w:color="auto"/>
              <w:left w:val="nil"/>
              <w:bottom w:val="single" w:sz="4" w:space="0" w:color="auto"/>
              <w:right w:val="single" w:sz="4" w:space="0" w:color="auto"/>
            </w:tcBorders>
            <w:vAlign w:val="center"/>
          </w:tcPr>
          <w:p w:rsidR="00F44F7B" w:rsidRDefault="00730D49">
            <w:pPr>
              <w:widowControl/>
              <w:jc w:val="center"/>
              <w:rPr>
                <w:kern w:val="0"/>
                <w:sz w:val="21"/>
                <w:szCs w:val="21"/>
              </w:rPr>
            </w:pPr>
            <w:r>
              <w:rPr>
                <w:kern w:val="0"/>
                <w:sz w:val="21"/>
                <w:szCs w:val="21"/>
              </w:rPr>
              <w:t>供水水源</w:t>
            </w:r>
          </w:p>
        </w:tc>
        <w:tc>
          <w:tcPr>
            <w:tcW w:w="2830" w:type="pct"/>
            <w:gridSpan w:val="3"/>
            <w:tcBorders>
              <w:top w:val="single" w:sz="4" w:space="0" w:color="auto"/>
              <w:left w:val="nil"/>
              <w:bottom w:val="single" w:sz="4" w:space="0" w:color="auto"/>
              <w:right w:val="single" w:sz="4" w:space="0" w:color="auto"/>
            </w:tcBorders>
            <w:vAlign w:val="center"/>
          </w:tcPr>
          <w:p w:rsidR="00F44F7B" w:rsidRDefault="00730D49">
            <w:pPr>
              <w:widowControl/>
              <w:jc w:val="center"/>
              <w:rPr>
                <w:kern w:val="0"/>
                <w:sz w:val="21"/>
                <w:szCs w:val="21"/>
              </w:rPr>
            </w:pPr>
            <w:r>
              <w:rPr>
                <w:bCs/>
                <w:sz w:val="21"/>
                <w:szCs w:val="21"/>
              </w:rPr>
              <w:t>水源由城市供水管网，经规划区内给水管提供</w:t>
            </w:r>
          </w:p>
        </w:tc>
      </w:tr>
      <w:tr w:rsidR="00F44F7B">
        <w:trPr>
          <w:trHeight w:val="283"/>
        </w:trPr>
        <w:tc>
          <w:tcPr>
            <w:tcW w:w="422" w:type="pct"/>
            <w:vMerge/>
            <w:tcBorders>
              <w:left w:val="single" w:sz="4" w:space="0" w:color="auto"/>
              <w:bottom w:val="single" w:sz="4" w:space="0" w:color="auto"/>
              <w:right w:val="single" w:sz="4" w:space="0" w:color="auto"/>
            </w:tcBorders>
            <w:vAlign w:val="center"/>
          </w:tcPr>
          <w:p w:rsidR="00F44F7B" w:rsidRDefault="00F44F7B">
            <w:pPr>
              <w:widowControl/>
              <w:jc w:val="center"/>
              <w:rPr>
                <w:kern w:val="0"/>
                <w:sz w:val="21"/>
                <w:szCs w:val="21"/>
              </w:rPr>
            </w:pPr>
          </w:p>
        </w:tc>
        <w:tc>
          <w:tcPr>
            <w:tcW w:w="480" w:type="pct"/>
            <w:tcBorders>
              <w:top w:val="single" w:sz="4" w:space="0" w:color="auto"/>
              <w:left w:val="single" w:sz="4" w:space="0" w:color="auto"/>
              <w:bottom w:val="single" w:sz="4" w:space="0" w:color="auto"/>
              <w:right w:val="single" w:sz="4" w:space="0" w:color="auto"/>
            </w:tcBorders>
            <w:vAlign w:val="center"/>
          </w:tcPr>
          <w:p w:rsidR="00F44F7B" w:rsidRDefault="00730D49">
            <w:pPr>
              <w:widowControl/>
              <w:jc w:val="center"/>
              <w:rPr>
                <w:kern w:val="0"/>
                <w:sz w:val="21"/>
                <w:szCs w:val="21"/>
              </w:rPr>
            </w:pPr>
            <w:r>
              <w:rPr>
                <w:kern w:val="0"/>
                <w:sz w:val="21"/>
                <w:szCs w:val="21"/>
              </w:rPr>
              <w:t>供电</w:t>
            </w:r>
          </w:p>
        </w:tc>
        <w:tc>
          <w:tcPr>
            <w:tcW w:w="1269" w:type="pct"/>
            <w:tcBorders>
              <w:top w:val="nil"/>
              <w:left w:val="nil"/>
              <w:bottom w:val="single" w:sz="4" w:space="0" w:color="auto"/>
              <w:right w:val="single" w:sz="4" w:space="0" w:color="auto"/>
            </w:tcBorders>
            <w:vAlign w:val="center"/>
          </w:tcPr>
          <w:p w:rsidR="00F44F7B" w:rsidRDefault="00730D49">
            <w:pPr>
              <w:widowControl/>
              <w:jc w:val="center"/>
              <w:rPr>
                <w:kern w:val="0"/>
                <w:sz w:val="21"/>
                <w:szCs w:val="21"/>
              </w:rPr>
            </w:pPr>
            <w:r>
              <w:rPr>
                <w:kern w:val="0"/>
                <w:sz w:val="21"/>
                <w:szCs w:val="21"/>
              </w:rPr>
              <w:t>供电电源</w:t>
            </w:r>
          </w:p>
        </w:tc>
        <w:tc>
          <w:tcPr>
            <w:tcW w:w="2830" w:type="pct"/>
            <w:gridSpan w:val="3"/>
            <w:tcBorders>
              <w:top w:val="single" w:sz="4" w:space="0" w:color="auto"/>
              <w:left w:val="nil"/>
              <w:bottom w:val="single" w:sz="4" w:space="0" w:color="auto"/>
              <w:right w:val="single" w:sz="4" w:space="0" w:color="auto"/>
            </w:tcBorders>
            <w:vAlign w:val="center"/>
          </w:tcPr>
          <w:p w:rsidR="00F44F7B" w:rsidRDefault="00730D49">
            <w:pPr>
              <w:widowControl/>
              <w:jc w:val="center"/>
              <w:rPr>
                <w:kern w:val="0"/>
                <w:sz w:val="21"/>
                <w:szCs w:val="21"/>
              </w:rPr>
            </w:pPr>
            <w:r>
              <w:rPr>
                <w:kern w:val="0"/>
                <w:sz w:val="21"/>
                <w:szCs w:val="21"/>
              </w:rPr>
              <w:t>从旁经过的市政电网接入</w:t>
            </w:r>
          </w:p>
        </w:tc>
      </w:tr>
      <w:tr w:rsidR="00F44F7B">
        <w:trPr>
          <w:trHeight w:val="283"/>
        </w:trPr>
        <w:tc>
          <w:tcPr>
            <w:tcW w:w="901" w:type="pct"/>
            <w:gridSpan w:val="2"/>
            <w:vMerge w:val="restart"/>
            <w:tcBorders>
              <w:top w:val="single" w:sz="4" w:space="0" w:color="auto"/>
              <w:left w:val="single" w:sz="4" w:space="0" w:color="auto"/>
              <w:bottom w:val="single" w:sz="4" w:space="0" w:color="auto"/>
              <w:right w:val="single" w:sz="4" w:space="0" w:color="auto"/>
            </w:tcBorders>
            <w:vAlign w:val="center"/>
          </w:tcPr>
          <w:p w:rsidR="00F44F7B" w:rsidRDefault="00730D49">
            <w:pPr>
              <w:widowControl/>
              <w:jc w:val="center"/>
              <w:rPr>
                <w:kern w:val="0"/>
                <w:sz w:val="21"/>
                <w:szCs w:val="21"/>
              </w:rPr>
            </w:pPr>
            <w:r>
              <w:rPr>
                <w:kern w:val="0"/>
                <w:sz w:val="21"/>
                <w:szCs w:val="21"/>
              </w:rPr>
              <w:t>工程建设区</w:t>
            </w:r>
          </w:p>
        </w:tc>
        <w:tc>
          <w:tcPr>
            <w:tcW w:w="1269" w:type="pct"/>
            <w:tcBorders>
              <w:top w:val="nil"/>
              <w:left w:val="nil"/>
              <w:bottom w:val="single" w:sz="4" w:space="0" w:color="auto"/>
              <w:right w:val="single" w:sz="4" w:space="0" w:color="auto"/>
            </w:tcBorders>
            <w:vAlign w:val="center"/>
          </w:tcPr>
          <w:p w:rsidR="00F44F7B" w:rsidRDefault="00730D49">
            <w:pPr>
              <w:widowControl/>
              <w:jc w:val="center"/>
              <w:rPr>
                <w:kern w:val="0"/>
                <w:sz w:val="21"/>
                <w:szCs w:val="21"/>
              </w:rPr>
            </w:pPr>
            <w:r>
              <w:rPr>
                <w:kern w:val="0"/>
                <w:sz w:val="21"/>
                <w:szCs w:val="21"/>
              </w:rPr>
              <w:t>永久占地</w:t>
            </w:r>
          </w:p>
        </w:tc>
        <w:tc>
          <w:tcPr>
            <w:tcW w:w="1360" w:type="pct"/>
            <w:gridSpan w:val="2"/>
            <w:tcBorders>
              <w:top w:val="nil"/>
              <w:left w:val="nil"/>
              <w:bottom w:val="single" w:sz="4" w:space="0" w:color="auto"/>
              <w:right w:val="single" w:sz="4" w:space="0" w:color="auto"/>
            </w:tcBorders>
            <w:vAlign w:val="center"/>
          </w:tcPr>
          <w:p w:rsidR="00F44F7B" w:rsidRDefault="00730D49">
            <w:pPr>
              <w:widowControl/>
              <w:jc w:val="center"/>
              <w:rPr>
                <w:color w:val="0000FF"/>
                <w:kern w:val="0"/>
                <w:sz w:val="21"/>
                <w:szCs w:val="21"/>
              </w:rPr>
            </w:pPr>
            <w:r>
              <w:rPr>
                <w:rFonts w:hint="eastAsia"/>
                <w:color w:val="0000FF"/>
                <w:kern w:val="0"/>
                <w:sz w:val="21"/>
                <w:szCs w:val="21"/>
              </w:rPr>
              <w:t>h</w:t>
            </w:r>
            <w:r>
              <w:rPr>
                <w:color w:val="0000FF"/>
                <w:kern w:val="0"/>
                <w:sz w:val="21"/>
                <w:szCs w:val="21"/>
              </w:rPr>
              <w:t>m</w:t>
            </w:r>
            <w:r>
              <w:rPr>
                <w:color w:val="0000FF"/>
                <w:kern w:val="0"/>
                <w:sz w:val="21"/>
                <w:szCs w:val="21"/>
                <w:vertAlign w:val="superscript"/>
              </w:rPr>
              <w:t>2</w:t>
            </w:r>
          </w:p>
        </w:tc>
        <w:tc>
          <w:tcPr>
            <w:tcW w:w="1470" w:type="pct"/>
            <w:tcBorders>
              <w:top w:val="nil"/>
              <w:left w:val="nil"/>
              <w:bottom w:val="single" w:sz="4" w:space="0" w:color="auto"/>
              <w:right w:val="single" w:sz="4" w:space="0" w:color="auto"/>
            </w:tcBorders>
            <w:vAlign w:val="center"/>
          </w:tcPr>
          <w:p w:rsidR="00F44F7B" w:rsidRDefault="00730D49">
            <w:pPr>
              <w:widowControl/>
              <w:jc w:val="center"/>
              <w:rPr>
                <w:color w:val="0000FF"/>
                <w:kern w:val="0"/>
                <w:sz w:val="21"/>
                <w:szCs w:val="21"/>
              </w:rPr>
            </w:pPr>
            <w:r>
              <w:rPr>
                <w:rFonts w:hint="eastAsia"/>
                <w:color w:val="0000FF"/>
                <w:kern w:val="0"/>
                <w:sz w:val="21"/>
                <w:szCs w:val="21"/>
              </w:rPr>
              <w:t>0.43</w:t>
            </w:r>
          </w:p>
        </w:tc>
      </w:tr>
      <w:tr w:rsidR="00F44F7B">
        <w:trPr>
          <w:trHeight w:val="253"/>
        </w:trPr>
        <w:tc>
          <w:tcPr>
            <w:tcW w:w="901" w:type="pct"/>
            <w:gridSpan w:val="2"/>
            <w:vMerge/>
            <w:tcBorders>
              <w:top w:val="single" w:sz="4" w:space="0" w:color="auto"/>
              <w:left w:val="single" w:sz="4" w:space="0" w:color="auto"/>
              <w:bottom w:val="single" w:sz="4" w:space="0" w:color="auto"/>
              <w:right w:val="single" w:sz="4" w:space="0" w:color="auto"/>
            </w:tcBorders>
            <w:vAlign w:val="center"/>
          </w:tcPr>
          <w:p w:rsidR="00F44F7B" w:rsidRDefault="00F44F7B">
            <w:pPr>
              <w:widowControl/>
              <w:jc w:val="center"/>
              <w:rPr>
                <w:kern w:val="0"/>
                <w:sz w:val="21"/>
                <w:szCs w:val="21"/>
              </w:rPr>
            </w:pPr>
          </w:p>
        </w:tc>
        <w:tc>
          <w:tcPr>
            <w:tcW w:w="1269" w:type="pct"/>
            <w:tcBorders>
              <w:top w:val="nil"/>
              <w:left w:val="nil"/>
              <w:bottom w:val="single" w:sz="4" w:space="0" w:color="auto"/>
              <w:right w:val="single" w:sz="4" w:space="0" w:color="auto"/>
            </w:tcBorders>
            <w:vAlign w:val="center"/>
          </w:tcPr>
          <w:p w:rsidR="00F44F7B" w:rsidRDefault="00730D49">
            <w:pPr>
              <w:widowControl/>
              <w:jc w:val="center"/>
              <w:rPr>
                <w:kern w:val="0"/>
                <w:sz w:val="21"/>
                <w:szCs w:val="21"/>
              </w:rPr>
            </w:pPr>
            <w:r>
              <w:rPr>
                <w:kern w:val="0"/>
                <w:sz w:val="21"/>
                <w:szCs w:val="21"/>
              </w:rPr>
              <w:t>临时占地</w:t>
            </w:r>
          </w:p>
        </w:tc>
        <w:tc>
          <w:tcPr>
            <w:tcW w:w="1360" w:type="pct"/>
            <w:gridSpan w:val="2"/>
            <w:tcBorders>
              <w:top w:val="nil"/>
              <w:left w:val="nil"/>
              <w:bottom w:val="single" w:sz="4" w:space="0" w:color="auto"/>
              <w:right w:val="single" w:sz="4" w:space="0" w:color="auto"/>
            </w:tcBorders>
            <w:vAlign w:val="center"/>
          </w:tcPr>
          <w:p w:rsidR="00F44F7B" w:rsidRDefault="00730D49">
            <w:pPr>
              <w:widowControl/>
              <w:jc w:val="center"/>
              <w:rPr>
                <w:color w:val="0000FF"/>
                <w:kern w:val="0"/>
                <w:sz w:val="21"/>
                <w:szCs w:val="21"/>
              </w:rPr>
            </w:pPr>
            <w:r>
              <w:rPr>
                <w:rFonts w:hint="eastAsia"/>
                <w:color w:val="0000FF"/>
                <w:kern w:val="0"/>
                <w:sz w:val="21"/>
                <w:szCs w:val="21"/>
              </w:rPr>
              <w:t>h</w:t>
            </w:r>
            <w:r>
              <w:rPr>
                <w:color w:val="0000FF"/>
                <w:kern w:val="0"/>
                <w:sz w:val="21"/>
                <w:szCs w:val="21"/>
              </w:rPr>
              <w:t>m</w:t>
            </w:r>
            <w:r>
              <w:rPr>
                <w:color w:val="0000FF"/>
                <w:kern w:val="0"/>
                <w:sz w:val="21"/>
                <w:szCs w:val="21"/>
                <w:vertAlign w:val="superscript"/>
              </w:rPr>
              <w:t>2</w:t>
            </w:r>
          </w:p>
        </w:tc>
        <w:tc>
          <w:tcPr>
            <w:tcW w:w="1470" w:type="pct"/>
            <w:tcBorders>
              <w:top w:val="nil"/>
              <w:left w:val="nil"/>
              <w:bottom w:val="single" w:sz="4" w:space="0" w:color="auto"/>
              <w:right w:val="single" w:sz="4" w:space="0" w:color="auto"/>
            </w:tcBorders>
            <w:vAlign w:val="center"/>
          </w:tcPr>
          <w:p w:rsidR="00F44F7B" w:rsidRDefault="00730D49">
            <w:pPr>
              <w:widowControl/>
              <w:jc w:val="center"/>
              <w:rPr>
                <w:rFonts w:eastAsia="宋体"/>
                <w:color w:val="0000FF"/>
                <w:kern w:val="0"/>
                <w:sz w:val="21"/>
                <w:szCs w:val="21"/>
              </w:rPr>
            </w:pPr>
            <w:r>
              <w:rPr>
                <w:rFonts w:eastAsia="宋体" w:hint="eastAsia"/>
                <w:color w:val="0000FF"/>
                <w:kern w:val="0"/>
                <w:sz w:val="21"/>
                <w:szCs w:val="21"/>
              </w:rPr>
              <w:t>（</w:t>
            </w:r>
            <w:r>
              <w:rPr>
                <w:rFonts w:eastAsia="宋体" w:hint="eastAsia"/>
                <w:color w:val="0000FF"/>
                <w:kern w:val="0"/>
                <w:sz w:val="21"/>
                <w:szCs w:val="21"/>
              </w:rPr>
              <w:t>0.02</w:t>
            </w:r>
            <w:r>
              <w:rPr>
                <w:rFonts w:eastAsia="宋体" w:hint="eastAsia"/>
                <w:color w:val="0000FF"/>
                <w:kern w:val="0"/>
                <w:sz w:val="21"/>
                <w:szCs w:val="21"/>
              </w:rPr>
              <w:t>）未重复计列</w:t>
            </w:r>
          </w:p>
        </w:tc>
      </w:tr>
      <w:tr w:rsidR="00F44F7B">
        <w:trPr>
          <w:trHeight w:val="283"/>
        </w:trPr>
        <w:tc>
          <w:tcPr>
            <w:tcW w:w="901" w:type="pct"/>
            <w:gridSpan w:val="2"/>
            <w:vMerge w:val="restart"/>
            <w:tcBorders>
              <w:top w:val="single" w:sz="4" w:space="0" w:color="auto"/>
              <w:left w:val="single" w:sz="4" w:space="0" w:color="auto"/>
              <w:bottom w:val="single" w:sz="4" w:space="0" w:color="auto"/>
              <w:right w:val="single" w:sz="4" w:space="0" w:color="auto"/>
            </w:tcBorders>
            <w:vAlign w:val="center"/>
          </w:tcPr>
          <w:p w:rsidR="00F44F7B" w:rsidRDefault="00730D49">
            <w:pPr>
              <w:widowControl/>
              <w:jc w:val="center"/>
              <w:rPr>
                <w:kern w:val="0"/>
                <w:sz w:val="21"/>
                <w:szCs w:val="21"/>
              </w:rPr>
            </w:pPr>
            <w:r>
              <w:rPr>
                <w:kern w:val="0"/>
                <w:sz w:val="21"/>
                <w:szCs w:val="21"/>
              </w:rPr>
              <w:t>土石方开挖</w:t>
            </w:r>
          </w:p>
        </w:tc>
        <w:tc>
          <w:tcPr>
            <w:tcW w:w="1269" w:type="pct"/>
            <w:tcBorders>
              <w:top w:val="nil"/>
              <w:left w:val="nil"/>
              <w:bottom w:val="single" w:sz="4" w:space="0" w:color="auto"/>
              <w:right w:val="single" w:sz="4" w:space="0" w:color="auto"/>
            </w:tcBorders>
            <w:vAlign w:val="center"/>
          </w:tcPr>
          <w:p w:rsidR="00F44F7B" w:rsidRDefault="00730D49">
            <w:pPr>
              <w:widowControl/>
              <w:jc w:val="center"/>
              <w:rPr>
                <w:kern w:val="0"/>
                <w:sz w:val="21"/>
                <w:szCs w:val="21"/>
              </w:rPr>
            </w:pPr>
            <w:r>
              <w:rPr>
                <w:kern w:val="0"/>
                <w:sz w:val="21"/>
                <w:szCs w:val="21"/>
              </w:rPr>
              <w:t>土石方开挖量</w:t>
            </w:r>
          </w:p>
        </w:tc>
        <w:tc>
          <w:tcPr>
            <w:tcW w:w="1360" w:type="pct"/>
            <w:gridSpan w:val="2"/>
            <w:tcBorders>
              <w:top w:val="nil"/>
              <w:left w:val="nil"/>
              <w:bottom w:val="single" w:sz="4" w:space="0" w:color="auto"/>
              <w:right w:val="single" w:sz="4" w:space="0" w:color="auto"/>
            </w:tcBorders>
            <w:vAlign w:val="center"/>
          </w:tcPr>
          <w:p w:rsidR="00F44F7B" w:rsidRDefault="00730D49">
            <w:pPr>
              <w:widowControl/>
              <w:jc w:val="center"/>
              <w:rPr>
                <w:kern w:val="0"/>
                <w:sz w:val="21"/>
                <w:szCs w:val="21"/>
              </w:rPr>
            </w:pPr>
            <w:r>
              <w:rPr>
                <w:kern w:val="0"/>
                <w:sz w:val="21"/>
                <w:szCs w:val="21"/>
              </w:rPr>
              <w:t>m</w:t>
            </w:r>
            <w:r>
              <w:rPr>
                <w:kern w:val="0"/>
                <w:sz w:val="21"/>
                <w:szCs w:val="21"/>
                <w:vertAlign w:val="superscript"/>
              </w:rPr>
              <w:t>3</w:t>
            </w:r>
          </w:p>
        </w:tc>
        <w:tc>
          <w:tcPr>
            <w:tcW w:w="1470" w:type="pct"/>
            <w:tcBorders>
              <w:top w:val="nil"/>
              <w:left w:val="nil"/>
              <w:bottom w:val="single" w:sz="4" w:space="0" w:color="auto"/>
              <w:right w:val="single" w:sz="4" w:space="0" w:color="auto"/>
            </w:tcBorders>
            <w:vAlign w:val="center"/>
          </w:tcPr>
          <w:p w:rsidR="00F44F7B" w:rsidRDefault="00730D49">
            <w:pPr>
              <w:widowControl/>
              <w:jc w:val="center"/>
              <w:rPr>
                <w:rFonts w:eastAsia="宋体"/>
                <w:kern w:val="0"/>
                <w:sz w:val="21"/>
                <w:szCs w:val="21"/>
              </w:rPr>
            </w:pPr>
            <w:r>
              <w:rPr>
                <w:kern w:val="0"/>
                <w:sz w:val="21"/>
                <w:szCs w:val="21"/>
              </w:rPr>
              <w:t>3271.8</w:t>
            </w:r>
          </w:p>
        </w:tc>
      </w:tr>
      <w:tr w:rsidR="00F44F7B">
        <w:trPr>
          <w:trHeight w:val="283"/>
        </w:trPr>
        <w:tc>
          <w:tcPr>
            <w:tcW w:w="901" w:type="pct"/>
            <w:gridSpan w:val="2"/>
            <w:vMerge/>
            <w:tcBorders>
              <w:top w:val="single" w:sz="4" w:space="0" w:color="auto"/>
              <w:left w:val="single" w:sz="4" w:space="0" w:color="auto"/>
              <w:bottom w:val="single" w:sz="4" w:space="0" w:color="auto"/>
              <w:right w:val="single" w:sz="4" w:space="0" w:color="auto"/>
            </w:tcBorders>
            <w:vAlign w:val="center"/>
          </w:tcPr>
          <w:p w:rsidR="00F44F7B" w:rsidRDefault="00F44F7B">
            <w:pPr>
              <w:widowControl/>
              <w:jc w:val="center"/>
              <w:rPr>
                <w:kern w:val="0"/>
                <w:sz w:val="21"/>
                <w:szCs w:val="21"/>
              </w:rPr>
            </w:pPr>
          </w:p>
        </w:tc>
        <w:tc>
          <w:tcPr>
            <w:tcW w:w="1269" w:type="pct"/>
            <w:tcBorders>
              <w:top w:val="nil"/>
              <w:left w:val="nil"/>
              <w:bottom w:val="single" w:sz="4" w:space="0" w:color="auto"/>
              <w:right w:val="single" w:sz="4" w:space="0" w:color="auto"/>
            </w:tcBorders>
            <w:vAlign w:val="center"/>
          </w:tcPr>
          <w:p w:rsidR="00F44F7B" w:rsidRDefault="00730D49">
            <w:pPr>
              <w:widowControl/>
              <w:jc w:val="center"/>
              <w:rPr>
                <w:kern w:val="0"/>
                <w:sz w:val="21"/>
                <w:szCs w:val="21"/>
              </w:rPr>
            </w:pPr>
            <w:r>
              <w:rPr>
                <w:kern w:val="0"/>
                <w:sz w:val="21"/>
                <w:szCs w:val="21"/>
              </w:rPr>
              <w:t>土石方回填量</w:t>
            </w:r>
          </w:p>
        </w:tc>
        <w:tc>
          <w:tcPr>
            <w:tcW w:w="1360" w:type="pct"/>
            <w:gridSpan w:val="2"/>
            <w:tcBorders>
              <w:top w:val="nil"/>
              <w:left w:val="nil"/>
              <w:bottom w:val="single" w:sz="4" w:space="0" w:color="auto"/>
              <w:right w:val="single" w:sz="4" w:space="0" w:color="auto"/>
            </w:tcBorders>
            <w:vAlign w:val="center"/>
          </w:tcPr>
          <w:p w:rsidR="00F44F7B" w:rsidRDefault="00730D49">
            <w:pPr>
              <w:widowControl/>
              <w:jc w:val="center"/>
              <w:rPr>
                <w:kern w:val="0"/>
                <w:sz w:val="21"/>
                <w:szCs w:val="21"/>
              </w:rPr>
            </w:pPr>
            <w:r>
              <w:rPr>
                <w:kern w:val="0"/>
                <w:sz w:val="21"/>
                <w:szCs w:val="21"/>
              </w:rPr>
              <w:t>m</w:t>
            </w:r>
            <w:r>
              <w:rPr>
                <w:kern w:val="0"/>
                <w:sz w:val="21"/>
                <w:szCs w:val="21"/>
                <w:vertAlign w:val="superscript"/>
              </w:rPr>
              <w:t>3</w:t>
            </w:r>
          </w:p>
        </w:tc>
        <w:tc>
          <w:tcPr>
            <w:tcW w:w="1470" w:type="pct"/>
            <w:tcBorders>
              <w:top w:val="nil"/>
              <w:left w:val="nil"/>
              <w:bottom w:val="single" w:sz="4" w:space="0" w:color="auto"/>
              <w:right w:val="single" w:sz="4" w:space="0" w:color="auto"/>
            </w:tcBorders>
            <w:vAlign w:val="center"/>
          </w:tcPr>
          <w:p w:rsidR="00F44F7B" w:rsidRDefault="00730D49">
            <w:pPr>
              <w:widowControl/>
              <w:jc w:val="center"/>
              <w:rPr>
                <w:rFonts w:eastAsia="宋体"/>
                <w:kern w:val="0"/>
                <w:sz w:val="21"/>
                <w:szCs w:val="21"/>
              </w:rPr>
            </w:pPr>
            <w:r>
              <w:rPr>
                <w:kern w:val="0"/>
                <w:sz w:val="21"/>
                <w:szCs w:val="21"/>
              </w:rPr>
              <w:t>3271.8</w:t>
            </w:r>
          </w:p>
        </w:tc>
      </w:tr>
      <w:tr w:rsidR="00F44F7B">
        <w:trPr>
          <w:trHeight w:val="283"/>
        </w:trPr>
        <w:tc>
          <w:tcPr>
            <w:tcW w:w="901" w:type="pct"/>
            <w:gridSpan w:val="2"/>
            <w:vMerge/>
            <w:tcBorders>
              <w:top w:val="single" w:sz="4" w:space="0" w:color="auto"/>
              <w:left w:val="single" w:sz="4" w:space="0" w:color="auto"/>
              <w:bottom w:val="single" w:sz="8" w:space="0" w:color="auto"/>
              <w:right w:val="single" w:sz="4" w:space="0" w:color="auto"/>
            </w:tcBorders>
            <w:vAlign w:val="center"/>
          </w:tcPr>
          <w:p w:rsidR="00F44F7B" w:rsidRDefault="00F44F7B">
            <w:pPr>
              <w:widowControl/>
              <w:jc w:val="center"/>
              <w:rPr>
                <w:kern w:val="0"/>
                <w:sz w:val="21"/>
                <w:szCs w:val="21"/>
              </w:rPr>
            </w:pPr>
          </w:p>
        </w:tc>
        <w:tc>
          <w:tcPr>
            <w:tcW w:w="1269" w:type="pct"/>
            <w:tcBorders>
              <w:top w:val="nil"/>
              <w:left w:val="nil"/>
              <w:bottom w:val="single" w:sz="8" w:space="0" w:color="auto"/>
              <w:right w:val="single" w:sz="4" w:space="0" w:color="auto"/>
            </w:tcBorders>
            <w:vAlign w:val="center"/>
          </w:tcPr>
          <w:p w:rsidR="00F44F7B" w:rsidRDefault="00730D49">
            <w:pPr>
              <w:widowControl/>
              <w:jc w:val="center"/>
              <w:rPr>
                <w:kern w:val="0"/>
                <w:sz w:val="21"/>
                <w:szCs w:val="21"/>
              </w:rPr>
            </w:pPr>
            <w:r>
              <w:rPr>
                <w:kern w:val="0"/>
                <w:sz w:val="21"/>
                <w:szCs w:val="21"/>
              </w:rPr>
              <w:t>外借方</w:t>
            </w:r>
          </w:p>
        </w:tc>
        <w:tc>
          <w:tcPr>
            <w:tcW w:w="1360" w:type="pct"/>
            <w:gridSpan w:val="2"/>
            <w:tcBorders>
              <w:top w:val="nil"/>
              <w:left w:val="nil"/>
              <w:bottom w:val="single" w:sz="8" w:space="0" w:color="auto"/>
              <w:right w:val="single" w:sz="4" w:space="0" w:color="auto"/>
            </w:tcBorders>
            <w:vAlign w:val="center"/>
          </w:tcPr>
          <w:p w:rsidR="00F44F7B" w:rsidRDefault="00730D49">
            <w:pPr>
              <w:widowControl/>
              <w:jc w:val="center"/>
              <w:rPr>
                <w:kern w:val="0"/>
                <w:sz w:val="21"/>
                <w:szCs w:val="21"/>
              </w:rPr>
            </w:pPr>
            <w:r>
              <w:rPr>
                <w:kern w:val="0"/>
                <w:sz w:val="21"/>
                <w:szCs w:val="21"/>
              </w:rPr>
              <w:t>m</w:t>
            </w:r>
            <w:r>
              <w:rPr>
                <w:kern w:val="0"/>
                <w:sz w:val="21"/>
                <w:szCs w:val="21"/>
                <w:vertAlign w:val="superscript"/>
              </w:rPr>
              <w:t>3</w:t>
            </w:r>
          </w:p>
        </w:tc>
        <w:tc>
          <w:tcPr>
            <w:tcW w:w="1470" w:type="pct"/>
            <w:tcBorders>
              <w:top w:val="nil"/>
              <w:left w:val="nil"/>
              <w:bottom w:val="single" w:sz="4" w:space="0" w:color="auto"/>
              <w:right w:val="single" w:sz="4" w:space="0" w:color="auto"/>
            </w:tcBorders>
            <w:vAlign w:val="center"/>
          </w:tcPr>
          <w:p w:rsidR="00F44F7B" w:rsidRDefault="00730D49">
            <w:pPr>
              <w:widowControl/>
              <w:jc w:val="center"/>
              <w:rPr>
                <w:kern w:val="0"/>
                <w:sz w:val="21"/>
                <w:szCs w:val="21"/>
              </w:rPr>
            </w:pPr>
            <w:r>
              <w:rPr>
                <w:kern w:val="0"/>
                <w:sz w:val="21"/>
                <w:szCs w:val="21"/>
              </w:rPr>
              <w:t>0</w:t>
            </w:r>
          </w:p>
        </w:tc>
      </w:tr>
      <w:tr w:rsidR="00F44F7B">
        <w:trPr>
          <w:trHeight w:val="283"/>
        </w:trPr>
        <w:tc>
          <w:tcPr>
            <w:tcW w:w="901" w:type="pct"/>
            <w:gridSpan w:val="2"/>
            <w:tcBorders>
              <w:top w:val="single" w:sz="8" w:space="0" w:color="auto"/>
              <w:left w:val="single" w:sz="4" w:space="0" w:color="auto"/>
              <w:bottom w:val="single" w:sz="4" w:space="0" w:color="auto"/>
              <w:right w:val="single" w:sz="4" w:space="0" w:color="auto"/>
            </w:tcBorders>
            <w:vAlign w:val="center"/>
          </w:tcPr>
          <w:p w:rsidR="00F44F7B" w:rsidRDefault="00730D49">
            <w:pPr>
              <w:widowControl/>
              <w:jc w:val="center"/>
              <w:rPr>
                <w:kern w:val="0"/>
                <w:sz w:val="21"/>
                <w:szCs w:val="21"/>
              </w:rPr>
            </w:pPr>
            <w:r>
              <w:rPr>
                <w:kern w:val="0"/>
                <w:sz w:val="21"/>
                <w:szCs w:val="21"/>
              </w:rPr>
              <w:t>建设工期</w:t>
            </w:r>
          </w:p>
        </w:tc>
        <w:tc>
          <w:tcPr>
            <w:tcW w:w="4099" w:type="pct"/>
            <w:gridSpan w:val="4"/>
            <w:tcBorders>
              <w:top w:val="single" w:sz="4" w:space="0" w:color="auto"/>
              <w:left w:val="nil"/>
              <w:bottom w:val="single" w:sz="4" w:space="0" w:color="auto"/>
              <w:right w:val="single" w:sz="4" w:space="0" w:color="auto"/>
            </w:tcBorders>
            <w:vAlign w:val="center"/>
          </w:tcPr>
          <w:p w:rsidR="00F44F7B" w:rsidRDefault="00730D49">
            <w:pPr>
              <w:widowControl/>
              <w:ind w:firstLineChars="400" w:firstLine="840"/>
              <w:rPr>
                <w:kern w:val="0"/>
                <w:sz w:val="21"/>
                <w:szCs w:val="21"/>
              </w:rPr>
            </w:pPr>
            <w:r>
              <w:rPr>
                <w:kern w:val="0"/>
                <w:sz w:val="21"/>
                <w:szCs w:val="21"/>
              </w:rPr>
              <w:t>建设总工期</w:t>
            </w:r>
            <w:r>
              <w:rPr>
                <w:rFonts w:hint="eastAsia"/>
                <w:kern w:val="0"/>
                <w:sz w:val="21"/>
                <w:szCs w:val="21"/>
              </w:rPr>
              <w:t>9</w:t>
            </w:r>
            <w:r>
              <w:rPr>
                <w:kern w:val="0"/>
                <w:sz w:val="21"/>
                <w:szCs w:val="21"/>
              </w:rPr>
              <w:t>个月，即</w:t>
            </w:r>
            <w:r>
              <w:rPr>
                <w:kern w:val="0"/>
                <w:sz w:val="21"/>
                <w:szCs w:val="21"/>
              </w:rPr>
              <w:t>2017</w:t>
            </w:r>
            <w:r>
              <w:rPr>
                <w:kern w:val="0"/>
                <w:sz w:val="21"/>
                <w:szCs w:val="21"/>
              </w:rPr>
              <w:t>年</w:t>
            </w:r>
            <w:r>
              <w:rPr>
                <w:rFonts w:hint="eastAsia"/>
                <w:kern w:val="0"/>
                <w:sz w:val="21"/>
                <w:szCs w:val="21"/>
              </w:rPr>
              <w:t>4</w:t>
            </w:r>
            <w:r>
              <w:rPr>
                <w:kern w:val="0"/>
                <w:sz w:val="21"/>
                <w:szCs w:val="21"/>
              </w:rPr>
              <w:t>月～</w:t>
            </w:r>
            <w:r>
              <w:rPr>
                <w:kern w:val="0"/>
                <w:sz w:val="21"/>
                <w:szCs w:val="21"/>
              </w:rPr>
              <w:t>2017</w:t>
            </w:r>
            <w:r>
              <w:rPr>
                <w:kern w:val="0"/>
                <w:sz w:val="21"/>
                <w:szCs w:val="21"/>
              </w:rPr>
              <w:t>年</w:t>
            </w:r>
            <w:r>
              <w:rPr>
                <w:rFonts w:hint="eastAsia"/>
                <w:kern w:val="0"/>
                <w:sz w:val="21"/>
                <w:szCs w:val="21"/>
              </w:rPr>
              <w:t>1</w:t>
            </w:r>
            <w:r>
              <w:rPr>
                <w:kern w:val="0"/>
                <w:sz w:val="21"/>
                <w:szCs w:val="21"/>
              </w:rPr>
              <w:t>2</w:t>
            </w:r>
            <w:r>
              <w:rPr>
                <w:kern w:val="0"/>
                <w:sz w:val="21"/>
                <w:szCs w:val="21"/>
              </w:rPr>
              <w:t>月</w:t>
            </w:r>
          </w:p>
        </w:tc>
      </w:tr>
      <w:tr w:rsidR="00F44F7B">
        <w:trPr>
          <w:trHeight w:val="283"/>
        </w:trPr>
        <w:tc>
          <w:tcPr>
            <w:tcW w:w="901" w:type="pct"/>
            <w:gridSpan w:val="2"/>
            <w:vMerge w:val="restart"/>
            <w:tcBorders>
              <w:top w:val="single" w:sz="4" w:space="0" w:color="auto"/>
              <w:left w:val="single" w:sz="4" w:space="0" w:color="auto"/>
              <w:bottom w:val="single" w:sz="4" w:space="0" w:color="auto"/>
              <w:right w:val="single" w:sz="4" w:space="0" w:color="auto"/>
            </w:tcBorders>
            <w:vAlign w:val="center"/>
          </w:tcPr>
          <w:p w:rsidR="00F44F7B" w:rsidRDefault="00730D49">
            <w:pPr>
              <w:widowControl/>
              <w:jc w:val="center"/>
              <w:rPr>
                <w:kern w:val="0"/>
                <w:sz w:val="21"/>
                <w:szCs w:val="21"/>
              </w:rPr>
            </w:pPr>
            <w:r>
              <w:rPr>
                <w:kern w:val="0"/>
                <w:sz w:val="21"/>
                <w:szCs w:val="21"/>
              </w:rPr>
              <w:t>工程投资</w:t>
            </w:r>
          </w:p>
        </w:tc>
        <w:tc>
          <w:tcPr>
            <w:tcW w:w="2068" w:type="pct"/>
            <w:gridSpan w:val="2"/>
            <w:tcBorders>
              <w:top w:val="nil"/>
              <w:left w:val="nil"/>
              <w:bottom w:val="single" w:sz="4" w:space="0" w:color="auto"/>
              <w:right w:val="single" w:sz="4" w:space="0" w:color="auto"/>
            </w:tcBorders>
            <w:vAlign w:val="center"/>
          </w:tcPr>
          <w:p w:rsidR="00F44F7B" w:rsidRDefault="00730D49">
            <w:pPr>
              <w:widowControl/>
              <w:jc w:val="center"/>
              <w:rPr>
                <w:kern w:val="0"/>
                <w:sz w:val="21"/>
                <w:szCs w:val="21"/>
              </w:rPr>
            </w:pPr>
            <w:r>
              <w:rPr>
                <w:kern w:val="0"/>
                <w:sz w:val="21"/>
                <w:szCs w:val="21"/>
              </w:rPr>
              <w:t>工程总投资</w:t>
            </w:r>
          </w:p>
        </w:tc>
        <w:tc>
          <w:tcPr>
            <w:tcW w:w="2031" w:type="pct"/>
            <w:gridSpan w:val="2"/>
            <w:tcBorders>
              <w:top w:val="single" w:sz="4" w:space="0" w:color="auto"/>
              <w:left w:val="nil"/>
              <w:bottom w:val="single" w:sz="4" w:space="0" w:color="auto"/>
              <w:right w:val="single" w:sz="4" w:space="0" w:color="auto"/>
            </w:tcBorders>
            <w:vAlign w:val="center"/>
          </w:tcPr>
          <w:p w:rsidR="00F44F7B" w:rsidRDefault="00730D49">
            <w:pPr>
              <w:widowControl/>
              <w:jc w:val="center"/>
              <w:rPr>
                <w:kern w:val="0"/>
                <w:sz w:val="21"/>
                <w:szCs w:val="21"/>
              </w:rPr>
            </w:pPr>
            <w:r>
              <w:rPr>
                <w:kern w:val="0"/>
                <w:sz w:val="21"/>
                <w:szCs w:val="21"/>
              </w:rPr>
              <w:t>540</w:t>
            </w:r>
            <w:r>
              <w:rPr>
                <w:kern w:val="0"/>
                <w:sz w:val="21"/>
                <w:szCs w:val="21"/>
              </w:rPr>
              <w:t>万元</w:t>
            </w:r>
          </w:p>
        </w:tc>
      </w:tr>
      <w:tr w:rsidR="00F44F7B">
        <w:trPr>
          <w:trHeight w:val="283"/>
        </w:trPr>
        <w:tc>
          <w:tcPr>
            <w:tcW w:w="901" w:type="pct"/>
            <w:gridSpan w:val="2"/>
            <w:vMerge/>
            <w:tcBorders>
              <w:top w:val="single" w:sz="4" w:space="0" w:color="auto"/>
              <w:left w:val="single" w:sz="4" w:space="0" w:color="auto"/>
              <w:bottom w:val="single" w:sz="4" w:space="0" w:color="auto"/>
              <w:right w:val="single" w:sz="4" w:space="0" w:color="auto"/>
            </w:tcBorders>
            <w:vAlign w:val="center"/>
          </w:tcPr>
          <w:p w:rsidR="00F44F7B" w:rsidRDefault="00F44F7B">
            <w:pPr>
              <w:widowControl/>
              <w:jc w:val="center"/>
              <w:rPr>
                <w:kern w:val="0"/>
                <w:sz w:val="21"/>
                <w:szCs w:val="21"/>
              </w:rPr>
            </w:pPr>
          </w:p>
        </w:tc>
        <w:tc>
          <w:tcPr>
            <w:tcW w:w="2068" w:type="pct"/>
            <w:gridSpan w:val="2"/>
            <w:tcBorders>
              <w:top w:val="nil"/>
              <w:left w:val="nil"/>
              <w:bottom w:val="single" w:sz="4" w:space="0" w:color="auto"/>
              <w:right w:val="single" w:sz="4" w:space="0" w:color="auto"/>
            </w:tcBorders>
            <w:vAlign w:val="center"/>
          </w:tcPr>
          <w:p w:rsidR="00F44F7B" w:rsidRDefault="00730D49">
            <w:pPr>
              <w:widowControl/>
              <w:jc w:val="center"/>
              <w:rPr>
                <w:kern w:val="0"/>
                <w:sz w:val="21"/>
                <w:szCs w:val="21"/>
              </w:rPr>
            </w:pPr>
            <w:r>
              <w:rPr>
                <w:kern w:val="0"/>
                <w:sz w:val="21"/>
                <w:szCs w:val="21"/>
              </w:rPr>
              <w:t>土建投资</w:t>
            </w:r>
          </w:p>
        </w:tc>
        <w:tc>
          <w:tcPr>
            <w:tcW w:w="2031" w:type="pct"/>
            <w:gridSpan w:val="2"/>
            <w:tcBorders>
              <w:top w:val="single" w:sz="4" w:space="0" w:color="auto"/>
              <w:left w:val="nil"/>
              <w:bottom w:val="single" w:sz="4" w:space="0" w:color="auto"/>
              <w:right w:val="single" w:sz="4" w:space="0" w:color="auto"/>
            </w:tcBorders>
            <w:vAlign w:val="center"/>
          </w:tcPr>
          <w:p w:rsidR="00F44F7B" w:rsidRDefault="00730D49">
            <w:pPr>
              <w:widowControl/>
              <w:jc w:val="center"/>
              <w:rPr>
                <w:kern w:val="0"/>
                <w:sz w:val="21"/>
                <w:szCs w:val="21"/>
              </w:rPr>
            </w:pPr>
            <w:r>
              <w:rPr>
                <w:rFonts w:hint="eastAsia"/>
                <w:kern w:val="0"/>
                <w:sz w:val="21"/>
                <w:szCs w:val="21"/>
              </w:rPr>
              <w:t>2</w:t>
            </w:r>
            <w:r>
              <w:rPr>
                <w:kern w:val="0"/>
                <w:sz w:val="21"/>
                <w:szCs w:val="21"/>
              </w:rPr>
              <w:t>44</w:t>
            </w:r>
            <w:r>
              <w:rPr>
                <w:kern w:val="0"/>
                <w:sz w:val="21"/>
                <w:szCs w:val="21"/>
              </w:rPr>
              <w:t>万元</w:t>
            </w:r>
          </w:p>
        </w:tc>
      </w:tr>
    </w:tbl>
    <w:p w:rsidR="00F44F7B" w:rsidRDefault="00730D49">
      <w:pPr>
        <w:pStyle w:val="2"/>
      </w:pPr>
      <w:bookmarkStart w:id="7" w:name="_Toc20199"/>
      <w:r>
        <w:rPr>
          <w:rFonts w:hint="eastAsia"/>
        </w:rPr>
        <w:t>1</w:t>
      </w:r>
      <w:r>
        <w:t>.</w:t>
      </w:r>
      <w:r>
        <w:rPr>
          <w:rFonts w:hint="eastAsia"/>
        </w:rPr>
        <w:t>2</w:t>
      </w:r>
      <w:r>
        <w:rPr>
          <w:rFonts w:hint="eastAsia"/>
        </w:rPr>
        <w:t>工程建设现状</w:t>
      </w:r>
      <w:bookmarkEnd w:id="7"/>
    </w:p>
    <w:p w:rsidR="00F44F7B" w:rsidRDefault="00730D49">
      <w:pPr>
        <w:pStyle w:val="af1"/>
        <w:ind w:firstLine="480"/>
        <w:jc w:val="left"/>
      </w:pPr>
      <w:r>
        <w:rPr>
          <w:rFonts w:hint="eastAsia"/>
          <w:szCs w:val="16"/>
        </w:rPr>
        <w:t>仪陇县公安局城西、度门、光华派出所业务用房</w:t>
      </w:r>
      <w:r>
        <w:rPr>
          <w:szCs w:val="16"/>
        </w:rPr>
        <w:t>建设项目位于</w:t>
      </w:r>
      <w:r>
        <w:rPr>
          <w:rFonts w:hint="eastAsia"/>
          <w:szCs w:val="16"/>
        </w:rPr>
        <w:t>仪陇县</w:t>
      </w:r>
      <w:r>
        <w:rPr>
          <w:szCs w:val="16"/>
        </w:rPr>
        <w:t>，项目建设区地理位置坐标为东经：</w:t>
      </w:r>
      <w:r>
        <w:rPr>
          <w:szCs w:val="16"/>
        </w:rPr>
        <w:t>106°6′18″~106°7′05″</w:t>
      </w:r>
      <w:r>
        <w:rPr>
          <w:szCs w:val="16"/>
        </w:rPr>
        <w:t>，北纬</w:t>
      </w:r>
      <w:r>
        <w:rPr>
          <w:szCs w:val="16"/>
        </w:rPr>
        <w:t>31°48′1″~31°48′4″</w:t>
      </w:r>
      <w:r>
        <w:rPr>
          <w:szCs w:val="16"/>
        </w:rPr>
        <w:t>。本</w:t>
      </w:r>
      <w:r>
        <w:rPr>
          <w:rFonts w:hint="eastAsia"/>
          <w:szCs w:val="16"/>
        </w:rPr>
        <w:t>项目区在仪陇县地处川东北盆地，建设区四周多为未开发地段，</w:t>
      </w:r>
      <w:r>
        <w:rPr>
          <w:szCs w:val="16"/>
        </w:rPr>
        <w:t>场地地形</w:t>
      </w:r>
      <w:r>
        <w:rPr>
          <w:rFonts w:hint="eastAsia"/>
          <w:szCs w:val="16"/>
        </w:rPr>
        <w:t>平稳</w:t>
      </w:r>
      <w:r>
        <w:rPr>
          <w:szCs w:val="16"/>
        </w:rPr>
        <w:t>，详见下图。</w:t>
      </w:r>
      <w:r>
        <w:rPr>
          <w:noProof/>
        </w:rPr>
        <w:lastRenderedPageBreak/>
        <w:drawing>
          <wp:inline distT="0" distB="0" distL="0" distR="0">
            <wp:extent cx="5759450" cy="366522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1"/>
                    <a:stretch>
                      <a:fillRect/>
                    </a:stretch>
                  </pic:blipFill>
                  <pic:spPr>
                    <a:xfrm>
                      <a:off x="0" y="0"/>
                      <a:ext cx="5759450" cy="3665220"/>
                    </a:xfrm>
                    <a:prstGeom prst="rect">
                      <a:avLst/>
                    </a:prstGeom>
                  </pic:spPr>
                </pic:pic>
              </a:graphicData>
            </a:graphic>
          </wp:inline>
        </w:drawing>
      </w:r>
    </w:p>
    <w:p w:rsidR="00F44F7B" w:rsidRDefault="00730D49">
      <w:pPr>
        <w:pStyle w:val="af1"/>
        <w:spacing w:line="240" w:lineRule="auto"/>
        <w:ind w:firstLine="422"/>
        <w:jc w:val="center"/>
      </w:pPr>
      <w:r>
        <w:rPr>
          <w:b/>
          <w:bCs/>
          <w:sz w:val="21"/>
          <w:szCs w:val="16"/>
        </w:rPr>
        <w:t>图</w:t>
      </w:r>
      <w:r>
        <w:rPr>
          <w:b/>
          <w:bCs/>
          <w:sz w:val="21"/>
          <w:szCs w:val="16"/>
        </w:rPr>
        <w:t xml:space="preserve">1.1 </w:t>
      </w:r>
      <w:r>
        <w:rPr>
          <w:b/>
          <w:bCs/>
          <w:sz w:val="21"/>
          <w:szCs w:val="16"/>
        </w:rPr>
        <w:t>项目建设区卫星图</w:t>
      </w:r>
    </w:p>
    <w:p w:rsidR="00F44F7B" w:rsidRDefault="00730D49">
      <w:pPr>
        <w:pStyle w:val="12"/>
        <w:ind w:firstLine="480"/>
        <w:rPr>
          <w:rFonts w:eastAsia="仿宋_GB2312"/>
          <w:szCs w:val="16"/>
        </w:rPr>
      </w:pPr>
      <w:r>
        <w:rPr>
          <w:rFonts w:eastAsia="仿宋_GB2312"/>
          <w:szCs w:val="16"/>
        </w:rPr>
        <w:t>本项目已于</w:t>
      </w:r>
      <w:r>
        <w:rPr>
          <w:rFonts w:eastAsia="仿宋_GB2312"/>
          <w:szCs w:val="16"/>
        </w:rPr>
        <w:t>2017</w:t>
      </w:r>
      <w:r>
        <w:rPr>
          <w:rFonts w:eastAsia="仿宋_GB2312"/>
          <w:szCs w:val="16"/>
        </w:rPr>
        <w:t>年</w:t>
      </w:r>
      <w:r>
        <w:rPr>
          <w:rFonts w:eastAsia="仿宋_GB2312"/>
          <w:szCs w:val="16"/>
        </w:rPr>
        <w:t>4</w:t>
      </w:r>
      <w:r>
        <w:rPr>
          <w:rFonts w:eastAsia="仿宋_GB2312"/>
          <w:szCs w:val="16"/>
        </w:rPr>
        <w:t>月开工建设，</w:t>
      </w:r>
      <w:r>
        <w:rPr>
          <w:rFonts w:eastAsia="仿宋_GB2312"/>
          <w:szCs w:val="16"/>
        </w:rPr>
        <w:t>2017</w:t>
      </w:r>
      <w:r>
        <w:rPr>
          <w:rFonts w:eastAsia="仿宋_GB2312"/>
          <w:szCs w:val="16"/>
        </w:rPr>
        <w:t>年</w:t>
      </w:r>
      <w:r>
        <w:rPr>
          <w:rFonts w:eastAsia="仿宋_GB2312"/>
          <w:szCs w:val="16"/>
        </w:rPr>
        <w:t>12</w:t>
      </w:r>
      <w:r>
        <w:rPr>
          <w:rFonts w:eastAsia="仿宋_GB2312"/>
          <w:szCs w:val="16"/>
        </w:rPr>
        <w:t>月竣工，建设总工期为</w:t>
      </w:r>
      <w:r>
        <w:rPr>
          <w:rFonts w:eastAsia="仿宋_GB2312"/>
          <w:szCs w:val="16"/>
        </w:rPr>
        <w:t>9</w:t>
      </w:r>
      <w:r>
        <w:rPr>
          <w:rFonts w:eastAsia="仿宋_GB2312"/>
          <w:szCs w:val="16"/>
        </w:rPr>
        <w:t>个月，本《方案》属于补报方案，根据现场调查，该项目的排水措施、绿化措施等防治措施已实施完成，其中排水措施布设合理，植物措施的植物生长情况较好，成活率较高，现有的水土保持措施能够满足水土保持的要求，场地内无明显水土流失现象。因此本《方案》未新增水土保持措施</w:t>
      </w:r>
      <w:r>
        <w:rPr>
          <w:rFonts w:eastAsia="仿宋_GB2312" w:hint="eastAsia"/>
          <w:szCs w:val="16"/>
        </w:rPr>
        <w:t>。现状图如下：</w:t>
      </w:r>
    </w:p>
    <w:p w:rsidR="00F44F7B" w:rsidRDefault="00730D49">
      <w:pPr>
        <w:pStyle w:val="12"/>
        <w:ind w:firstLineChars="0" w:firstLine="0"/>
        <w:rPr>
          <w:rFonts w:eastAsia="仿宋_GB2312"/>
          <w:szCs w:val="16"/>
        </w:rPr>
      </w:pPr>
      <w:r>
        <w:rPr>
          <w:noProof/>
        </w:rPr>
        <w:lastRenderedPageBreak/>
        <w:drawing>
          <wp:inline distT="0" distB="0" distL="0" distR="0">
            <wp:extent cx="2665095" cy="3818890"/>
            <wp:effectExtent l="0" t="0" r="190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2"/>
                    <a:stretch>
                      <a:fillRect/>
                    </a:stretch>
                  </pic:blipFill>
                  <pic:spPr>
                    <a:xfrm flipH="1">
                      <a:off x="0" y="0"/>
                      <a:ext cx="2681412" cy="3841815"/>
                    </a:xfrm>
                    <a:prstGeom prst="rect">
                      <a:avLst/>
                    </a:prstGeom>
                  </pic:spPr>
                </pic:pic>
              </a:graphicData>
            </a:graphic>
          </wp:inline>
        </w:drawing>
      </w:r>
      <w:r>
        <w:t xml:space="preserve"> </w:t>
      </w:r>
      <w:r>
        <w:rPr>
          <w:noProof/>
        </w:rPr>
        <w:drawing>
          <wp:inline distT="0" distB="0" distL="0" distR="0">
            <wp:extent cx="2694940" cy="382968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3"/>
                    <a:stretch>
                      <a:fillRect/>
                    </a:stretch>
                  </pic:blipFill>
                  <pic:spPr>
                    <a:xfrm>
                      <a:off x="0" y="0"/>
                      <a:ext cx="2708958" cy="3849019"/>
                    </a:xfrm>
                    <a:prstGeom prst="rect">
                      <a:avLst/>
                    </a:prstGeom>
                  </pic:spPr>
                </pic:pic>
              </a:graphicData>
            </a:graphic>
          </wp:inline>
        </w:drawing>
      </w:r>
    </w:p>
    <w:p w:rsidR="00F44F7B" w:rsidRDefault="00730D49">
      <w:pPr>
        <w:widowControl/>
        <w:adjustRightInd/>
        <w:snapToGrid/>
        <w:rPr>
          <w:color w:val="0000FF"/>
          <w:szCs w:val="16"/>
        </w:rPr>
      </w:pPr>
      <w:r>
        <w:rPr>
          <w:noProof/>
        </w:rPr>
        <w:drawing>
          <wp:inline distT="0" distB="0" distL="0" distR="0">
            <wp:extent cx="2790825" cy="372237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4"/>
                    <a:stretch>
                      <a:fillRect/>
                    </a:stretch>
                  </pic:blipFill>
                  <pic:spPr>
                    <a:xfrm>
                      <a:off x="0" y="0"/>
                      <a:ext cx="2806740" cy="3743763"/>
                    </a:xfrm>
                    <a:prstGeom prst="rect">
                      <a:avLst/>
                    </a:prstGeom>
                  </pic:spPr>
                </pic:pic>
              </a:graphicData>
            </a:graphic>
          </wp:inline>
        </w:drawing>
      </w:r>
      <w:r>
        <w:rPr>
          <w:color w:val="0000FF"/>
        </w:rPr>
        <w:t xml:space="preserve"> </w:t>
      </w:r>
      <w:r>
        <w:rPr>
          <w:noProof/>
          <w:color w:val="0000FF"/>
        </w:rPr>
        <w:drawing>
          <wp:inline distT="0" distB="0" distL="0" distR="0">
            <wp:extent cx="2593340" cy="3694430"/>
            <wp:effectExtent l="0" t="0" r="0" b="127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5"/>
                    <a:stretch>
                      <a:fillRect/>
                    </a:stretch>
                  </pic:blipFill>
                  <pic:spPr>
                    <a:xfrm>
                      <a:off x="0" y="0"/>
                      <a:ext cx="2616207" cy="3726778"/>
                    </a:xfrm>
                    <a:prstGeom prst="rect">
                      <a:avLst/>
                    </a:prstGeom>
                  </pic:spPr>
                </pic:pic>
              </a:graphicData>
            </a:graphic>
          </wp:inline>
        </w:drawing>
      </w:r>
    </w:p>
    <w:p w:rsidR="00F44F7B" w:rsidRDefault="00730D49">
      <w:pPr>
        <w:pStyle w:val="af1"/>
        <w:spacing w:line="240" w:lineRule="auto"/>
        <w:ind w:firstLine="422"/>
        <w:jc w:val="center"/>
        <w:rPr>
          <w:color w:val="0000FF"/>
        </w:rPr>
      </w:pPr>
      <w:r>
        <w:rPr>
          <w:b/>
          <w:bCs/>
          <w:color w:val="0000FF"/>
          <w:sz w:val="21"/>
          <w:szCs w:val="16"/>
        </w:rPr>
        <w:t>图</w:t>
      </w:r>
      <w:r>
        <w:rPr>
          <w:b/>
          <w:bCs/>
          <w:color w:val="0000FF"/>
          <w:sz w:val="21"/>
          <w:szCs w:val="16"/>
        </w:rPr>
        <w:t>1.</w:t>
      </w:r>
      <w:r>
        <w:rPr>
          <w:rFonts w:hint="eastAsia"/>
          <w:b/>
          <w:bCs/>
          <w:color w:val="0000FF"/>
          <w:sz w:val="21"/>
          <w:szCs w:val="16"/>
        </w:rPr>
        <w:t>2</w:t>
      </w:r>
      <w:r>
        <w:rPr>
          <w:b/>
          <w:bCs/>
          <w:color w:val="0000FF"/>
          <w:sz w:val="21"/>
          <w:szCs w:val="16"/>
        </w:rPr>
        <w:t xml:space="preserve"> </w:t>
      </w:r>
      <w:r>
        <w:rPr>
          <w:b/>
          <w:bCs/>
          <w:color w:val="0000FF"/>
          <w:sz w:val="21"/>
          <w:szCs w:val="16"/>
        </w:rPr>
        <w:t>项目建设区</w:t>
      </w:r>
      <w:r>
        <w:rPr>
          <w:rFonts w:hint="eastAsia"/>
          <w:b/>
          <w:bCs/>
          <w:color w:val="0000FF"/>
          <w:sz w:val="21"/>
          <w:szCs w:val="16"/>
        </w:rPr>
        <w:t>现状</w:t>
      </w:r>
    </w:p>
    <w:p w:rsidR="00F44F7B" w:rsidRDefault="00730D49">
      <w:pPr>
        <w:pStyle w:val="2"/>
        <w:spacing w:beforeLines="50" w:before="156"/>
      </w:pPr>
      <w:bookmarkStart w:id="8" w:name="_Toc3495"/>
      <w:bookmarkStart w:id="9" w:name="_Toc61605679"/>
      <w:bookmarkStart w:id="10" w:name="_Toc61602699"/>
      <w:bookmarkStart w:id="11" w:name="_Toc8240"/>
      <w:r>
        <w:t>1.</w:t>
      </w:r>
      <w:r>
        <w:rPr>
          <w:rFonts w:hint="eastAsia"/>
        </w:rPr>
        <w:t>3</w:t>
      </w:r>
      <w:r>
        <w:t>项目组成</w:t>
      </w:r>
      <w:bookmarkEnd w:id="8"/>
      <w:r>
        <w:rPr>
          <w:rFonts w:hint="eastAsia"/>
        </w:rPr>
        <w:t>及</w:t>
      </w:r>
      <w:bookmarkEnd w:id="9"/>
      <w:bookmarkEnd w:id="10"/>
      <w:r>
        <w:rPr>
          <w:rFonts w:hint="eastAsia"/>
        </w:rPr>
        <w:t>布置</w:t>
      </w:r>
      <w:bookmarkEnd w:id="11"/>
    </w:p>
    <w:p w:rsidR="00F44F7B" w:rsidRDefault="00730D49">
      <w:pPr>
        <w:pStyle w:val="BZDL1"/>
        <w:spacing w:beforeLines="0" w:before="0" w:afterLines="0" w:after="0" w:line="360" w:lineRule="auto"/>
        <w:ind w:firstLine="480"/>
        <w:rPr>
          <w:rFonts w:ascii="Times New Roman"/>
          <w:color w:val="0000FF"/>
          <w:sz w:val="24"/>
          <w:szCs w:val="16"/>
        </w:rPr>
      </w:pPr>
      <w:r>
        <w:rPr>
          <w:rFonts w:ascii="Times New Roman"/>
          <w:color w:val="0000FF"/>
          <w:sz w:val="24"/>
          <w:szCs w:val="16"/>
        </w:rPr>
        <w:t>根据主体设计资料，本项目由</w:t>
      </w:r>
      <w:r>
        <w:rPr>
          <w:rFonts w:ascii="Times New Roman" w:hint="eastAsia"/>
          <w:color w:val="0000FF"/>
          <w:sz w:val="24"/>
          <w:szCs w:val="16"/>
        </w:rPr>
        <w:t>建构筑物区</w:t>
      </w:r>
      <w:r>
        <w:rPr>
          <w:rFonts w:ascii="Times New Roman" w:hint="eastAsia"/>
          <w:color w:val="0000FF"/>
          <w:sz w:val="24"/>
          <w:szCs w:val="16"/>
        </w:rPr>
        <w:t>和配套设施区，共</w:t>
      </w:r>
      <w:r>
        <w:rPr>
          <w:rFonts w:ascii="Times New Roman"/>
          <w:color w:val="0000FF"/>
          <w:sz w:val="24"/>
          <w:szCs w:val="16"/>
        </w:rPr>
        <w:t>2</w:t>
      </w:r>
      <w:r>
        <w:rPr>
          <w:rFonts w:ascii="Times New Roman"/>
          <w:color w:val="0000FF"/>
          <w:sz w:val="24"/>
          <w:szCs w:val="16"/>
        </w:rPr>
        <w:t>部分组成。</w:t>
      </w:r>
      <w:r>
        <w:rPr>
          <w:rFonts w:ascii="Times New Roman" w:hint="eastAsia"/>
          <w:color w:val="0000FF"/>
          <w:sz w:val="24"/>
          <w:szCs w:val="16"/>
        </w:rPr>
        <w:t>其中</w:t>
      </w:r>
      <w:r>
        <w:rPr>
          <w:rFonts w:ascii="Times New Roman" w:hint="eastAsia"/>
          <w:color w:val="0000FF"/>
          <w:sz w:val="24"/>
          <w:szCs w:val="16"/>
        </w:rPr>
        <w:t>新建业务用房</w:t>
      </w:r>
      <w:r>
        <w:rPr>
          <w:rFonts w:ascii="Times New Roman" w:hint="eastAsia"/>
          <w:color w:val="0000FF"/>
          <w:sz w:val="24"/>
          <w:szCs w:val="16"/>
        </w:rPr>
        <w:t>1</w:t>
      </w:r>
      <w:r>
        <w:rPr>
          <w:rFonts w:ascii="Times New Roman"/>
          <w:color w:val="0000FF"/>
          <w:sz w:val="24"/>
          <w:szCs w:val="16"/>
        </w:rPr>
        <w:t>550 m</w:t>
      </w:r>
      <w:r>
        <w:rPr>
          <w:rFonts w:ascii="Times New Roman"/>
          <w:color w:val="0000FF"/>
          <w:sz w:val="24"/>
          <w:szCs w:val="16"/>
          <w:vertAlign w:val="superscript"/>
        </w:rPr>
        <w:t>2</w:t>
      </w:r>
      <w:r>
        <w:rPr>
          <w:rFonts w:ascii="Times New Roman" w:hint="eastAsia"/>
          <w:color w:val="0000FF"/>
          <w:sz w:val="24"/>
          <w:szCs w:val="16"/>
        </w:rPr>
        <w:t>，其中度门派出所</w:t>
      </w:r>
      <w:r>
        <w:rPr>
          <w:rFonts w:ascii="Times New Roman" w:hint="eastAsia"/>
          <w:color w:val="0000FF"/>
          <w:sz w:val="24"/>
          <w:szCs w:val="16"/>
        </w:rPr>
        <w:t>5</w:t>
      </w:r>
      <w:r>
        <w:rPr>
          <w:rFonts w:ascii="Times New Roman"/>
          <w:color w:val="0000FF"/>
          <w:sz w:val="24"/>
          <w:szCs w:val="16"/>
        </w:rPr>
        <w:t>55 m</w:t>
      </w:r>
      <w:r>
        <w:rPr>
          <w:rFonts w:ascii="Times New Roman"/>
          <w:color w:val="0000FF"/>
          <w:sz w:val="24"/>
          <w:szCs w:val="16"/>
          <w:vertAlign w:val="superscript"/>
        </w:rPr>
        <w:t>2</w:t>
      </w:r>
      <w:r>
        <w:rPr>
          <w:rFonts w:ascii="Times New Roman" w:hint="eastAsia"/>
          <w:color w:val="0000FF"/>
          <w:sz w:val="24"/>
          <w:szCs w:val="16"/>
        </w:rPr>
        <w:t>，光华派出所</w:t>
      </w:r>
      <w:r>
        <w:rPr>
          <w:rFonts w:ascii="Times New Roman" w:hint="eastAsia"/>
          <w:color w:val="0000FF"/>
          <w:sz w:val="24"/>
          <w:szCs w:val="16"/>
        </w:rPr>
        <w:t>2</w:t>
      </w:r>
      <w:r>
        <w:rPr>
          <w:rFonts w:ascii="Times New Roman"/>
          <w:color w:val="0000FF"/>
          <w:sz w:val="24"/>
          <w:szCs w:val="16"/>
        </w:rPr>
        <w:t>60 m</w:t>
      </w:r>
      <w:r>
        <w:rPr>
          <w:rFonts w:ascii="Times New Roman"/>
          <w:color w:val="0000FF"/>
          <w:sz w:val="24"/>
          <w:szCs w:val="16"/>
          <w:vertAlign w:val="superscript"/>
        </w:rPr>
        <w:t>2</w:t>
      </w:r>
      <w:r>
        <w:rPr>
          <w:rFonts w:ascii="Times New Roman" w:hint="eastAsia"/>
          <w:color w:val="0000FF"/>
          <w:sz w:val="24"/>
          <w:szCs w:val="16"/>
        </w:rPr>
        <w:t>，城西派出所</w:t>
      </w:r>
      <w:r>
        <w:rPr>
          <w:rFonts w:ascii="Times New Roman" w:hint="eastAsia"/>
          <w:color w:val="0000FF"/>
          <w:sz w:val="24"/>
          <w:szCs w:val="16"/>
        </w:rPr>
        <w:t>7</w:t>
      </w:r>
      <w:r>
        <w:rPr>
          <w:rFonts w:ascii="Times New Roman"/>
          <w:color w:val="0000FF"/>
          <w:sz w:val="24"/>
          <w:szCs w:val="16"/>
        </w:rPr>
        <w:t xml:space="preserve">35 </w:t>
      </w:r>
      <w:r>
        <w:rPr>
          <w:rFonts w:ascii="Times New Roman"/>
          <w:color w:val="0000FF"/>
          <w:sz w:val="24"/>
          <w:szCs w:val="16"/>
        </w:rPr>
        <w:lastRenderedPageBreak/>
        <w:t>m</w:t>
      </w:r>
      <w:r>
        <w:rPr>
          <w:rFonts w:ascii="Times New Roman"/>
          <w:color w:val="0000FF"/>
          <w:sz w:val="24"/>
          <w:szCs w:val="16"/>
          <w:vertAlign w:val="superscript"/>
        </w:rPr>
        <w:t>2</w:t>
      </w:r>
      <w:r>
        <w:rPr>
          <w:rFonts w:ascii="Times New Roman" w:hint="eastAsia"/>
          <w:color w:val="0000FF"/>
          <w:sz w:val="24"/>
          <w:szCs w:val="16"/>
        </w:rPr>
        <w:t>。</w:t>
      </w:r>
    </w:p>
    <w:p w:rsidR="00F44F7B" w:rsidRDefault="00730D49">
      <w:pPr>
        <w:pStyle w:val="2"/>
        <w:spacing w:beforeLines="50" w:before="156"/>
      </w:pPr>
      <w:bookmarkStart w:id="12" w:name="_Toc88"/>
      <w:r>
        <w:t>1.</w:t>
      </w:r>
      <w:r>
        <w:rPr>
          <w:rFonts w:hint="eastAsia"/>
        </w:rPr>
        <w:t>4</w:t>
      </w:r>
      <w:r>
        <w:t>项目</w:t>
      </w:r>
      <w:r>
        <w:rPr>
          <w:rFonts w:hint="eastAsia"/>
        </w:rPr>
        <w:t>前期工作进展</w:t>
      </w:r>
      <w:bookmarkEnd w:id="12"/>
    </w:p>
    <w:p w:rsidR="00F44F7B" w:rsidRDefault="00730D49">
      <w:pPr>
        <w:pStyle w:val="BZDL1"/>
        <w:spacing w:beforeLines="0" w:before="0" w:afterLines="0" w:after="0" w:line="360" w:lineRule="auto"/>
        <w:ind w:firstLine="480"/>
        <w:rPr>
          <w:rFonts w:ascii="Times New Roman"/>
          <w:sz w:val="24"/>
          <w:szCs w:val="16"/>
        </w:rPr>
      </w:pPr>
      <w:r>
        <w:rPr>
          <w:rFonts w:ascii="Times New Roman"/>
          <w:sz w:val="24"/>
          <w:szCs w:val="16"/>
        </w:rPr>
        <w:t>本项目已于</w:t>
      </w:r>
      <w:r>
        <w:rPr>
          <w:rFonts w:ascii="Times New Roman"/>
          <w:sz w:val="24"/>
          <w:szCs w:val="16"/>
        </w:rPr>
        <w:t>2017</w:t>
      </w:r>
      <w:r>
        <w:rPr>
          <w:rFonts w:ascii="Times New Roman"/>
          <w:sz w:val="24"/>
          <w:szCs w:val="16"/>
        </w:rPr>
        <w:t>年</w:t>
      </w:r>
      <w:r>
        <w:rPr>
          <w:rFonts w:ascii="Times New Roman"/>
          <w:sz w:val="24"/>
          <w:szCs w:val="16"/>
        </w:rPr>
        <w:t>4</w:t>
      </w:r>
      <w:r>
        <w:rPr>
          <w:rFonts w:ascii="Times New Roman"/>
          <w:sz w:val="24"/>
          <w:szCs w:val="16"/>
        </w:rPr>
        <w:t>月开工建设，</w:t>
      </w:r>
      <w:r>
        <w:rPr>
          <w:rFonts w:ascii="Times New Roman"/>
          <w:sz w:val="24"/>
          <w:szCs w:val="16"/>
        </w:rPr>
        <w:t>2017</w:t>
      </w:r>
      <w:r>
        <w:rPr>
          <w:rFonts w:ascii="Times New Roman"/>
          <w:sz w:val="24"/>
          <w:szCs w:val="16"/>
        </w:rPr>
        <w:t>年</w:t>
      </w:r>
      <w:r>
        <w:rPr>
          <w:rFonts w:ascii="Times New Roman"/>
          <w:sz w:val="24"/>
          <w:szCs w:val="16"/>
        </w:rPr>
        <w:t>12</w:t>
      </w:r>
      <w:r>
        <w:rPr>
          <w:rFonts w:ascii="Times New Roman"/>
          <w:sz w:val="24"/>
          <w:szCs w:val="16"/>
        </w:rPr>
        <w:t>月竣工，建设总工期为</w:t>
      </w:r>
      <w:r>
        <w:rPr>
          <w:rFonts w:ascii="Times New Roman"/>
          <w:sz w:val="24"/>
          <w:szCs w:val="16"/>
        </w:rPr>
        <w:t>9</w:t>
      </w:r>
      <w:r>
        <w:rPr>
          <w:rFonts w:ascii="Times New Roman"/>
          <w:sz w:val="24"/>
          <w:szCs w:val="16"/>
        </w:rPr>
        <w:t>个月，本《方案》属于补报方案，根据现场调查，该项目的排水措施、绿化措施等防治措施已实施完成，其中排水措施布设合理，植物措施的植物生长情况较好，成活率较高，现有的水土保持措施能够满足水土保持的要求，场地内无明显水土流失现象。因此本《方案》未新增水土保持措施</w:t>
      </w:r>
      <w:r>
        <w:rPr>
          <w:rFonts w:ascii="Times New Roman" w:hint="eastAsia"/>
          <w:sz w:val="24"/>
          <w:szCs w:val="16"/>
        </w:rPr>
        <w:t>。</w:t>
      </w:r>
    </w:p>
    <w:p w:rsidR="00F44F7B" w:rsidRDefault="00730D49">
      <w:pPr>
        <w:pStyle w:val="2"/>
        <w:spacing w:beforeLines="50" w:before="156"/>
      </w:pPr>
      <w:bookmarkStart w:id="13" w:name="_Toc27595"/>
      <w:r>
        <w:t>1.</w:t>
      </w:r>
      <w:r>
        <w:rPr>
          <w:rFonts w:hint="eastAsia"/>
        </w:rPr>
        <w:t>5</w:t>
      </w:r>
      <w:r>
        <w:rPr>
          <w:rFonts w:hint="eastAsia"/>
        </w:rPr>
        <w:t>移民拆迁安置工作</w:t>
      </w:r>
      <w:bookmarkEnd w:id="13"/>
    </w:p>
    <w:p w:rsidR="00F44F7B" w:rsidRDefault="00730D49">
      <w:pPr>
        <w:pStyle w:val="BZDL1"/>
        <w:spacing w:beforeLines="0" w:before="0" w:afterLines="0" w:after="0" w:line="360" w:lineRule="auto"/>
        <w:ind w:firstLine="480"/>
        <w:rPr>
          <w:rFonts w:ascii="Times New Roman"/>
          <w:sz w:val="24"/>
          <w:szCs w:val="16"/>
        </w:rPr>
      </w:pPr>
      <w:r>
        <w:rPr>
          <w:rFonts w:ascii="Times New Roman"/>
          <w:sz w:val="24"/>
          <w:szCs w:val="16"/>
        </w:rPr>
        <w:t>本项目工程建设占地为耕地</w:t>
      </w:r>
      <w:r>
        <w:rPr>
          <w:rFonts w:ascii="Times New Roman" w:hint="eastAsia"/>
          <w:sz w:val="24"/>
          <w:szCs w:val="16"/>
        </w:rPr>
        <w:t>、其他土地及交通运输用地</w:t>
      </w:r>
      <w:r>
        <w:rPr>
          <w:rFonts w:ascii="Times New Roman"/>
          <w:sz w:val="24"/>
          <w:szCs w:val="16"/>
        </w:rPr>
        <w:t>，且建设区范围内无建筑物，不涉及拆迁安置问题。</w:t>
      </w:r>
    </w:p>
    <w:p w:rsidR="00F44F7B" w:rsidRDefault="00730D49">
      <w:pPr>
        <w:pStyle w:val="2"/>
        <w:spacing w:beforeLines="50" w:before="156"/>
      </w:pPr>
      <w:bookmarkStart w:id="14" w:name="_Toc11742"/>
      <w:r>
        <w:t>1.</w:t>
      </w:r>
      <w:r>
        <w:rPr>
          <w:rFonts w:hint="eastAsia"/>
        </w:rPr>
        <w:t>6</w:t>
      </w:r>
      <w:r>
        <w:rPr>
          <w:rFonts w:hint="eastAsia"/>
        </w:rPr>
        <w:t>施工组织</w:t>
      </w:r>
      <w:bookmarkEnd w:id="14"/>
    </w:p>
    <w:p w:rsidR="00F44F7B" w:rsidRDefault="00730D49">
      <w:pPr>
        <w:pStyle w:val="3"/>
        <w:rPr>
          <w:szCs w:val="22"/>
        </w:rPr>
      </w:pPr>
      <w:r>
        <w:rPr>
          <w:rFonts w:hint="eastAsia"/>
          <w:szCs w:val="22"/>
        </w:rPr>
        <w:t xml:space="preserve">1.6.1.1 </w:t>
      </w:r>
      <w:r>
        <w:rPr>
          <w:rFonts w:hint="eastAsia"/>
          <w:szCs w:val="22"/>
        </w:rPr>
        <w:t>施工便道</w:t>
      </w:r>
    </w:p>
    <w:p w:rsidR="00F44F7B" w:rsidRDefault="00730D49">
      <w:pPr>
        <w:pStyle w:val="BZDL1"/>
        <w:spacing w:beforeLines="0" w:before="0" w:afterLines="0" w:after="0" w:line="360" w:lineRule="auto"/>
        <w:ind w:firstLine="480"/>
        <w:rPr>
          <w:rFonts w:ascii="Times New Roman"/>
          <w:sz w:val="24"/>
          <w:szCs w:val="16"/>
        </w:rPr>
      </w:pPr>
      <w:r>
        <w:rPr>
          <w:rFonts w:ascii="Times New Roman" w:hint="eastAsia"/>
          <w:sz w:val="24"/>
          <w:szCs w:val="16"/>
        </w:rPr>
        <w:t>本项目位于仪陇县，有乡镇公路相通，交通便利，场内平整，满足施工交通，项目建设不新增施工便道。</w:t>
      </w:r>
    </w:p>
    <w:p w:rsidR="00F44F7B" w:rsidRDefault="00730D49">
      <w:pPr>
        <w:pStyle w:val="3"/>
        <w:rPr>
          <w:szCs w:val="22"/>
        </w:rPr>
      </w:pPr>
      <w:r>
        <w:rPr>
          <w:rFonts w:hint="eastAsia"/>
          <w:szCs w:val="22"/>
        </w:rPr>
        <w:t xml:space="preserve">1.6.1.2 </w:t>
      </w:r>
      <w:r>
        <w:rPr>
          <w:rFonts w:hint="eastAsia"/>
          <w:szCs w:val="22"/>
        </w:rPr>
        <w:t>施工材料</w:t>
      </w:r>
    </w:p>
    <w:p w:rsidR="00F44F7B" w:rsidRDefault="00730D49">
      <w:pPr>
        <w:pStyle w:val="BZDL1"/>
        <w:spacing w:beforeLines="0" w:before="0" w:afterLines="0" w:after="0" w:line="360" w:lineRule="auto"/>
        <w:ind w:firstLine="480"/>
        <w:rPr>
          <w:rFonts w:ascii="Times New Roman"/>
          <w:sz w:val="24"/>
          <w:szCs w:val="16"/>
        </w:rPr>
      </w:pPr>
      <w:r>
        <w:rPr>
          <w:rFonts w:ascii="Times New Roman" w:hint="eastAsia"/>
          <w:sz w:val="24"/>
          <w:szCs w:val="16"/>
        </w:rPr>
        <w:t>本项目建设所需砂石料、碎石、水泥、钢筋等均在仪陇县合法料场购买，施工原材料供应过程中产生的水土流失防治责任由供应商负责。本方案以下章节不再提及。</w:t>
      </w:r>
    </w:p>
    <w:p w:rsidR="00F44F7B" w:rsidRDefault="00730D49">
      <w:pPr>
        <w:pStyle w:val="3"/>
        <w:rPr>
          <w:szCs w:val="22"/>
        </w:rPr>
      </w:pPr>
      <w:r>
        <w:rPr>
          <w:rFonts w:hint="eastAsia"/>
          <w:szCs w:val="22"/>
        </w:rPr>
        <w:t xml:space="preserve">1.5.1.3 </w:t>
      </w:r>
      <w:r>
        <w:rPr>
          <w:rFonts w:hint="eastAsia"/>
          <w:szCs w:val="22"/>
        </w:rPr>
        <w:t>施工临时设施规划</w:t>
      </w:r>
    </w:p>
    <w:p w:rsidR="00F44F7B" w:rsidRDefault="00730D49">
      <w:pPr>
        <w:pStyle w:val="BZDL1"/>
        <w:spacing w:beforeLines="0" w:before="0" w:afterLines="0" w:after="0" w:line="360" w:lineRule="auto"/>
        <w:ind w:firstLine="480"/>
        <w:rPr>
          <w:rFonts w:ascii="Times New Roman"/>
          <w:sz w:val="24"/>
          <w:szCs w:val="16"/>
        </w:rPr>
      </w:pPr>
      <w:r>
        <w:rPr>
          <w:rFonts w:ascii="Times New Roman" w:hint="eastAsia"/>
          <w:sz w:val="24"/>
          <w:szCs w:val="16"/>
        </w:rPr>
        <w:t>1</w:t>
      </w:r>
      <w:r>
        <w:rPr>
          <w:rFonts w:ascii="Times New Roman" w:hint="eastAsia"/>
          <w:sz w:val="24"/>
          <w:szCs w:val="16"/>
        </w:rPr>
        <w:t>、施工生产、生活营地</w:t>
      </w:r>
    </w:p>
    <w:p w:rsidR="00F44F7B" w:rsidRDefault="00730D49">
      <w:pPr>
        <w:pStyle w:val="BZDL1"/>
        <w:spacing w:beforeLines="0" w:before="0" w:afterLines="0" w:after="0" w:line="360" w:lineRule="auto"/>
        <w:ind w:firstLine="480"/>
        <w:rPr>
          <w:rFonts w:ascii="Times New Roman"/>
          <w:sz w:val="24"/>
          <w:szCs w:val="16"/>
        </w:rPr>
      </w:pPr>
      <w:r>
        <w:rPr>
          <w:rFonts w:ascii="Times New Roman" w:hint="eastAsia"/>
          <w:sz w:val="24"/>
          <w:szCs w:val="16"/>
        </w:rPr>
        <w:t>本项目施工强度小，土建工程较少，不设置生活营地。本项目施工场地位置在场地中部，施工场地占地面积</w:t>
      </w:r>
      <w:r>
        <w:rPr>
          <w:rFonts w:ascii="Times New Roman" w:hint="eastAsia"/>
          <w:sz w:val="24"/>
          <w:szCs w:val="16"/>
        </w:rPr>
        <w:t>0.01hm</w:t>
      </w:r>
      <w:r>
        <w:rPr>
          <w:rFonts w:ascii="Times New Roman" w:hint="eastAsia"/>
          <w:sz w:val="24"/>
          <w:szCs w:val="16"/>
          <w:vertAlign w:val="superscript"/>
        </w:rPr>
        <w:t>2</w:t>
      </w:r>
      <w:r>
        <w:rPr>
          <w:rFonts w:ascii="Times New Roman" w:hint="eastAsia"/>
          <w:sz w:val="24"/>
          <w:szCs w:val="16"/>
        </w:rPr>
        <w:t>，位于项目永久占地范围内，不新增临时占地。</w:t>
      </w:r>
    </w:p>
    <w:p w:rsidR="00F44F7B" w:rsidRDefault="00730D49">
      <w:pPr>
        <w:pStyle w:val="BZDL1"/>
        <w:spacing w:beforeLines="0" w:before="0" w:afterLines="0" w:after="0" w:line="360" w:lineRule="auto"/>
        <w:ind w:firstLine="480"/>
        <w:rPr>
          <w:rFonts w:ascii="Times New Roman"/>
          <w:sz w:val="24"/>
          <w:szCs w:val="16"/>
        </w:rPr>
      </w:pPr>
      <w:r>
        <w:rPr>
          <w:rFonts w:ascii="Times New Roman" w:hint="eastAsia"/>
          <w:sz w:val="24"/>
          <w:szCs w:val="16"/>
        </w:rPr>
        <w:t>2</w:t>
      </w:r>
      <w:r>
        <w:rPr>
          <w:rFonts w:ascii="Times New Roman" w:hint="eastAsia"/>
          <w:sz w:val="24"/>
          <w:szCs w:val="16"/>
        </w:rPr>
        <w:t>、临时堆土场</w:t>
      </w:r>
    </w:p>
    <w:p w:rsidR="00F44F7B" w:rsidRDefault="00730D49">
      <w:pPr>
        <w:pStyle w:val="BZDL1"/>
        <w:spacing w:beforeLines="0" w:before="0" w:afterLines="0" w:after="0" w:line="360" w:lineRule="auto"/>
        <w:ind w:firstLine="480"/>
        <w:rPr>
          <w:rFonts w:ascii="Times New Roman"/>
          <w:sz w:val="24"/>
          <w:szCs w:val="16"/>
        </w:rPr>
      </w:pPr>
      <w:r>
        <w:rPr>
          <w:rFonts w:ascii="Times New Roman" w:hint="eastAsia"/>
          <w:sz w:val="24"/>
          <w:szCs w:val="16"/>
        </w:rPr>
        <w:t>施工过程中土石方挖填</w:t>
      </w:r>
      <w:r>
        <w:rPr>
          <w:rFonts w:ascii="Times New Roman" w:hint="eastAsia"/>
          <w:sz w:val="24"/>
          <w:szCs w:val="16"/>
        </w:rPr>
        <w:t>方量较少，污水管线区开挖的土石方，沿线堆放，分段施工，未设置集中的临时堆土场。临时堆土场位置在办公区场地中部，临时堆土场占地面积</w:t>
      </w:r>
      <w:r>
        <w:rPr>
          <w:rFonts w:ascii="Times New Roman" w:hint="eastAsia"/>
          <w:sz w:val="24"/>
          <w:szCs w:val="16"/>
        </w:rPr>
        <w:t>0.01hm</w:t>
      </w:r>
      <w:r>
        <w:rPr>
          <w:rFonts w:ascii="Times New Roman" w:hint="eastAsia"/>
          <w:sz w:val="24"/>
          <w:szCs w:val="16"/>
          <w:vertAlign w:val="superscript"/>
        </w:rPr>
        <w:t>2</w:t>
      </w:r>
      <w:r>
        <w:rPr>
          <w:rFonts w:ascii="Times New Roman" w:hint="eastAsia"/>
          <w:sz w:val="24"/>
          <w:szCs w:val="16"/>
        </w:rPr>
        <w:t>，位于项目永久占地范围内，不新增临时占地。</w:t>
      </w:r>
    </w:p>
    <w:p w:rsidR="00F44F7B" w:rsidRDefault="00730D49">
      <w:pPr>
        <w:pStyle w:val="BZDL1"/>
        <w:spacing w:beforeLines="0" w:before="0" w:afterLines="0" w:after="0" w:line="360" w:lineRule="auto"/>
        <w:ind w:firstLine="480"/>
        <w:rPr>
          <w:rFonts w:ascii="Times New Roman"/>
          <w:sz w:val="24"/>
          <w:szCs w:val="16"/>
        </w:rPr>
      </w:pPr>
      <w:r>
        <w:rPr>
          <w:rFonts w:ascii="Times New Roman" w:hint="eastAsia"/>
          <w:sz w:val="24"/>
          <w:szCs w:val="16"/>
        </w:rPr>
        <w:t>3</w:t>
      </w:r>
      <w:r>
        <w:rPr>
          <w:rFonts w:ascii="Times New Roman" w:hint="eastAsia"/>
          <w:sz w:val="24"/>
          <w:szCs w:val="16"/>
        </w:rPr>
        <w:t>、弃渣场</w:t>
      </w:r>
    </w:p>
    <w:p w:rsidR="00F44F7B" w:rsidRDefault="00730D49">
      <w:pPr>
        <w:pStyle w:val="BZDL1"/>
        <w:spacing w:beforeLines="0" w:before="0" w:afterLines="0" w:after="0" w:line="360" w:lineRule="auto"/>
        <w:ind w:firstLine="480"/>
        <w:rPr>
          <w:rFonts w:ascii="Times New Roman"/>
          <w:sz w:val="24"/>
          <w:szCs w:val="16"/>
        </w:rPr>
      </w:pPr>
      <w:r>
        <w:rPr>
          <w:rFonts w:ascii="Times New Roman" w:hint="eastAsia"/>
          <w:sz w:val="24"/>
          <w:szCs w:val="16"/>
        </w:rPr>
        <w:t>本项目土石方挖填平衡，无弃渣产生，未设置弃渣场。</w:t>
      </w:r>
    </w:p>
    <w:p w:rsidR="00F44F7B" w:rsidRDefault="00730D49">
      <w:pPr>
        <w:pStyle w:val="3"/>
        <w:rPr>
          <w:szCs w:val="22"/>
        </w:rPr>
      </w:pPr>
      <w:r>
        <w:rPr>
          <w:rFonts w:hint="eastAsia"/>
          <w:szCs w:val="22"/>
        </w:rPr>
        <w:t xml:space="preserve">1.5.1.4 </w:t>
      </w:r>
      <w:r>
        <w:rPr>
          <w:rFonts w:hint="eastAsia"/>
          <w:szCs w:val="22"/>
        </w:rPr>
        <w:t>施工用水、电及通讯</w:t>
      </w:r>
    </w:p>
    <w:p w:rsidR="00F44F7B" w:rsidRDefault="00730D49">
      <w:pPr>
        <w:pStyle w:val="BZDL1"/>
        <w:spacing w:beforeLines="0" w:before="0" w:afterLines="0" w:after="0" w:line="360" w:lineRule="auto"/>
        <w:ind w:firstLine="480"/>
        <w:rPr>
          <w:rFonts w:ascii="Times New Roman"/>
          <w:sz w:val="24"/>
          <w:szCs w:val="16"/>
        </w:rPr>
      </w:pPr>
      <w:r>
        <w:rPr>
          <w:rFonts w:ascii="Times New Roman" w:hint="eastAsia"/>
          <w:sz w:val="24"/>
          <w:szCs w:val="16"/>
        </w:rPr>
        <w:t>（</w:t>
      </w:r>
      <w:r>
        <w:rPr>
          <w:rFonts w:ascii="Times New Roman" w:hint="eastAsia"/>
          <w:sz w:val="24"/>
          <w:szCs w:val="16"/>
        </w:rPr>
        <w:t>1</w:t>
      </w:r>
      <w:r>
        <w:rPr>
          <w:rFonts w:ascii="Times New Roman" w:hint="eastAsia"/>
          <w:sz w:val="24"/>
          <w:szCs w:val="16"/>
        </w:rPr>
        <w:t>）施工用电：本项目施工用电选择就近从托养中心内搭接取用。</w:t>
      </w:r>
    </w:p>
    <w:p w:rsidR="00F44F7B" w:rsidRDefault="00730D49">
      <w:pPr>
        <w:pStyle w:val="BZDL1"/>
        <w:spacing w:beforeLines="0" w:before="0" w:afterLines="0" w:after="0" w:line="360" w:lineRule="auto"/>
        <w:ind w:firstLine="480"/>
        <w:rPr>
          <w:rFonts w:ascii="Times New Roman"/>
          <w:sz w:val="24"/>
          <w:szCs w:val="16"/>
        </w:rPr>
      </w:pPr>
      <w:r>
        <w:rPr>
          <w:rFonts w:ascii="Times New Roman" w:hint="eastAsia"/>
          <w:sz w:val="24"/>
          <w:szCs w:val="16"/>
        </w:rPr>
        <w:lastRenderedPageBreak/>
        <w:t>（</w:t>
      </w:r>
      <w:r>
        <w:rPr>
          <w:rFonts w:ascii="Times New Roman" w:hint="eastAsia"/>
          <w:sz w:val="24"/>
          <w:szCs w:val="16"/>
        </w:rPr>
        <w:t>2</w:t>
      </w:r>
      <w:r>
        <w:rPr>
          <w:rFonts w:ascii="Times New Roman" w:hint="eastAsia"/>
          <w:sz w:val="24"/>
          <w:szCs w:val="16"/>
        </w:rPr>
        <w:t>）工程及生活用水：项目区施工用水通过厂内自来水满足给水需要。</w:t>
      </w:r>
    </w:p>
    <w:p w:rsidR="00F44F7B" w:rsidRDefault="00730D49">
      <w:pPr>
        <w:pStyle w:val="BZDL1"/>
        <w:spacing w:beforeLines="0" w:before="0" w:afterLines="0" w:after="0" w:line="360" w:lineRule="auto"/>
        <w:ind w:firstLine="480"/>
        <w:rPr>
          <w:rFonts w:ascii="Times New Roman"/>
          <w:sz w:val="24"/>
          <w:szCs w:val="16"/>
        </w:rPr>
      </w:pPr>
      <w:r>
        <w:rPr>
          <w:rFonts w:ascii="Times New Roman" w:hint="eastAsia"/>
          <w:sz w:val="24"/>
          <w:szCs w:val="16"/>
        </w:rPr>
        <w:t>（</w:t>
      </w:r>
      <w:r>
        <w:rPr>
          <w:rFonts w:ascii="Times New Roman" w:hint="eastAsia"/>
          <w:sz w:val="24"/>
          <w:szCs w:val="16"/>
        </w:rPr>
        <w:t>3</w:t>
      </w:r>
      <w:r>
        <w:rPr>
          <w:rFonts w:ascii="Times New Roman" w:hint="eastAsia"/>
          <w:sz w:val="24"/>
          <w:szCs w:val="16"/>
        </w:rPr>
        <w:t>）工程区已有通讯信号全面覆盖，可采用移动或联通通讯联系。</w:t>
      </w:r>
    </w:p>
    <w:p w:rsidR="00F44F7B" w:rsidRDefault="00730D49">
      <w:pPr>
        <w:pStyle w:val="2"/>
      </w:pPr>
      <w:bookmarkStart w:id="15" w:name="_Toc8658"/>
      <w:r>
        <w:rPr>
          <w:rFonts w:hint="eastAsia"/>
        </w:rPr>
        <w:t>1</w:t>
      </w:r>
      <w:r>
        <w:t>.</w:t>
      </w:r>
      <w:r>
        <w:rPr>
          <w:rFonts w:hint="eastAsia"/>
        </w:rPr>
        <w:t>7</w:t>
      </w:r>
      <w:r>
        <w:rPr>
          <w:rFonts w:hint="eastAsia"/>
        </w:rPr>
        <w:t>项目占地情况</w:t>
      </w:r>
      <w:bookmarkEnd w:id="15"/>
    </w:p>
    <w:p w:rsidR="00F44F7B" w:rsidRDefault="00730D49">
      <w:pPr>
        <w:pStyle w:val="BZDL1"/>
        <w:spacing w:beforeLines="0" w:before="0" w:afterLines="0" w:after="0" w:line="360" w:lineRule="auto"/>
        <w:ind w:firstLine="480"/>
        <w:rPr>
          <w:rFonts w:ascii="Times New Roman"/>
        </w:rPr>
      </w:pPr>
      <w:r>
        <w:rPr>
          <w:rFonts w:ascii="Times New Roman"/>
          <w:sz w:val="24"/>
          <w:szCs w:val="16"/>
        </w:rPr>
        <w:t>根据主体设计资料，</w:t>
      </w:r>
      <w:r>
        <w:rPr>
          <w:rFonts w:ascii="Times New Roman"/>
          <w:sz w:val="24"/>
          <w:szCs w:val="16"/>
        </w:rPr>
        <w:t>本项目由</w:t>
      </w:r>
      <w:r>
        <w:rPr>
          <w:rFonts w:ascii="Times New Roman" w:hint="eastAsia"/>
          <w:sz w:val="24"/>
          <w:szCs w:val="16"/>
        </w:rPr>
        <w:t>建构筑物区</w:t>
      </w:r>
      <w:r>
        <w:rPr>
          <w:rFonts w:ascii="Times New Roman" w:hint="eastAsia"/>
          <w:sz w:val="24"/>
          <w:szCs w:val="16"/>
        </w:rPr>
        <w:t>和配套设施区，共</w:t>
      </w:r>
      <w:r>
        <w:rPr>
          <w:rFonts w:ascii="Times New Roman"/>
          <w:sz w:val="24"/>
          <w:szCs w:val="16"/>
        </w:rPr>
        <w:t>2</w:t>
      </w:r>
      <w:r>
        <w:rPr>
          <w:rFonts w:ascii="Times New Roman"/>
          <w:sz w:val="24"/>
          <w:szCs w:val="16"/>
        </w:rPr>
        <w:t>部分组成。</w:t>
      </w:r>
    </w:p>
    <w:p w:rsidR="00F44F7B" w:rsidRDefault="00730D49">
      <w:pPr>
        <w:adjustRightInd/>
        <w:snapToGrid/>
        <w:spacing w:line="360" w:lineRule="auto"/>
        <w:ind w:firstLineChars="200" w:firstLine="480"/>
        <w:rPr>
          <w:color w:val="0000FF"/>
          <w:szCs w:val="16"/>
        </w:rPr>
      </w:pPr>
      <w:r>
        <w:rPr>
          <w:rFonts w:hint="eastAsia"/>
          <w:color w:val="0000FF"/>
          <w:szCs w:val="16"/>
        </w:rPr>
        <w:t>项目总占地面积共计</w:t>
      </w:r>
      <w:r>
        <w:rPr>
          <w:rFonts w:hint="eastAsia"/>
          <w:color w:val="0000FF"/>
          <w:szCs w:val="16"/>
        </w:rPr>
        <w:t>0.43h</w:t>
      </w:r>
      <w:r>
        <w:rPr>
          <w:rFonts w:hint="eastAsia"/>
          <w:color w:val="0000FF"/>
          <w:szCs w:val="16"/>
        </w:rPr>
        <w:t>m</w:t>
      </w:r>
      <w:r>
        <w:rPr>
          <w:rFonts w:hint="eastAsia"/>
          <w:color w:val="0000FF"/>
          <w:szCs w:val="16"/>
          <w:vertAlign w:val="superscript"/>
        </w:rPr>
        <w:t>2</w:t>
      </w:r>
      <w:r>
        <w:rPr>
          <w:rFonts w:hint="eastAsia"/>
          <w:color w:val="0000FF"/>
          <w:szCs w:val="16"/>
        </w:rPr>
        <w:t>，</w:t>
      </w:r>
      <w:r>
        <w:rPr>
          <w:rFonts w:hint="eastAsia"/>
          <w:color w:val="0000FF"/>
          <w:szCs w:val="16"/>
        </w:rPr>
        <w:t>均为</w:t>
      </w:r>
      <w:r>
        <w:rPr>
          <w:rFonts w:hint="eastAsia"/>
          <w:color w:val="0000FF"/>
          <w:szCs w:val="16"/>
        </w:rPr>
        <w:t>永久占地</w:t>
      </w:r>
      <w:r>
        <w:rPr>
          <w:rFonts w:hint="eastAsia"/>
          <w:color w:val="0000FF"/>
          <w:szCs w:val="16"/>
        </w:rPr>
        <w:t>，临时占地布设在永久占地范围内，面积不重复计列。</w:t>
      </w:r>
    </w:p>
    <w:p w:rsidR="00F44F7B" w:rsidRDefault="00730D49">
      <w:pPr>
        <w:jc w:val="center"/>
        <w:rPr>
          <w:b/>
          <w:bCs/>
          <w:kern w:val="0"/>
          <w:sz w:val="22"/>
          <w:szCs w:val="22"/>
          <w:vertAlign w:val="superscript"/>
          <w:lang w:bidi="ar"/>
        </w:rPr>
      </w:pPr>
      <w:r>
        <w:rPr>
          <w:b/>
          <w:bCs/>
          <w:sz w:val="22"/>
          <w:szCs w:val="22"/>
        </w:rPr>
        <w:t>表</w:t>
      </w:r>
      <w:r>
        <w:rPr>
          <w:rFonts w:hint="eastAsia"/>
          <w:b/>
          <w:bCs/>
          <w:sz w:val="22"/>
          <w:szCs w:val="22"/>
        </w:rPr>
        <w:t>1-2</w:t>
      </w:r>
      <w:r>
        <w:rPr>
          <w:b/>
          <w:bCs/>
          <w:sz w:val="22"/>
          <w:szCs w:val="22"/>
        </w:rPr>
        <w:t xml:space="preserve">  </w:t>
      </w:r>
      <w:r>
        <w:rPr>
          <w:b/>
          <w:bCs/>
          <w:sz w:val="22"/>
          <w:szCs w:val="22"/>
        </w:rPr>
        <w:t>工程占地面积表</w:t>
      </w:r>
      <w:r>
        <w:rPr>
          <w:b/>
          <w:bCs/>
          <w:sz w:val="22"/>
          <w:szCs w:val="22"/>
        </w:rPr>
        <w:t xml:space="preserve">      </w:t>
      </w:r>
      <w:r>
        <w:rPr>
          <w:b/>
          <w:bCs/>
          <w:sz w:val="22"/>
          <w:szCs w:val="22"/>
        </w:rPr>
        <w:t>单位：</w:t>
      </w:r>
      <w:r>
        <w:rPr>
          <w:b/>
          <w:bCs/>
          <w:kern w:val="0"/>
          <w:sz w:val="22"/>
          <w:szCs w:val="22"/>
          <w:lang w:bidi="ar"/>
        </w:rPr>
        <w:t>m</w:t>
      </w:r>
      <w:r>
        <w:rPr>
          <w:b/>
          <w:bCs/>
          <w:kern w:val="0"/>
          <w:sz w:val="22"/>
          <w:szCs w:val="22"/>
          <w:vertAlign w:val="superscript"/>
          <w:lang w:bidi="ar"/>
        </w:rPr>
        <w:t>2</w:t>
      </w:r>
    </w:p>
    <w:tbl>
      <w:tblPr>
        <w:tblW w:w="86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33"/>
        <w:gridCol w:w="1855"/>
        <w:gridCol w:w="1855"/>
        <w:gridCol w:w="1856"/>
      </w:tblGrid>
      <w:tr w:rsidR="00F44F7B">
        <w:trPr>
          <w:trHeight w:hRule="exact" w:val="446"/>
          <w:jc w:val="center"/>
        </w:trPr>
        <w:tc>
          <w:tcPr>
            <w:tcW w:w="3133" w:type="dxa"/>
            <w:tcBorders>
              <w:tl2br w:val="nil"/>
              <w:tr2bl w:val="nil"/>
            </w:tcBorders>
            <w:shd w:val="clear" w:color="auto" w:fill="auto"/>
            <w:noWrap/>
            <w:tcMar>
              <w:top w:w="15" w:type="dxa"/>
              <w:left w:w="15" w:type="dxa"/>
              <w:right w:w="15" w:type="dxa"/>
            </w:tcMar>
            <w:vAlign w:val="center"/>
          </w:tcPr>
          <w:p w:rsidR="00F44F7B" w:rsidRDefault="00730D49">
            <w:pPr>
              <w:spacing w:line="360" w:lineRule="auto"/>
              <w:jc w:val="center"/>
              <w:rPr>
                <w:bCs/>
                <w:color w:val="0000FF"/>
                <w:kern w:val="0"/>
                <w:sz w:val="21"/>
                <w:szCs w:val="21"/>
              </w:rPr>
            </w:pPr>
            <w:r>
              <w:rPr>
                <w:bCs/>
                <w:color w:val="0000FF"/>
                <w:kern w:val="0"/>
                <w:sz w:val="21"/>
                <w:szCs w:val="21"/>
              </w:rPr>
              <w:t>项目组成</w:t>
            </w:r>
          </w:p>
        </w:tc>
        <w:tc>
          <w:tcPr>
            <w:tcW w:w="1855" w:type="dxa"/>
            <w:tcBorders>
              <w:tl2br w:val="nil"/>
              <w:tr2bl w:val="nil"/>
            </w:tcBorders>
            <w:shd w:val="clear" w:color="auto" w:fill="auto"/>
            <w:tcMar>
              <w:top w:w="15" w:type="dxa"/>
              <w:left w:w="15" w:type="dxa"/>
              <w:right w:w="15" w:type="dxa"/>
            </w:tcMar>
            <w:vAlign w:val="center"/>
          </w:tcPr>
          <w:p w:rsidR="00F44F7B" w:rsidRDefault="00730D49">
            <w:pPr>
              <w:spacing w:line="360" w:lineRule="auto"/>
              <w:jc w:val="center"/>
              <w:rPr>
                <w:bCs/>
                <w:color w:val="0000FF"/>
                <w:kern w:val="0"/>
                <w:sz w:val="21"/>
                <w:szCs w:val="21"/>
              </w:rPr>
            </w:pPr>
            <w:r>
              <w:rPr>
                <w:bCs/>
                <w:color w:val="0000FF"/>
                <w:kern w:val="0"/>
                <w:sz w:val="21"/>
                <w:szCs w:val="21"/>
              </w:rPr>
              <w:t>合计</w:t>
            </w:r>
          </w:p>
        </w:tc>
        <w:tc>
          <w:tcPr>
            <w:tcW w:w="1855" w:type="dxa"/>
            <w:tcBorders>
              <w:tl2br w:val="nil"/>
              <w:tr2bl w:val="nil"/>
            </w:tcBorders>
            <w:shd w:val="clear" w:color="auto" w:fill="auto"/>
            <w:tcMar>
              <w:top w:w="15" w:type="dxa"/>
              <w:left w:w="15" w:type="dxa"/>
              <w:right w:w="15" w:type="dxa"/>
            </w:tcMar>
            <w:vAlign w:val="center"/>
          </w:tcPr>
          <w:p w:rsidR="00F44F7B" w:rsidRDefault="00730D49">
            <w:pPr>
              <w:spacing w:line="360" w:lineRule="auto"/>
              <w:jc w:val="center"/>
              <w:rPr>
                <w:bCs/>
                <w:color w:val="0000FF"/>
                <w:kern w:val="0"/>
                <w:sz w:val="21"/>
                <w:szCs w:val="21"/>
              </w:rPr>
            </w:pPr>
            <w:r>
              <w:rPr>
                <w:bCs/>
                <w:color w:val="0000FF"/>
                <w:kern w:val="0"/>
                <w:sz w:val="21"/>
                <w:szCs w:val="21"/>
              </w:rPr>
              <w:t>永久占地</w:t>
            </w:r>
          </w:p>
        </w:tc>
        <w:tc>
          <w:tcPr>
            <w:tcW w:w="1856" w:type="dxa"/>
            <w:tcBorders>
              <w:tl2br w:val="nil"/>
              <w:tr2bl w:val="nil"/>
            </w:tcBorders>
            <w:shd w:val="clear" w:color="auto" w:fill="auto"/>
            <w:tcMar>
              <w:top w:w="15" w:type="dxa"/>
              <w:left w:w="15" w:type="dxa"/>
              <w:right w:w="15" w:type="dxa"/>
            </w:tcMar>
            <w:vAlign w:val="center"/>
          </w:tcPr>
          <w:p w:rsidR="00F44F7B" w:rsidRDefault="00730D49">
            <w:pPr>
              <w:spacing w:line="360" w:lineRule="auto"/>
              <w:jc w:val="center"/>
              <w:rPr>
                <w:bCs/>
                <w:color w:val="0000FF"/>
                <w:kern w:val="0"/>
                <w:sz w:val="21"/>
                <w:szCs w:val="21"/>
              </w:rPr>
            </w:pPr>
            <w:r>
              <w:rPr>
                <w:bCs/>
                <w:color w:val="0000FF"/>
                <w:kern w:val="0"/>
                <w:sz w:val="21"/>
                <w:szCs w:val="21"/>
              </w:rPr>
              <w:t>临时占地</w:t>
            </w:r>
          </w:p>
        </w:tc>
      </w:tr>
      <w:tr w:rsidR="00F44F7B">
        <w:trPr>
          <w:trHeight w:hRule="exact" w:val="450"/>
          <w:jc w:val="center"/>
        </w:trPr>
        <w:tc>
          <w:tcPr>
            <w:tcW w:w="3133" w:type="dxa"/>
            <w:tcBorders>
              <w:tl2br w:val="nil"/>
              <w:tr2bl w:val="nil"/>
            </w:tcBorders>
            <w:shd w:val="clear" w:color="auto" w:fill="auto"/>
            <w:noWrap/>
            <w:tcMar>
              <w:top w:w="15" w:type="dxa"/>
              <w:left w:w="15" w:type="dxa"/>
              <w:right w:w="15" w:type="dxa"/>
            </w:tcMar>
            <w:vAlign w:val="center"/>
          </w:tcPr>
          <w:p w:rsidR="00F44F7B" w:rsidRDefault="00730D49">
            <w:pPr>
              <w:spacing w:line="360" w:lineRule="auto"/>
              <w:jc w:val="center"/>
              <w:rPr>
                <w:bCs/>
                <w:color w:val="0000FF"/>
                <w:kern w:val="0"/>
                <w:sz w:val="21"/>
                <w:szCs w:val="21"/>
              </w:rPr>
            </w:pPr>
            <w:r>
              <w:rPr>
                <w:rFonts w:hint="eastAsia"/>
                <w:bCs/>
                <w:color w:val="0000FF"/>
                <w:kern w:val="0"/>
                <w:sz w:val="21"/>
                <w:szCs w:val="21"/>
              </w:rPr>
              <w:t>建构筑物区</w:t>
            </w:r>
          </w:p>
        </w:tc>
        <w:tc>
          <w:tcPr>
            <w:tcW w:w="1855" w:type="dxa"/>
            <w:tcBorders>
              <w:tl2br w:val="nil"/>
              <w:tr2bl w:val="nil"/>
            </w:tcBorders>
            <w:shd w:val="clear" w:color="auto" w:fill="auto"/>
            <w:tcMar>
              <w:top w:w="15" w:type="dxa"/>
              <w:left w:w="15" w:type="dxa"/>
              <w:right w:w="15" w:type="dxa"/>
            </w:tcMar>
            <w:vAlign w:val="center"/>
          </w:tcPr>
          <w:p w:rsidR="00F44F7B" w:rsidRDefault="00730D49">
            <w:pPr>
              <w:spacing w:line="360" w:lineRule="auto"/>
              <w:jc w:val="center"/>
              <w:rPr>
                <w:bCs/>
                <w:color w:val="0000FF"/>
                <w:kern w:val="0"/>
                <w:sz w:val="21"/>
                <w:szCs w:val="21"/>
              </w:rPr>
            </w:pPr>
            <w:r>
              <w:rPr>
                <w:rFonts w:hint="eastAsia"/>
                <w:bCs/>
                <w:color w:val="0000FF"/>
                <w:kern w:val="0"/>
                <w:sz w:val="21"/>
                <w:szCs w:val="21"/>
              </w:rPr>
              <w:t>0.16</w:t>
            </w:r>
          </w:p>
        </w:tc>
        <w:tc>
          <w:tcPr>
            <w:tcW w:w="1855" w:type="dxa"/>
            <w:tcBorders>
              <w:tl2br w:val="nil"/>
              <w:tr2bl w:val="nil"/>
            </w:tcBorders>
            <w:shd w:val="clear" w:color="auto" w:fill="auto"/>
            <w:tcMar>
              <w:top w:w="15" w:type="dxa"/>
              <w:left w:w="15" w:type="dxa"/>
              <w:right w:w="15" w:type="dxa"/>
            </w:tcMar>
            <w:vAlign w:val="center"/>
          </w:tcPr>
          <w:p w:rsidR="00F44F7B" w:rsidRDefault="00730D49">
            <w:pPr>
              <w:spacing w:line="360" w:lineRule="auto"/>
              <w:jc w:val="center"/>
              <w:rPr>
                <w:bCs/>
                <w:color w:val="0000FF"/>
                <w:kern w:val="0"/>
                <w:sz w:val="21"/>
                <w:szCs w:val="21"/>
              </w:rPr>
            </w:pPr>
            <w:r>
              <w:rPr>
                <w:rFonts w:hint="eastAsia"/>
                <w:bCs/>
                <w:color w:val="0000FF"/>
                <w:kern w:val="0"/>
                <w:sz w:val="21"/>
                <w:szCs w:val="21"/>
              </w:rPr>
              <w:t>0.16</w:t>
            </w:r>
          </w:p>
        </w:tc>
        <w:tc>
          <w:tcPr>
            <w:tcW w:w="1856" w:type="dxa"/>
            <w:tcBorders>
              <w:tl2br w:val="nil"/>
              <w:tr2bl w:val="nil"/>
            </w:tcBorders>
            <w:shd w:val="clear" w:color="auto" w:fill="auto"/>
            <w:tcMar>
              <w:top w:w="15" w:type="dxa"/>
              <w:left w:w="15" w:type="dxa"/>
              <w:right w:w="15" w:type="dxa"/>
            </w:tcMar>
            <w:vAlign w:val="center"/>
          </w:tcPr>
          <w:p w:rsidR="00F44F7B" w:rsidRDefault="00730D49">
            <w:pPr>
              <w:spacing w:line="360" w:lineRule="auto"/>
              <w:jc w:val="center"/>
              <w:rPr>
                <w:bCs/>
                <w:color w:val="0000FF"/>
                <w:kern w:val="0"/>
                <w:sz w:val="21"/>
                <w:szCs w:val="21"/>
              </w:rPr>
            </w:pPr>
            <w:r>
              <w:rPr>
                <w:rFonts w:hint="eastAsia"/>
                <w:bCs/>
                <w:color w:val="0000FF"/>
                <w:kern w:val="0"/>
                <w:sz w:val="21"/>
                <w:szCs w:val="21"/>
              </w:rPr>
              <w:t>(0.01)</w:t>
            </w:r>
          </w:p>
        </w:tc>
      </w:tr>
      <w:tr w:rsidR="00F44F7B">
        <w:trPr>
          <w:trHeight w:hRule="exact" w:val="450"/>
          <w:jc w:val="center"/>
        </w:trPr>
        <w:tc>
          <w:tcPr>
            <w:tcW w:w="3133" w:type="dxa"/>
            <w:tcBorders>
              <w:tl2br w:val="nil"/>
              <w:tr2bl w:val="nil"/>
            </w:tcBorders>
            <w:shd w:val="clear" w:color="auto" w:fill="auto"/>
            <w:noWrap/>
            <w:tcMar>
              <w:top w:w="15" w:type="dxa"/>
              <w:left w:w="15" w:type="dxa"/>
              <w:right w:w="15" w:type="dxa"/>
            </w:tcMar>
            <w:vAlign w:val="center"/>
          </w:tcPr>
          <w:p w:rsidR="00F44F7B" w:rsidRDefault="00730D49">
            <w:pPr>
              <w:spacing w:line="360" w:lineRule="auto"/>
              <w:jc w:val="center"/>
              <w:rPr>
                <w:bCs/>
                <w:color w:val="0000FF"/>
                <w:kern w:val="0"/>
                <w:sz w:val="21"/>
                <w:szCs w:val="21"/>
              </w:rPr>
            </w:pPr>
            <w:r>
              <w:rPr>
                <w:rFonts w:hint="eastAsia"/>
                <w:bCs/>
                <w:color w:val="0000FF"/>
                <w:kern w:val="0"/>
                <w:sz w:val="21"/>
                <w:szCs w:val="21"/>
              </w:rPr>
              <w:t>配套设施</w:t>
            </w:r>
            <w:r>
              <w:rPr>
                <w:bCs/>
                <w:color w:val="0000FF"/>
                <w:kern w:val="0"/>
                <w:sz w:val="21"/>
                <w:szCs w:val="21"/>
              </w:rPr>
              <w:t>区</w:t>
            </w:r>
          </w:p>
        </w:tc>
        <w:tc>
          <w:tcPr>
            <w:tcW w:w="1855" w:type="dxa"/>
            <w:tcBorders>
              <w:tl2br w:val="nil"/>
              <w:tr2bl w:val="nil"/>
            </w:tcBorders>
            <w:shd w:val="clear" w:color="auto" w:fill="auto"/>
            <w:tcMar>
              <w:top w:w="15" w:type="dxa"/>
              <w:left w:w="15" w:type="dxa"/>
              <w:right w:w="15" w:type="dxa"/>
            </w:tcMar>
            <w:vAlign w:val="center"/>
          </w:tcPr>
          <w:p w:rsidR="00F44F7B" w:rsidRDefault="00730D49">
            <w:pPr>
              <w:spacing w:line="360" w:lineRule="auto"/>
              <w:jc w:val="center"/>
              <w:rPr>
                <w:bCs/>
                <w:color w:val="0000FF"/>
                <w:kern w:val="0"/>
                <w:sz w:val="21"/>
                <w:szCs w:val="21"/>
              </w:rPr>
            </w:pPr>
            <w:r>
              <w:rPr>
                <w:rFonts w:hint="eastAsia"/>
                <w:bCs/>
                <w:color w:val="0000FF"/>
                <w:kern w:val="0"/>
                <w:sz w:val="21"/>
                <w:szCs w:val="21"/>
              </w:rPr>
              <w:t>0.27</w:t>
            </w:r>
          </w:p>
        </w:tc>
        <w:tc>
          <w:tcPr>
            <w:tcW w:w="1855" w:type="dxa"/>
            <w:tcBorders>
              <w:tl2br w:val="nil"/>
              <w:tr2bl w:val="nil"/>
            </w:tcBorders>
            <w:shd w:val="clear" w:color="auto" w:fill="auto"/>
            <w:tcMar>
              <w:top w:w="15" w:type="dxa"/>
              <w:left w:w="15" w:type="dxa"/>
              <w:right w:w="15" w:type="dxa"/>
            </w:tcMar>
            <w:vAlign w:val="center"/>
          </w:tcPr>
          <w:p w:rsidR="00F44F7B" w:rsidRDefault="00730D49">
            <w:pPr>
              <w:spacing w:line="360" w:lineRule="auto"/>
              <w:jc w:val="center"/>
              <w:rPr>
                <w:bCs/>
                <w:color w:val="0000FF"/>
                <w:kern w:val="0"/>
                <w:sz w:val="21"/>
                <w:szCs w:val="21"/>
              </w:rPr>
            </w:pPr>
            <w:r>
              <w:rPr>
                <w:rFonts w:hint="eastAsia"/>
                <w:bCs/>
                <w:color w:val="0000FF"/>
                <w:kern w:val="0"/>
                <w:sz w:val="21"/>
                <w:szCs w:val="21"/>
              </w:rPr>
              <w:t>0.27</w:t>
            </w:r>
          </w:p>
        </w:tc>
        <w:tc>
          <w:tcPr>
            <w:tcW w:w="1856" w:type="dxa"/>
            <w:tcBorders>
              <w:tl2br w:val="nil"/>
              <w:tr2bl w:val="nil"/>
            </w:tcBorders>
            <w:shd w:val="clear" w:color="auto" w:fill="auto"/>
            <w:tcMar>
              <w:top w:w="15" w:type="dxa"/>
              <w:left w:w="15" w:type="dxa"/>
              <w:right w:w="15" w:type="dxa"/>
            </w:tcMar>
            <w:vAlign w:val="center"/>
          </w:tcPr>
          <w:p w:rsidR="00F44F7B" w:rsidRDefault="00730D49">
            <w:pPr>
              <w:spacing w:line="360" w:lineRule="auto"/>
              <w:jc w:val="center"/>
              <w:rPr>
                <w:bCs/>
                <w:color w:val="0000FF"/>
                <w:kern w:val="0"/>
                <w:sz w:val="21"/>
                <w:szCs w:val="21"/>
              </w:rPr>
            </w:pPr>
            <w:r>
              <w:rPr>
                <w:rFonts w:hint="eastAsia"/>
                <w:bCs/>
                <w:color w:val="0000FF"/>
                <w:kern w:val="0"/>
                <w:sz w:val="21"/>
                <w:szCs w:val="21"/>
              </w:rPr>
              <w:t>(0.01)</w:t>
            </w:r>
          </w:p>
        </w:tc>
      </w:tr>
      <w:tr w:rsidR="00F44F7B">
        <w:trPr>
          <w:trHeight w:hRule="exact" w:val="457"/>
          <w:jc w:val="center"/>
        </w:trPr>
        <w:tc>
          <w:tcPr>
            <w:tcW w:w="3133" w:type="dxa"/>
            <w:tcBorders>
              <w:tl2br w:val="nil"/>
              <w:tr2bl w:val="nil"/>
            </w:tcBorders>
            <w:shd w:val="clear" w:color="auto" w:fill="auto"/>
            <w:noWrap/>
            <w:tcMar>
              <w:top w:w="15" w:type="dxa"/>
              <w:left w:w="15" w:type="dxa"/>
              <w:right w:w="15" w:type="dxa"/>
            </w:tcMar>
            <w:vAlign w:val="center"/>
          </w:tcPr>
          <w:p w:rsidR="00F44F7B" w:rsidRDefault="00730D49">
            <w:pPr>
              <w:spacing w:line="360" w:lineRule="auto"/>
              <w:jc w:val="center"/>
              <w:rPr>
                <w:bCs/>
                <w:color w:val="0000FF"/>
                <w:kern w:val="0"/>
                <w:sz w:val="21"/>
                <w:szCs w:val="21"/>
              </w:rPr>
            </w:pPr>
            <w:r>
              <w:rPr>
                <w:bCs/>
                <w:color w:val="0000FF"/>
                <w:kern w:val="0"/>
                <w:sz w:val="21"/>
                <w:szCs w:val="21"/>
              </w:rPr>
              <w:t>合计</w:t>
            </w:r>
          </w:p>
        </w:tc>
        <w:tc>
          <w:tcPr>
            <w:tcW w:w="1855" w:type="dxa"/>
            <w:tcBorders>
              <w:tl2br w:val="nil"/>
              <w:tr2bl w:val="nil"/>
            </w:tcBorders>
            <w:shd w:val="clear" w:color="auto" w:fill="auto"/>
            <w:tcMar>
              <w:top w:w="15" w:type="dxa"/>
              <w:left w:w="15" w:type="dxa"/>
              <w:right w:w="15" w:type="dxa"/>
            </w:tcMar>
            <w:vAlign w:val="center"/>
          </w:tcPr>
          <w:p w:rsidR="00F44F7B" w:rsidRDefault="00730D49">
            <w:pPr>
              <w:spacing w:line="360" w:lineRule="auto"/>
              <w:jc w:val="center"/>
              <w:rPr>
                <w:bCs/>
                <w:color w:val="0000FF"/>
                <w:kern w:val="0"/>
                <w:sz w:val="21"/>
                <w:szCs w:val="21"/>
              </w:rPr>
            </w:pPr>
            <w:r>
              <w:rPr>
                <w:rFonts w:hint="eastAsia"/>
                <w:bCs/>
                <w:color w:val="0000FF"/>
                <w:kern w:val="0"/>
                <w:sz w:val="21"/>
                <w:szCs w:val="21"/>
              </w:rPr>
              <w:t>0.43</w:t>
            </w:r>
          </w:p>
        </w:tc>
        <w:tc>
          <w:tcPr>
            <w:tcW w:w="1855" w:type="dxa"/>
            <w:tcBorders>
              <w:tl2br w:val="nil"/>
              <w:tr2bl w:val="nil"/>
            </w:tcBorders>
            <w:shd w:val="clear" w:color="auto" w:fill="auto"/>
            <w:noWrap/>
            <w:tcMar>
              <w:top w:w="15" w:type="dxa"/>
              <w:left w:w="15" w:type="dxa"/>
              <w:right w:w="15" w:type="dxa"/>
            </w:tcMar>
            <w:vAlign w:val="center"/>
          </w:tcPr>
          <w:p w:rsidR="00F44F7B" w:rsidRDefault="00730D49">
            <w:pPr>
              <w:spacing w:line="360" w:lineRule="auto"/>
              <w:jc w:val="center"/>
              <w:rPr>
                <w:bCs/>
                <w:color w:val="0000FF"/>
                <w:kern w:val="0"/>
                <w:sz w:val="21"/>
                <w:szCs w:val="21"/>
              </w:rPr>
            </w:pPr>
            <w:r>
              <w:rPr>
                <w:rFonts w:hint="eastAsia"/>
                <w:bCs/>
                <w:color w:val="0000FF"/>
                <w:kern w:val="0"/>
                <w:sz w:val="21"/>
                <w:szCs w:val="21"/>
              </w:rPr>
              <w:t>0.43</w:t>
            </w:r>
          </w:p>
        </w:tc>
        <w:tc>
          <w:tcPr>
            <w:tcW w:w="1856" w:type="dxa"/>
            <w:tcBorders>
              <w:tl2br w:val="nil"/>
              <w:tr2bl w:val="nil"/>
            </w:tcBorders>
            <w:shd w:val="clear" w:color="auto" w:fill="auto"/>
            <w:noWrap/>
            <w:tcMar>
              <w:top w:w="15" w:type="dxa"/>
              <w:left w:w="15" w:type="dxa"/>
              <w:right w:w="15" w:type="dxa"/>
            </w:tcMar>
            <w:vAlign w:val="center"/>
          </w:tcPr>
          <w:p w:rsidR="00F44F7B" w:rsidRDefault="00730D49">
            <w:pPr>
              <w:spacing w:line="360" w:lineRule="auto"/>
              <w:jc w:val="center"/>
              <w:rPr>
                <w:bCs/>
                <w:color w:val="0000FF"/>
                <w:kern w:val="0"/>
                <w:sz w:val="21"/>
                <w:szCs w:val="21"/>
              </w:rPr>
            </w:pPr>
            <w:r>
              <w:rPr>
                <w:rFonts w:hint="eastAsia"/>
                <w:bCs/>
                <w:color w:val="0000FF"/>
                <w:kern w:val="0"/>
                <w:sz w:val="21"/>
                <w:szCs w:val="21"/>
              </w:rPr>
              <w:t>(0.02)</w:t>
            </w:r>
          </w:p>
        </w:tc>
      </w:tr>
    </w:tbl>
    <w:p w:rsidR="00F44F7B" w:rsidRDefault="00730D49">
      <w:pPr>
        <w:pStyle w:val="2"/>
        <w:spacing w:beforeLines="50" w:before="156"/>
      </w:pPr>
      <w:bookmarkStart w:id="16" w:name="_Toc282"/>
      <w:bookmarkStart w:id="17" w:name="_Toc61605680"/>
      <w:bookmarkStart w:id="18" w:name="_Toc61602700"/>
      <w:bookmarkStart w:id="19" w:name="_Toc22126"/>
      <w:bookmarkStart w:id="20" w:name="_Toc2775"/>
      <w:r>
        <w:t>1.</w:t>
      </w:r>
      <w:r>
        <w:rPr>
          <w:rFonts w:hint="eastAsia"/>
        </w:rPr>
        <w:t>8</w:t>
      </w:r>
      <w:r>
        <w:rPr>
          <w:rFonts w:hint="eastAsia"/>
        </w:rPr>
        <w:t>土石方平衡分析与评价</w:t>
      </w:r>
      <w:bookmarkEnd w:id="16"/>
      <w:bookmarkEnd w:id="17"/>
      <w:bookmarkEnd w:id="18"/>
    </w:p>
    <w:bookmarkEnd w:id="19"/>
    <w:bookmarkEnd w:id="20"/>
    <w:p w:rsidR="00F44F7B" w:rsidRDefault="00730D49">
      <w:pPr>
        <w:spacing w:line="360" w:lineRule="auto"/>
        <w:ind w:firstLineChars="200" w:firstLine="480"/>
        <w:rPr>
          <w:szCs w:val="16"/>
        </w:rPr>
      </w:pPr>
      <w:r>
        <w:rPr>
          <w:szCs w:val="16"/>
        </w:rPr>
        <w:t>截至本项目编报水土保持方案，项目大部分建设完成，根据项目组查阅项目竣工资料及现场勘查，场平期间已剥离表土</w:t>
      </w:r>
      <w:r>
        <w:rPr>
          <w:szCs w:val="16"/>
        </w:rPr>
        <w:t>1375m</w:t>
      </w:r>
      <w:r>
        <w:rPr>
          <w:szCs w:val="16"/>
          <w:vertAlign w:val="superscript"/>
        </w:rPr>
        <w:t>3</w:t>
      </w:r>
      <w:r>
        <w:rPr>
          <w:szCs w:val="16"/>
        </w:rPr>
        <w:t>，剥离表土已用于项目建设区绿化覆土。表土平衡表见表</w:t>
      </w:r>
      <w:r>
        <w:rPr>
          <w:rFonts w:hint="eastAsia"/>
          <w:szCs w:val="16"/>
        </w:rPr>
        <w:t>1</w:t>
      </w:r>
      <w:r>
        <w:rPr>
          <w:szCs w:val="16"/>
        </w:rPr>
        <w:t>-3</w:t>
      </w:r>
      <w:r>
        <w:rPr>
          <w:szCs w:val="16"/>
        </w:rPr>
        <w:t>。</w:t>
      </w:r>
    </w:p>
    <w:p w:rsidR="00F44F7B" w:rsidRDefault="00730D49">
      <w:pPr>
        <w:spacing w:line="360" w:lineRule="auto"/>
        <w:ind w:firstLineChars="200" w:firstLine="480"/>
        <w:rPr>
          <w:szCs w:val="16"/>
        </w:rPr>
      </w:pPr>
      <w:r>
        <w:rPr>
          <w:szCs w:val="16"/>
        </w:rPr>
        <w:t>本项目建设期开挖土石方量</w:t>
      </w:r>
      <w:r>
        <w:rPr>
          <w:szCs w:val="16"/>
        </w:rPr>
        <w:t>3271.8m3</w:t>
      </w:r>
      <w:r>
        <w:rPr>
          <w:szCs w:val="16"/>
        </w:rPr>
        <w:t>（其中土方</w:t>
      </w:r>
      <w:r>
        <w:rPr>
          <w:szCs w:val="16"/>
        </w:rPr>
        <w:t>1196.3m3</w:t>
      </w:r>
      <w:r>
        <w:rPr>
          <w:szCs w:val="16"/>
        </w:rPr>
        <w:t>，石方</w:t>
      </w:r>
      <w:r>
        <w:rPr>
          <w:szCs w:val="16"/>
        </w:rPr>
        <w:t>700.5m3</w:t>
      </w:r>
      <w:r>
        <w:rPr>
          <w:szCs w:val="16"/>
        </w:rPr>
        <w:t>，表土</w:t>
      </w:r>
      <w:r>
        <w:rPr>
          <w:szCs w:val="16"/>
        </w:rPr>
        <w:t>1375m3</w:t>
      </w:r>
      <w:r>
        <w:rPr>
          <w:szCs w:val="16"/>
        </w:rPr>
        <w:t>），回填土石方量</w:t>
      </w:r>
      <w:r>
        <w:rPr>
          <w:szCs w:val="16"/>
        </w:rPr>
        <w:t>3271.8m3</w:t>
      </w:r>
      <w:r>
        <w:rPr>
          <w:szCs w:val="16"/>
        </w:rPr>
        <w:t>（其中土方</w:t>
      </w:r>
      <w:r>
        <w:rPr>
          <w:szCs w:val="16"/>
        </w:rPr>
        <w:t>1196.3m3</w:t>
      </w:r>
      <w:r>
        <w:rPr>
          <w:szCs w:val="16"/>
        </w:rPr>
        <w:t>，石方</w:t>
      </w:r>
      <w:r>
        <w:rPr>
          <w:szCs w:val="16"/>
        </w:rPr>
        <w:t>700.5m3</w:t>
      </w:r>
      <w:r>
        <w:rPr>
          <w:szCs w:val="16"/>
        </w:rPr>
        <w:t>，表土</w:t>
      </w:r>
      <w:r>
        <w:rPr>
          <w:szCs w:val="16"/>
        </w:rPr>
        <w:t>1375m3</w:t>
      </w:r>
      <w:r>
        <w:rPr>
          <w:szCs w:val="16"/>
        </w:rPr>
        <w:t>），无废弃土石方产生。土石方调配平衡情况详见表</w:t>
      </w:r>
      <w:r>
        <w:rPr>
          <w:rFonts w:hint="eastAsia"/>
          <w:szCs w:val="16"/>
        </w:rPr>
        <w:t>1</w:t>
      </w:r>
      <w:r>
        <w:rPr>
          <w:szCs w:val="16"/>
        </w:rPr>
        <w:t>-4</w:t>
      </w:r>
      <w:r>
        <w:rPr>
          <w:szCs w:val="16"/>
        </w:rPr>
        <w:t>。</w:t>
      </w:r>
    </w:p>
    <w:p w:rsidR="00F44F7B" w:rsidRDefault="00730D49">
      <w:pPr>
        <w:jc w:val="center"/>
        <w:rPr>
          <w:b/>
          <w:sz w:val="22"/>
          <w:szCs w:val="22"/>
        </w:rPr>
      </w:pPr>
      <w:r>
        <w:rPr>
          <w:b/>
          <w:sz w:val="22"/>
          <w:szCs w:val="22"/>
        </w:rPr>
        <w:t>表</w:t>
      </w:r>
      <w:r>
        <w:rPr>
          <w:rFonts w:hint="eastAsia"/>
          <w:b/>
          <w:sz w:val="22"/>
          <w:szCs w:val="22"/>
        </w:rPr>
        <w:t>1</w:t>
      </w:r>
      <w:r>
        <w:rPr>
          <w:b/>
          <w:sz w:val="22"/>
          <w:szCs w:val="22"/>
        </w:rPr>
        <w:t xml:space="preserve">-3  </w:t>
      </w:r>
      <w:r>
        <w:rPr>
          <w:b/>
          <w:sz w:val="22"/>
          <w:szCs w:val="22"/>
        </w:rPr>
        <w:t>表土平衡表</w:t>
      </w:r>
      <w:r>
        <w:rPr>
          <w:b/>
          <w:sz w:val="22"/>
          <w:szCs w:val="22"/>
        </w:rPr>
        <w:t xml:space="preserve">        </w:t>
      </w:r>
      <w:r>
        <w:rPr>
          <w:b/>
          <w:sz w:val="22"/>
          <w:szCs w:val="22"/>
        </w:rPr>
        <w:t>单位：</w:t>
      </w:r>
      <w:r>
        <w:rPr>
          <w:b/>
          <w:sz w:val="22"/>
          <w:szCs w:val="22"/>
        </w:rPr>
        <w:t>m³</w:t>
      </w:r>
    </w:p>
    <w:tbl>
      <w:tblPr>
        <w:tblW w:w="4998" w:type="pct"/>
        <w:tblCellMar>
          <w:left w:w="0" w:type="dxa"/>
          <w:right w:w="0" w:type="dxa"/>
        </w:tblCellMar>
        <w:tblLook w:val="04A0" w:firstRow="1" w:lastRow="0" w:firstColumn="1" w:lastColumn="0" w:noHBand="0" w:noVBand="1"/>
      </w:tblPr>
      <w:tblGrid>
        <w:gridCol w:w="2362"/>
        <w:gridCol w:w="1604"/>
        <w:gridCol w:w="1604"/>
        <w:gridCol w:w="1602"/>
        <w:gridCol w:w="1602"/>
      </w:tblGrid>
      <w:tr w:rsidR="00F44F7B">
        <w:trPr>
          <w:trHeight w:val="270"/>
        </w:trPr>
        <w:tc>
          <w:tcPr>
            <w:tcW w:w="1346" w:type="pct"/>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项目组成</w:t>
            </w:r>
          </w:p>
        </w:tc>
        <w:tc>
          <w:tcPr>
            <w:tcW w:w="1828" w:type="pct"/>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表土剥离</w:t>
            </w:r>
          </w:p>
        </w:tc>
        <w:tc>
          <w:tcPr>
            <w:tcW w:w="1826" w:type="pct"/>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覆土回填</w:t>
            </w:r>
          </w:p>
        </w:tc>
      </w:tr>
      <w:tr w:rsidR="00F44F7B">
        <w:trPr>
          <w:trHeight w:val="270"/>
        </w:trPr>
        <w:tc>
          <w:tcPr>
            <w:tcW w:w="1346"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widowControl/>
              <w:jc w:val="center"/>
              <w:textAlignment w:val="center"/>
              <w:rPr>
                <w:kern w:val="0"/>
                <w:sz w:val="21"/>
                <w:szCs w:val="21"/>
                <w:lang w:bidi="ar"/>
              </w:rPr>
            </w:pPr>
          </w:p>
        </w:tc>
        <w:tc>
          <w:tcPr>
            <w:tcW w:w="91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小计</w:t>
            </w:r>
          </w:p>
        </w:tc>
        <w:tc>
          <w:tcPr>
            <w:tcW w:w="91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表土</w:t>
            </w:r>
          </w:p>
        </w:tc>
        <w:tc>
          <w:tcPr>
            <w:tcW w:w="91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小计</w:t>
            </w:r>
          </w:p>
        </w:tc>
        <w:tc>
          <w:tcPr>
            <w:tcW w:w="91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表土</w:t>
            </w:r>
          </w:p>
        </w:tc>
      </w:tr>
      <w:tr w:rsidR="00F44F7B">
        <w:trPr>
          <w:trHeight w:val="270"/>
        </w:trPr>
        <w:tc>
          <w:tcPr>
            <w:tcW w:w="134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kern w:val="0"/>
                <w:sz w:val="21"/>
                <w:szCs w:val="21"/>
                <w:lang w:bidi="ar"/>
              </w:rPr>
            </w:pPr>
            <w:r>
              <w:rPr>
                <w:rFonts w:hint="eastAsia"/>
                <w:kern w:val="0"/>
                <w:sz w:val="21"/>
                <w:szCs w:val="21"/>
                <w:lang w:bidi="ar"/>
              </w:rPr>
              <w:t>建构筑物区</w:t>
            </w:r>
          </w:p>
        </w:tc>
        <w:tc>
          <w:tcPr>
            <w:tcW w:w="91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1000</w:t>
            </w:r>
          </w:p>
        </w:tc>
        <w:tc>
          <w:tcPr>
            <w:tcW w:w="91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tcPr>
          <w:p w:rsidR="00F44F7B" w:rsidRDefault="00730D49">
            <w:pPr>
              <w:jc w:val="center"/>
            </w:pPr>
            <w:r>
              <w:rPr>
                <w:kern w:val="0"/>
                <w:sz w:val="21"/>
                <w:szCs w:val="21"/>
                <w:lang w:bidi="ar"/>
              </w:rPr>
              <w:t>1000</w:t>
            </w:r>
          </w:p>
        </w:tc>
        <w:tc>
          <w:tcPr>
            <w:tcW w:w="91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tcPr>
          <w:p w:rsidR="00F44F7B" w:rsidRDefault="00730D49">
            <w:pPr>
              <w:jc w:val="center"/>
            </w:pPr>
            <w:r>
              <w:rPr>
                <w:kern w:val="0"/>
                <w:sz w:val="21"/>
                <w:szCs w:val="21"/>
                <w:lang w:bidi="ar"/>
              </w:rPr>
              <w:t>1000</w:t>
            </w:r>
          </w:p>
        </w:tc>
        <w:tc>
          <w:tcPr>
            <w:tcW w:w="91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tcPr>
          <w:p w:rsidR="00F44F7B" w:rsidRDefault="00730D49">
            <w:pPr>
              <w:jc w:val="center"/>
            </w:pPr>
            <w:r>
              <w:rPr>
                <w:kern w:val="0"/>
                <w:sz w:val="21"/>
                <w:szCs w:val="21"/>
                <w:lang w:bidi="ar"/>
              </w:rPr>
              <w:t>1000</w:t>
            </w:r>
          </w:p>
        </w:tc>
      </w:tr>
      <w:tr w:rsidR="00F44F7B">
        <w:trPr>
          <w:trHeight w:val="270"/>
        </w:trPr>
        <w:tc>
          <w:tcPr>
            <w:tcW w:w="134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kern w:val="0"/>
                <w:sz w:val="21"/>
                <w:szCs w:val="21"/>
                <w:lang w:bidi="ar"/>
              </w:rPr>
            </w:pPr>
            <w:r>
              <w:rPr>
                <w:rFonts w:hint="eastAsia"/>
                <w:kern w:val="0"/>
                <w:sz w:val="21"/>
                <w:szCs w:val="21"/>
                <w:lang w:bidi="ar"/>
              </w:rPr>
              <w:t>配套设施</w:t>
            </w:r>
            <w:r>
              <w:rPr>
                <w:kern w:val="0"/>
                <w:sz w:val="21"/>
                <w:szCs w:val="21"/>
                <w:lang w:bidi="ar"/>
              </w:rPr>
              <w:t>区</w:t>
            </w:r>
          </w:p>
        </w:tc>
        <w:tc>
          <w:tcPr>
            <w:tcW w:w="91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375</w:t>
            </w:r>
          </w:p>
        </w:tc>
        <w:tc>
          <w:tcPr>
            <w:tcW w:w="91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tcPr>
          <w:p w:rsidR="00F44F7B" w:rsidRDefault="00730D49">
            <w:pPr>
              <w:jc w:val="center"/>
            </w:pPr>
            <w:r>
              <w:rPr>
                <w:kern w:val="0"/>
                <w:sz w:val="21"/>
                <w:szCs w:val="21"/>
                <w:lang w:bidi="ar"/>
              </w:rPr>
              <w:t>375</w:t>
            </w:r>
          </w:p>
        </w:tc>
        <w:tc>
          <w:tcPr>
            <w:tcW w:w="91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tcPr>
          <w:p w:rsidR="00F44F7B" w:rsidRDefault="00730D49">
            <w:pPr>
              <w:jc w:val="center"/>
            </w:pPr>
            <w:r>
              <w:rPr>
                <w:kern w:val="0"/>
                <w:sz w:val="21"/>
                <w:szCs w:val="21"/>
                <w:lang w:bidi="ar"/>
              </w:rPr>
              <w:t>375</w:t>
            </w:r>
          </w:p>
        </w:tc>
        <w:tc>
          <w:tcPr>
            <w:tcW w:w="91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tcPr>
          <w:p w:rsidR="00F44F7B" w:rsidRDefault="00730D49">
            <w:pPr>
              <w:jc w:val="center"/>
            </w:pPr>
            <w:r>
              <w:rPr>
                <w:kern w:val="0"/>
                <w:sz w:val="21"/>
                <w:szCs w:val="21"/>
                <w:lang w:bidi="ar"/>
              </w:rPr>
              <w:t>375</w:t>
            </w:r>
          </w:p>
        </w:tc>
      </w:tr>
      <w:tr w:rsidR="00F44F7B">
        <w:trPr>
          <w:trHeight w:val="270"/>
        </w:trPr>
        <w:tc>
          <w:tcPr>
            <w:tcW w:w="134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合计</w:t>
            </w:r>
          </w:p>
        </w:tc>
        <w:tc>
          <w:tcPr>
            <w:tcW w:w="91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1375</w:t>
            </w:r>
          </w:p>
        </w:tc>
        <w:tc>
          <w:tcPr>
            <w:tcW w:w="91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tcPr>
          <w:p w:rsidR="00F44F7B" w:rsidRDefault="00730D49">
            <w:pPr>
              <w:jc w:val="center"/>
            </w:pPr>
            <w:r>
              <w:rPr>
                <w:kern w:val="0"/>
                <w:sz w:val="21"/>
                <w:szCs w:val="21"/>
                <w:lang w:bidi="ar"/>
              </w:rPr>
              <w:t>1375</w:t>
            </w:r>
          </w:p>
        </w:tc>
        <w:tc>
          <w:tcPr>
            <w:tcW w:w="91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tcPr>
          <w:p w:rsidR="00F44F7B" w:rsidRDefault="00730D49">
            <w:pPr>
              <w:jc w:val="center"/>
            </w:pPr>
            <w:r>
              <w:rPr>
                <w:kern w:val="0"/>
                <w:sz w:val="21"/>
                <w:szCs w:val="21"/>
                <w:lang w:bidi="ar"/>
              </w:rPr>
              <w:t>1375</w:t>
            </w:r>
          </w:p>
        </w:tc>
        <w:tc>
          <w:tcPr>
            <w:tcW w:w="91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tcPr>
          <w:p w:rsidR="00F44F7B" w:rsidRDefault="00730D49">
            <w:pPr>
              <w:jc w:val="center"/>
            </w:pPr>
            <w:r>
              <w:rPr>
                <w:kern w:val="0"/>
                <w:sz w:val="21"/>
                <w:szCs w:val="21"/>
                <w:lang w:bidi="ar"/>
              </w:rPr>
              <w:t>1375</w:t>
            </w:r>
          </w:p>
        </w:tc>
      </w:tr>
    </w:tbl>
    <w:p w:rsidR="00F44F7B" w:rsidRDefault="00730D49">
      <w:pPr>
        <w:widowControl/>
        <w:spacing w:beforeLines="50" w:before="156" w:line="276" w:lineRule="auto"/>
        <w:jc w:val="center"/>
        <w:textAlignment w:val="center"/>
        <w:rPr>
          <w:b/>
          <w:bCs/>
          <w:kern w:val="0"/>
          <w:sz w:val="22"/>
          <w:szCs w:val="22"/>
          <w:lang w:bidi="ar"/>
        </w:rPr>
      </w:pPr>
      <w:r>
        <w:rPr>
          <w:b/>
          <w:bCs/>
          <w:kern w:val="0"/>
          <w:sz w:val="22"/>
          <w:szCs w:val="22"/>
          <w:lang w:bidi="ar"/>
        </w:rPr>
        <w:t>表</w:t>
      </w:r>
      <w:r>
        <w:rPr>
          <w:rFonts w:hint="eastAsia"/>
          <w:b/>
          <w:bCs/>
          <w:kern w:val="0"/>
          <w:sz w:val="22"/>
          <w:szCs w:val="22"/>
          <w:lang w:bidi="ar"/>
        </w:rPr>
        <w:t>1</w:t>
      </w:r>
      <w:r>
        <w:rPr>
          <w:b/>
          <w:bCs/>
          <w:kern w:val="0"/>
          <w:sz w:val="22"/>
          <w:szCs w:val="22"/>
          <w:lang w:bidi="ar"/>
        </w:rPr>
        <w:t xml:space="preserve">-4  </w:t>
      </w:r>
      <w:r>
        <w:rPr>
          <w:b/>
          <w:bCs/>
          <w:kern w:val="0"/>
          <w:sz w:val="22"/>
          <w:szCs w:val="22"/>
          <w:lang w:bidi="ar"/>
        </w:rPr>
        <w:t>建设期土石方量及调配表</w:t>
      </w:r>
    </w:p>
    <w:tbl>
      <w:tblPr>
        <w:tblW w:w="4929" w:type="pct"/>
        <w:tblCellMar>
          <w:left w:w="0" w:type="dxa"/>
          <w:right w:w="0" w:type="dxa"/>
        </w:tblCellMar>
        <w:tblLook w:val="04A0" w:firstRow="1" w:lastRow="0" w:firstColumn="1" w:lastColumn="0" w:noHBand="0" w:noVBand="1"/>
      </w:tblPr>
      <w:tblGrid>
        <w:gridCol w:w="1361"/>
        <w:gridCol w:w="608"/>
        <w:gridCol w:w="704"/>
        <w:gridCol w:w="704"/>
        <w:gridCol w:w="714"/>
        <w:gridCol w:w="704"/>
        <w:gridCol w:w="704"/>
        <w:gridCol w:w="704"/>
        <w:gridCol w:w="714"/>
        <w:gridCol w:w="1736"/>
      </w:tblGrid>
      <w:tr w:rsidR="00F44F7B">
        <w:trPr>
          <w:trHeight w:val="270"/>
        </w:trPr>
        <w:tc>
          <w:tcPr>
            <w:tcW w:w="788" w:type="pct"/>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项目组成</w:t>
            </w:r>
          </w:p>
        </w:tc>
        <w:tc>
          <w:tcPr>
            <w:tcW w:w="1570" w:type="pct"/>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挖</w:t>
            </w:r>
            <w:r>
              <w:rPr>
                <w:kern w:val="0"/>
                <w:sz w:val="21"/>
                <w:szCs w:val="21"/>
                <w:lang w:bidi="ar"/>
              </w:rPr>
              <w:t xml:space="preserve"> </w:t>
            </w:r>
            <w:r>
              <w:rPr>
                <w:kern w:val="0"/>
                <w:sz w:val="21"/>
                <w:szCs w:val="21"/>
                <w:lang w:bidi="ar"/>
              </w:rPr>
              <w:t>方（</w:t>
            </w:r>
            <w:r>
              <w:rPr>
                <w:kern w:val="0"/>
                <w:sz w:val="21"/>
                <w:szCs w:val="21"/>
                <w:lang w:bidi="ar"/>
              </w:rPr>
              <w:t>m</w:t>
            </w:r>
            <w:r>
              <w:rPr>
                <w:kern w:val="0"/>
                <w:sz w:val="21"/>
                <w:szCs w:val="21"/>
                <w:vertAlign w:val="superscript"/>
                <w:lang w:bidi="ar"/>
              </w:rPr>
              <w:t>3</w:t>
            </w:r>
            <w:r>
              <w:rPr>
                <w:kern w:val="0"/>
                <w:sz w:val="21"/>
                <w:szCs w:val="21"/>
                <w:lang w:bidi="ar"/>
              </w:rPr>
              <w:t>）</w:t>
            </w:r>
          </w:p>
        </w:tc>
        <w:tc>
          <w:tcPr>
            <w:tcW w:w="1638" w:type="pct"/>
            <w:gridSpan w:val="4"/>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填</w:t>
            </w:r>
            <w:r>
              <w:rPr>
                <w:kern w:val="0"/>
                <w:sz w:val="21"/>
                <w:szCs w:val="21"/>
                <w:lang w:bidi="ar"/>
              </w:rPr>
              <w:t xml:space="preserve"> </w:t>
            </w:r>
            <w:r>
              <w:rPr>
                <w:kern w:val="0"/>
                <w:sz w:val="21"/>
                <w:szCs w:val="21"/>
                <w:lang w:bidi="ar"/>
              </w:rPr>
              <w:t>方（</w:t>
            </w:r>
            <w:r>
              <w:rPr>
                <w:kern w:val="0"/>
                <w:sz w:val="21"/>
                <w:szCs w:val="21"/>
                <w:lang w:bidi="ar"/>
              </w:rPr>
              <w:t>m</w:t>
            </w:r>
            <w:r>
              <w:rPr>
                <w:kern w:val="0"/>
                <w:sz w:val="21"/>
                <w:szCs w:val="21"/>
                <w:vertAlign w:val="superscript"/>
                <w:lang w:bidi="ar"/>
              </w:rPr>
              <w:t>3</w:t>
            </w:r>
            <w:r>
              <w:rPr>
                <w:kern w:val="0"/>
                <w:sz w:val="21"/>
                <w:szCs w:val="21"/>
                <w:lang w:bidi="ar"/>
              </w:rPr>
              <w:t>）</w:t>
            </w:r>
          </w:p>
        </w:tc>
        <w:tc>
          <w:tcPr>
            <w:tcW w:w="1005" w:type="pct"/>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废弃土石方（</w:t>
            </w:r>
            <w:r>
              <w:rPr>
                <w:kern w:val="0"/>
                <w:sz w:val="21"/>
                <w:szCs w:val="21"/>
                <w:lang w:bidi="ar"/>
              </w:rPr>
              <w:t>m</w:t>
            </w:r>
            <w:r>
              <w:rPr>
                <w:kern w:val="0"/>
                <w:sz w:val="21"/>
                <w:szCs w:val="21"/>
                <w:vertAlign w:val="superscript"/>
                <w:lang w:bidi="ar"/>
              </w:rPr>
              <w:t>3</w:t>
            </w:r>
            <w:r>
              <w:rPr>
                <w:kern w:val="0"/>
                <w:sz w:val="21"/>
                <w:szCs w:val="21"/>
                <w:lang w:bidi="ar"/>
              </w:rPr>
              <w:t>）</w:t>
            </w:r>
          </w:p>
        </w:tc>
      </w:tr>
      <w:tr w:rsidR="00F44F7B">
        <w:trPr>
          <w:trHeight w:val="270"/>
        </w:trPr>
        <w:tc>
          <w:tcPr>
            <w:tcW w:w="788"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widowControl/>
              <w:jc w:val="center"/>
              <w:textAlignment w:val="center"/>
              <w:rPr>
                <w:kern w:val="0"/>
                <w:sz w:val="21"/>
                <w:szCs w:val="21"/>
                <w:lang w:bidi="ar"/>
              </w:rPr>
            </w:pPr>
          </w:p>
        </w:tc>
        <w:tc>
          <w:tcPr>
            <w:tcW w:w="34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小计</w:t>
            </w:r>
          </w:p>
        </w:tc>
        <w:tc>
          <w:tcPr>
            <w:tcW w:w="4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土方</w:t>
            </w:r>
          </w:p>
        </w:tc>
        <w:tc>
          <w:tcPr>
            <w:tcW w:w="4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石方</w:t>
            </w:r>
          </w:p>
        </w:tc>
        <w:tc>
          <w:tcPr>
            <w:tcW w:w="41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表土</w:t>
            </w:r>
          </w:p>
        </w:tc>
        <w:tc>
          <w:tcPr>
            <w:tcW w:w="4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小计</w:t>
            </w:r>
          </w:p>
        </w:tc>
        <w:tc>
          <w:tcPr>
            <w:tcW w:w="4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土方</w:t>
            </w:r>
          </w:p>
        </w:tc>
        <w:tc>
          <w:tcPr>
            <w:tcW w:w="4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石方</w:t>
            </w:r>
          </w:p>
        </w:tc>
        <w:tc>
          <w:tcPr>
            <w:tcW w:w="41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表土</w:t>
            </w:r>
          </w:p>
        </w:tc>
        <w:tc>
          <w:tcPr>
            <w:tcW w:w="1005"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widowControl/>
              <w:jc w:val="center"/>
              <w:textAlignment w:val="center"/>
              <w:rPr>
                <w:kern w:val="0"/>
                <w:sz w:val="21"/>
                <w:szCs w:val="21"/>
                <w:lang w:bidi="ar"/>
              </w:rPr>
            </w:pPr>
          </w:p>
        </w:tc>
      </w:tr>
      <w:tr w:rsidR="00F44F7B">
        <w:trPr>
          <w:trHeight w:val="270"/>
        </w:trPr>
        <w:tc>
          <w:tcPr>
            <w:tcW w:w="78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kern w:val="0"/>
                <w:sz w:val="21"/>
                <w:szCs w:val="21"/>
                <w:lang w:bidi="ar"/>
              </w:rPr>
            </w:pPr>
            <w:r>
              <w:rPr>
                <w:rFonts w:hint="eastAsia"/>
                <w:kern w:val="0"/>
                <w:sz w:val="21"/>
                <w:szCs w:val="21"/>
                <w:lang w:bidi="ar"/>
              </w:rPr>
              <w:t>建构筑物区</w:t>
            </w:r>
          </w:p>
        </w:tc>
        <w:tc>
          <w:tcPr>
            <w:tcW w:w="34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textAlignment w:val="center"/>
              <w:rPr>
                <w:kern w:val="0"/>
                <w:sz w:val="21"/>
                <w:szCs w:val="21"/>
                <w:lang w:bidi="ar"/>
              </w:rPr>
            </w:pPr>
            <w:r>
              <w:rPr>
                <w:kern w:val="0"/>
                <w:sz w:val="21"/>
                <w:szCs w:val="21"/>
                <w:lang w:bidi="ar"/>
              </w:rPr>
              <w:t>1196.3</w:t>
            </w:r>
          </w:p>
        </w:tc>
        <w:tc>
          <w:tcPr>
            <w:tcW w:w="4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996</w:t>
            </w:r>
          </w:p>
        </w:tc>
        <w:tc>
          <w:tcPr>
            <w:tcW w:w="4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500.1</w:t>
            </w:r>
          </w:p>
        </w:tc>
        <w:tc>
          <w:tcPr>
            <w:tcW w:w="41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1000</w:t>
            </w:r>
          </w:p>
        </w:tc>
        <w:tc>
          <w:tcPr>
            <w:tcW w:w="4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textAlignment w:val="center"/>
              <w:rPr>
                <w:kern w:val="0"/>
                <w:sz w:val="21"/>
                <w:szCs w:val="21"/>
                <w:lang w:bidi="ar"/>
              </w:rPr>
            </w:pPr>
            <w:r>
              <w:rPr>
                <w:kern w:val="0"/>
                <w:sz w:val="21"/>
                <w:szCs w:val="21"/>
                <w:lang w:bidi="ar"/>
              </w:rPr>
              <w:t>1196.3</w:t>
            </w:r>
          </w:p>
        </w:tc>
        <w:tc>
          <w:tcPr>
            <w:tcW w:w="4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996</w:t>
            </w:r>
          </w:p>
        </w:tc>
        <w:tc>
          <w:tcPr>
            <w:tcW w:w="4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500.1</w:t>
            </w:r>
          </w:p>
        </w:tc>
        <w:tc>
          <w:tcPr>
            <w:tcW w:w="41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1000</w:t>
            </w:r>
          </w:p>
        </w:tc>
        <w:tc>
          <w:tcPr>
            <w:tcW w:w="1005" w:type="pct"/>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无废弃土石方</w:t>
            </w:r>
          </w:p>
        </w:tc>
      </w:tr>
      <w:tr w:rsidR="00F44F7B">
        <w:trPr>
          <w:trHeight w:val="270"/>
        </w:trPr>
        <w:tc>
          <w:tcPr>
            <w:tcW w:w="78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kern w:val="0"/>
                <w:sz w:val="21"/>
                <w:szCs w:val="21"/>
                <w:lang w:bidi="ar"/>
              </w:rPr>
            </w:pPr>
            <w:r>
              <w:rPr>
                <w:rFonts w:hint="eastAsia"/>
                <w:kern w:val="0"/>
                <w:sz w:val="21"/>
                <w:szCs w:val="21"/>
                <w:lang w:bidi="ar"/>
              </w:rPr>
              <w:t>配套设施</w:t>
            </w:r>
            <w:r>
              <w:rPr>
                <w:kern w:val="0"/>
                <w:sz w:val="21"/>
                <w:szCs w:val="21"/>
                <w:lang w:bidi="ar"/>
              </w:rPr>
              <w:t>区</w:t>
            </w:r>
          </w:p>
        </w:tc>
        <w:tc>
          <w:tcPr>
            <w:tcW w:w="34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kern w:val="0"/>
                <w:sz w:val="21"/>
                <w:szCs w:val="21"/>
                <w:lang w:bidi="ar"/>
              </w:rPr>
            </w:pPr>
            <w:r>
              <w:rPr>
                <w:rFonts w:hint="eastAsia"/>
                <w:kern w:val="0"/>
                <w:sz w:val="21"/>
                <w:szCs w:val="21"/>
                <w:lang w:bidi="ar"/>
              </w:rPr>
              <w:t>7</w:t>
            </w:r>
            <w:r>
              <w:rPr>
                <w:kern w:val="0"/>
                <w:sz w:val="21"/>
                <w:szCs w:val="21"/>
                <w:lang w:bidi="ar"/>
              </w:rPr>
              <w:t>595</w:t>
            </w:r>
          </w:p>
        </w:tc>
        <w:tc>
          <w:tcPr>
            <w:tcW w:w="4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200.3</w:t>
            </w:r>
          </w:p>
        </w:tc>
        <w:tc>
          <w:tcPr>
            <w:tcW w:w="4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200.4</w:t>
            </w:r>
          </w:p>
        </w:tc>
        <w:tc>
          <w:tcPr>
            <w:tcW w:w="41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375</w:t>
            </w:r>
          </w:p>
        </w:tc>
        <w:tc>
          <w:tcPr>
            <w:tcW w:w="4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kern w:val="0"/>
                <w:sz w:val="21"/>
                <w:szCs w:val="21"/>
                <w:lang w:bidi="ar"/>
              </w:rPr>
            </w:pPr>
            <w:r>
              <w:rPr>
                <w:rFonts w:hint="eastAsia"/>
                <w:kern w:val="0"/>
                <w:sz w:val="21"/>
                <w:szCs w:val="21"/>
                <w:lang w:bidi="ar"/>
              </w:rPr>
              <w:t>7</w:t>
            </w:r>
            <w:r>
              <w:rPr>
                <w:kern w:val="0"/>
                <w:sz w:val="21"/>
                <w:szCs w:val="21"/>
                <w:lang w:bidi="ar"/>
              </w:rPr>
              <w:t>595</w:t>
            </w:r>
          </w:p>
        </w:tc>
        <w:tc>
          <w:tcPr>
            <w:tcW w:w="4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200.3</w:t>
            </w:r>
          </w:p>
        </w:tc>
        <w:tc>
          <w:tcPr>
            <w:tcW w:w="4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200.4</w:t>
            </w:r>
          </w:p>
        </w:tc>
        <w:tc>
          <w:tcPr>
            <w:tcW w:w="41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375</w:t>
            </w:r>
          </w:p>
        </w:tc>
        <w:tc>
          <w:tcPr>
            <w:tcW w:w="1005"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widowControl/>
              <w:jc w:val="center"/>
              <w:textAlignment w:val="center"/>
              <w:rPr>
                <w:kern w:val="0"/>
                <w:sz w:val="21"/>
                <w:szCs w:val="21"/>
                <w:lang w:bidi="ar"/>
              </w:rPr>
            </w:pPr>
          </w:p>
        </w:tc>
      </w:tr>
      <w:tr w:rsidR="00F44F7B">
        <w:trPr>
          <w:trHeight w:val="270"/>
        </w:trPr>
        <w:tc>
          <w:tcPr>
            <w:tcW w:w="788"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合计</w:t>
            </w:r>
          </w:p>
        </w:tc>
        <w:tc>
          <w:tcPr>
            <w:tcW w:w="34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3271.8</w:t>
            </w:r>
          </w:p>
        </w:tc>
        <w:tc>
          <w:tcPr>
            <w:tcW w:w="4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1196.3</w:t>
            </w:r>
          </w:p>
        </w:tc>
        <w:tc>
          <w:tcPr>
            <w:tcW w:w="4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700.5</w:t>
            </w:r>
          </w:p>
        </w:tc>
        <w:tc>
          <w:tcPr>
            <w:tcW w:w="41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1375</w:t>
            </w:r>
          </w:p>
        </w:tc>
        <w:tc>
          <w:tcPr>
            <w:tcW w:w="4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3271.8</w:t>
            </w:r>
          </w:p>
        </w:tc>
        <w:tc>
          <w:tcPr>
            <w:tcW w:w="4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1196.3</w:t>
            </w:r>
          </w:p>
        </w:tc>
        <w:tc>
          <w:tcPr>
            <w:tcW w:w="40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700.5</w:t>
            </w:r>
          </w:p>
        </w:tc>
        <w:tc>
          <w:tcPr>
            <w:tcW w:w="41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1375</w:t>
            </w:r>
          </w:p>
        </w:tc>
        <w:tc>
          <w:tcPr>
            <w:tcW w:w="1005"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widowControl/>
              <w:jc w:val="center"/>
              <w:textAlignment w:val="center"/>
              <w:rPr>
                <w:kern w:val="0"/>
                <w:sz w:val="21"/>
                <w:szCs w:val="21"/>
                <w:lang w:bidi="ar"/>
              </w:rPr>
            </w:pPr>
          </w:p>
        </w:tc>
      </w:tr>
    </w:tbl>
    <w:p w:rsidR="00F44F7B" w:rsidRDefault="00730D49">
      <w:pPr>
        <w:pStyle w:val="2"/>
        <w:spacing w:beforeLines="50" w:before="156"/>
      </w:pPr>
      <w:bookmarkStart w:id="21" w:name="_Toc13511"/>
      <w:r>
        <w:t>1.</w:t>
      </w:r>
      <w:r>
        <w:rPr>
          <w:rFonts w:hint="eastAsia"/>
        </w:rPr>
        <w:t>9</w:t>
      </w:r>
      <w:r>
        <w:rPr>
          <w:rFonts w:hint="eastAsia"/>
        </w:rPr>
        <w:t>工程投资及施工进度</w:t>
      </w:r>
      <w:bookmarkEnd w:id="21"/>
    </w:p>
    <w:p w:rsidR="00F44F7B" w:rsidRDefault="00730D49">
      <w:pPr>
        <w:pStyle w:val="BZDL1"/>
        <w:spacing w:beforeLines="0" w:before="0" w:afterLines="0" w:after="0" w:line="360" w:lineRule="auto"/>
        <w:ind w:firstLine="480"/>
        <w:rPr>
          <w:rFonts w:ascii="Times New Roman"/>
          <w:sz w:val="24"/>
          <w:szCs w:val="16"/>
        </w:rPr>
      </w:pPr>
      <w:r>
        <w:rPr>
          <w:rFonts w:ascii="Times New Roman"/>
          <w:sz w:val="24"/>
          <w:szCs w:val="16"/>
        </w:rPr>
        <w:t>建设工期：</w:t>
      </w:r>
      <w:r>
        <w:rPr>
          <w:rFonts w:ascii="Times New Roman" w:hint="eastAsia"/>
          <w:sz w:val="24"/>
          <w:szCs w:val="16"/>
        </w:rPr>
        <w:t>本项目已于</w:t>
      </w:r>
      <w:r>
        <w:rPr>
          <w:rFonts w:ascii="Times New Roman" w:hint="eastAsia"/>
          <w:sz w:val="24"/>
          <w:szCs w:val="16"/>
        </w:rPr>
        <w:t>2017</w:t>
      </w:r>
      <w:r>
        <w:rPr>
          <w:rFonts w:ascii="Times New Roman" w:hint="eastAsia"/>
          <w:sz w:val="24"/>
          <w:szCs w:val="16"/>
        </w:rPr>
        <w:t>年</w:t>
      </w:r>
      <w:r>
        <w:rPr>
          <w:rFonts w:ascii="Times New Roman" w:hint="eastAsia"/>
          <w:sz w:val="24"/>
          <w:szCs w:val="16"/>
        </w:rPr>
        <w:t>4</w:t>
      </w:r>
      <w:r>
        <w:rPr>
          <w:rFonts w:ascii="Times New Roman" w:hint="eastAsia"/>
          <w:sz w:val="24"/>
          <w:szCs w:val="16"/>
        </w:rPr>
        <w:t>月开工建设，</w:t>
      </w:r>
      <w:r>
        <w:rPr>
          <w:rFonts w:ascii="Times New Roman" w:hint="eastAsia"/>
          <w:sz w:val="24"/>
          <w:szCs w:val="16"/>
        </w:rPr>
        <w:t>2017</w:t>
      </w:r>
      <w:r>
        <w:rPr>
          <w:rFonts w:ascii="Times New Roman" w:hint="eastAsia"/>
          <w:sz w:val="24"/>
          <w:szCs w:val="16"/>
        </w:rPr>
        <w:t>年</w:t>
      </w:r>
      <w:r>
        <w:rPr>
          <w:rFonts w:ascii="Times New Roman" w:hint="eastAsia"/>
          <w:sz w:val="24"/>
          <w:szCs w:val="16"/>
        </w:rPr>
        <w:t>12</w:t>
      </w:r>
      <w:r>
        <w:rPr>
          <w:rFonts w:ascii="Times New Roman" w:hint="eastAsia"/>
          <w:sz w:val="24"/>
          <w:szCs w:val="16"/>
        </w:rPr>
        <w:t>月竣工，建设总工期为</w:t>
      </w:r>
      <w:r>
        <w:rPr>
          <w:rFonts w:ascii="Times New Roman" w:hint="eastAsia"/>
          <w:sz w:val="24"/>
          <w:szCs w:val="16"/>
        </w:rPr>
        <w:t>9</w:t>
      </w:r>
      <w:r>
        <w:rPr>
          <w:rFonts w:ascii="Times New Roman" w:hint="eastAsia"/>
          <w:sz w:val="24"/>
          <w:szCs w:val="16"/>
        </w:rPr>
        <w:t>个月，本《方案》</w:t>
      </w:r>
      <w:r>
        <w:rPr>
          <w:rFonts w:ascii="Times New Roman" w:hint="eastAsia"/>
          <w:sz w:val="24"/>
          <w:szCs w:val="16"/>
        </w:rPr>
        <w:t>为</w:t>
      </w:r>
      <w:r>
        <w:rPr>
          <w:rFonts w:ascii="Times New Roman" w:hint="eastAsia"/>
          <w:sz w:val="24"/>
          <w:szCs w:val="16"/>
        </w:rPr>
        <w:t>补报方案</w:t>
      </w:r>
      <w:r>
        <w:rPr>
          <w:rFonts w:ascii="Times New Roman" w:hint="eastAsia"/>
          <w:sz w:val="24"/>
          <w:szCs w:val="16"/>
        </w:rPr>
        <w:t>。</w:t>
      </w:r>
    </w:p>
    <w:p w:rsidR="00F44F7B" w:rsidRDefault="00730D49">
      <w:pPr>
        <w:pStyle w:val="BZDL1"/>
        <w:spacing w:beforeLines="0" w:before="0" w:afterLines="0" w:after="0" w:line="360" w:lineRule="auto"/>
        <w:ind w:firstLine="480"/>
        <w:rPr>
          <w:rFonts w:ascii="Times New Roman"/>
          <w:sz w:val="24"/>
          <w:szCs w:val="16"/>
        </w:rPr>
      </w:pPr>
      <w:r>
        <w:rPr>
          <w:rFonts w:ascii="Times New Roman" w:hint="eastAsia"/>
          <w:sz w:val="24"/>
          <w:szCs w:val="16"/>
        </w:rPr>
        <w:t>建设投资：总投资</w:t>
      </w:r>
      <w:r>
        <w:rPr>
          <w:rFonts w:ascii="Times New Roman" w:hint="eastAsia"/>
          <w:sz w:val="24"/>
          <w:szCs w:val="16"/>
        </w:rPr>
        <w:t>540</w:t>
      </w:r>
      <w:r>
        <w:rPr>
          <w:rFonts w:ascii="Times New Roman"/>
          <w:sz w:val="24"/>
          <w:szCs w:val="16"/>
        </w:rPr>
        <w:t>.00</w:t>
      </w:r>
      <w:r>
        <w:rPr>
          <w:rFonts w:ascii="Times New Roman" w:hint="eastAsia"/>
          <w:sz w:val="24"/>
          <w:szCs w:val="16"/>
        </w:rPr>
        <w:t>万元，其中土建投资</w:t>
      </w:r>
      <w:r>
        <w:rPr>
          <w:rFonts w:ascii="Times New Roman" w:hint="eastAsia"/>
          <w:sz w:val="24"/>
          <w:szCs w:val="16"/>
        </w:rPr>
        <w:t>244</w:t>
      </w:r>
      <w:r>
        <w:rPr>
          <w:rFonts w:ascii="Times New Roman"/>
          <w:sz w:val="24"/>
          <w:szCs w:val="16"/>
        </w:rPr>
        <w:t>.00</w:t>
      </w:r>
      <w:r>
        <w:rPr>
          <w:rFonts w:ascii="Times New Roman" w:hint="eastAsia"/>
          <w:sz w:val="24"/>
          <w:szCs w:val="16"/>
        </w:rPr>
        <w:t>万元。</w:t>
      </w:r>
    </w:p>
    <w:p w:rsidR="00F44F7B" w:rsidRDefault="00730D49">
      <w:pPr>
        <w:pStyle w:val="2"/>
      </w:pPr>
      <w:bookmarkStart w:id="22" w:name="_Toc23651"/>
      <w:bookmarkStart w:id="23" w:name="_Toc62144048"/>
      <w:r>
        <w:rPr>
          <w:rFonts w:hint="eastAsia"/>
        </w:rPr>
        <w:lastRenderedPageBreak/>
        <w:t>1</w:t>
      </w:r>
      <w:r>
        <w:t>.</w:t>
      </w:r>
      <w:r>
        <w:rPr>
          <w:rFonts w:hint="eastAsia"/>
        </w:rPr>
        <w:t>10</w:t>
      </w:r>
      <w:r>
        <w:rPr>
          <w:rFonts w:hint="eastAsia"/>
        </w:rPr>
        <w:t>水土流失防治的执行标准</w:t>
      </w:r>
      <w:bookmarkEnd w:id="22"/>
      <w:bookmarkEnd w:id="23"/>
    </w:p>
    <w:p w:rsidR="00F44F7B" w:rsidRDefault="00730D49">
      <w:pPr>
        <w:pStyle w:val="BZDL1"/>
        <w:spacing w:beforeLines="0" w:before="0" w:afterLines="0" w:after="0" w:line="360" w:lineRule="auto"/>
        <w:ind w:firstLine="480"/>
        <w:rPr>
          <w:rFonts w:ascii="Times New Roman"/>
          <w:sz w:val="24"/>
          <w:szCs w:val="16"/>
        </w:rPr>
      </w:pPr>
      <w:r>
        <w:rPr>
          <w:rFonts w:ascii="Times New Roman" w:hint="eastAsia"/>
          <w:sz w:val="24"/>
          <w:szCs w:val="16"/>
        </w:rPr>
        <w:t>仪陇县公安局城西、度门、光华派出所业务用房建设项目</w:t>
      </w:r>
      <w:r>
        <w:rPr>
          <w:rFonts w:ascii="Times New Roman"/>
          <w:sz w:val="24"/>
          <w:szCs w:val="16"/>
        </w:rPr>
        <w:t>。根据《全国水土保持规划国家级水土流失重点预防区和重点治理区复核划分成果》（办水保</w:t>
      </w:r>
      <w:r>
        <w:rPr>
          <w:rFonts w:ascii="Times New Roman"/>
          <w:sz w:val="24"/>
          <w:szCs w:val="16"/>
        </w:rPr>
        <w:t>[2013]188</w:t>
      </w:r>
      <w:r>
        <w:rPr>
          <w:rFonts w:ascii="Times New Roman"/>
          <w:sz w:val="24"/>
          <w:szCs w:val="16"/>
        </w:rPr>
        <w:t>号），本项目</w:t>
      </w:r>
      <w:r>
        <w:rPr>
          <w:rFonts w:ascii="Times New Roman" w:hint="eastAsia"/>
          <w:sz w:val="24"/>
          <w:szCs w:val="16"/>
        </w:rPr>
        <w:t>所在的仪陇县</w:t>
      </w:r>
      <w:r>
        <w:rPr>
          <w:rFonts w:ascii="Times New Roman"/>
          <w:sz w:val="24"/>
          <w:szCs w:val="16"/>
        </w:rPr>
        <w:t>属于嘉陵江及沱江中下游国家级水土流失重点治理区。按照《生产建设项目水土流失防治标准》（</w:t>
      </w:r>
      <w:r>
        <w:rPr>
          <w:rFonts w:ascii="Times New Roman"/>
          <w:sz w:val="24"/>
          <w:szCs w:val="16"/>
        </w:rPr>
        <w:t>GB</w:t>
      </w:r>
      <w:r>
        <w:rPr>
          <w:rFonts w:ascii="Times New Roman" w:hint="eastAsia"/>
          <w:sz w:val="24"/>
          <w:szCs w:val="16"/>
        </w:rPr>
        <w:t xml:space="preserve">/T </w:t>
      </w:r>
      <w:r>
        <w:rPr>
          <w:rFonts w:ascii="Times New Roman"/>
          <w:sz w:val="24"/>
          <w:szCs w:val="16"/>
        </w:rPr>
        <w:t>50434-2018</w:t>
      </w:r>
      <w:r>
        <w:rPr>
          <w:rFonts w:ascii="Times New Roman"/>
          <w:sz w:val="24"/>
          <w:szCs w:val="16"/>
        </w:rPr>
        <w:t>），确定本项目执行西南紫色土区水土流失防治一级标准。</w:t>
      </w:r>
    </w:p>
    <w:p w:rsidR="00F44F7B" w:rsidRDefault="00730D49">
      <w:pPr>
        <w:pStyle w:val="BZDL1"/>
        <w:spacing w:beforeLines="0" w:before="0" w:afterLines="0" w:after="0" w:line="360" w:lineRule="auto"/>
        <w:ind w:firstLine="480"/>
        <w:rPr>
          <w:rFonts w:ascii="Times New Roman"/>
          <w:color w:val="0000FF"/>
          <w:sz w:val="24"/>
          <w:szCs w:val="16"/>
        </w:rPr>
      </w:pPr>
      <w:r>
        <w:rPr>
          <w:rFonts w:ascii="Times New Roman"/>
          <w:color w:val="0000FF"/>
          <w:sz w:val="24"/>
          <w:szCs w:val="16"/>
        </w:rPr>
        <w:t>由于地貌类型、干旱程度、土壤侵蚀强度</w:t>
      </w:r>
      <w:r>
        <w:rPr>
          <w:rFonts w:ascii="Times New Roman" w:hint="eastAsia"/>
          <w:color w:val="0000FF"/>
          <w:sz w:val="24"/>
          <w:szCs w:val="16"/>
        </w:rPr>
        <w:t>及项目所在地区（城区和非城区）</w:t>
      </w:r>
      <w:r>
        <w:rPr>
          <w:rFonts w:ascii="Times New Roman"/>
          <w:color w:val="0000FF"/>
          <w:sz w:val="24"/>
          <w:szCs w:val="16"/>
        </w:rPr>
        <w:t>等的差异，对表</w:t>
      </w:r>
      <w:r>
        <w:rPr>
          <w:rFonts w:ascii="Times New Roman"/>
          <w:color w:val="0000FF"/>
          <w:sz w:val="24"/>
          <w:szCs w:val="16"/>
        </w:rPr>
        <w:t>5-1</w:t>
      </w:r>
      <w:r>
        <w:rPr>
          <w:rFonts w:ascii="Times New Roman"/>
          <w:color w:val="0000FF"/>
          <w:sz w:val="24"/>
          <w:szCs w:val="16"/>
        </w:rPr>
        <w:t>中的基准值需作适当修正，修正值按照《生产建设项目水土流失防治标准》（</w:t>
      </w:r>
      <w:r>
        <w:rPr>
          <w:rFonts w:ascii="Times New Roman"/>
          <w:color w:val="0000FF"/>
          <w:sz w:val="24"/>
          <w:szCs w:val="16"/>
        </w:rPr>
        <w:t>GB</w:t>
      </w:r>
      <w:r>
        <w:rPr>
          <w:rFonts w:ascii="Times New Roman" w:hint="eastAsia"/>
          <w:color w:val="0000FF"/>
          <w:sz w:val="24"/>
          <w:szCs w:val="16"/>
        </w:rPr>
        <w:t>/T</w:t>
      </w:r>
      <w:r>
        <w:rPr>
          <w:rFonts w:ascii="Times New Roman"/>
          <w:color w:val="0000FF"/>
          <w:sz w:val="24"/>
          <w:szCs w:val="16"/>
        </w:rPr>
        <w:t>50434-2018</w:t>
      </w:r>
      <w:r>
        <w:rPr>
          <w:rFonts w:ascii="Times New Roman"/>
          <w:color w:val="0000FF"/>
          <w:sz w:val="24"/>
          <w:szCs w:val="16"/>
        </w:rPr>
        <w:t>）的规定进行合理取值</w:t>
      </w:r>
      <w:r>
        <w:rPr>
          <w:rFonts w:ascii="Times New Roman" w:hint="eastAsia"/>
          <w:color w:val="0000FF"/>
          <w:sz w:val="24"/>
          <w:szCs w:val="16"/>
        </w:rPr>
        <w:t>。</w:t>
      </w:r>
      <w:r>
        <w:rPr>
          <w:rFonts w:ascii="Times New Roman" w:hint="eastAsia"/>
          <w:color w:val="0000FF"/>
          <w:sz w:val="24"/>
          <w:szCs w:val="16"/>
        </w:rPr>
        <w:t>详见表。</w:t>
      </w:r>
    </w:p>
    <w:p w:rsidR="00F44F7B" w:rsidRDefault="00730D49">
      <w:pPr>
        <w:jc w:val="center"/>
        <w:rPr>
          <w:b/>
          <w:color w:val="0000FF"/>
          <w:sz w:val="22"/>
          <w:szCs w:val="22"/>
        </w:rPr>
      </w:pPr>
      <w:r>
        <w:rPr>
          <w:b/>
          <w:color w:val="0000FF"/>
          <w:sz w:val="22"/>
          <w:szCs w:val="22"/>
        </w:rPr>
        <w:t>表</w:t>
      </w:r>
      <w:r>
        <w:rPr>
          <w:rFonts w:hint="eastAsia"/>
          <w:b/>
          <w:color w:val="0000FF"/>
          <w:sz w:val="22"/>
          <w:szCs w:val="22"/>
        </w:rPr>
        <w:t>1</w:t>
      </w:r>
      <w:r>
        <w:rPr>
          <w:b/>
          <w:color w:val="0000FF"/>
          <w:sz w:val="22"/>
          <w:szCs w:val="22"/>
        </w:rPr>
        <w:t>-</w:t>
      </w:r>
      <w:r>
        <w:rPr>
          <w:rFonts w:hint="eastAsia"/>
          <w:b/>
          <w:color w:val="0000FF"/>
          <w:sz w:val="22"/>
          <w:szCs w:val="22"/>
        </w:rPr>
        <w:t xml:space="preserve">5 </w:t>
      </w:r>
      <w:r>
        <w:rPr>
          <w:rFonts w:hint="eastAsia"/>
          <w:b/>
          <w:color w:val="0000FF"/>
          <w:sz w:val="22"/>
          <w:szCs w:val="22"/>
        </w:rPr>
        <w:t>水土流失防治目标计算表</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19"/>
        <w:gridCol w:w="520"/>
        <w:gridCol w:w="740"/>
        <w:gridCol w:w="889"/>
        <w:gridCol w:w="946"/>
        <w:gridCol w:w="870"/>
        <w:gridCol w:w="765"/>
        <w:gridCol w:w="788"/>
        <w:gridCol w:w="630"/>
        <w:gridCol w:w="707"/>
      </w:tblGrid>
      <w:tr w:rsidR="00F44F7B">
        <w:trPr>
          <w:trHeight w:val="340"/>
          <w:tblHeader/>
          <w:jc w:val="center"/>
        </w:trPr>
        <w:tc>
          <w:tcPr>
            <w:tcW w:w="1093" w:type="pct"/>
            <w:vMerge w:val="restart"/>
            <w:vAlign w:val="center"/>
          </w:tcPr>
          <w:p w:rsidR="00F44F7B" w:rsidRDefault="00730D49">
            <w:pPr>
              <w:widowControl/>
              <w:jc w:val="center"/>
              <w:textAlignment w:val="center"/>
              <w:rPr>
                <w:color w:val="0000FF"/>
                <w:sz w:val="21"/>
                <w:szCs w:val="21"/>
                <w:u w:color="000000"/>
              </w:rPr>
            </w:pPr>
            <w:r>
              <w:rPr>
                <w:color w:val="0000FF"/>
                <w:kern w:val="0"/>
                <w:sz w:val="21"/>
                <w:szCs w:val="21"/>
                <w:u w:color="000000"/>
                <w:lang w:bidi="ar"/>
              </w:rPr>
              <w:t>防治指标</w:t>
            </w:r>
          </w:p>
        </w:tc>
        <w:tc>
          <w:tcPr>
            <w:tcW w:w="717" w:type="pct"/>
            <w:gridSpan w:val="2"/>
            <w:vAlign w:val="center"/>
          </w:tcPr>
          <w:p w:rsidR="00F44F7B" w:rsidRDefault="00730D49">
            <w:pPr>
              <w:widowControl/>
              <w:jc w:val="center"/>
              <w:textAlignment w:val="center"/>
              <w:rPr>
                <w:color w:val="0000FF"/>
                <w:sz w:val="21"/>
                <w:szCs w:val="21"/>
                <w:u w:color="000000"/>
              </w:rPr>
            </w:pPr>
            <w:r>
              <w:rPr>
                <w:color w:val="0000FF"/>
                <w:kern w:val="0"/>
                <w:sz w:val="21"/>
                <w:szCs w:val="21"/>
                <w:u w:color="000000"/>
                <w:lang w:bidi="ar"/>
              </w:rPr>
              <w:t>规定标准值</w:t>
            </w:r>
          </w:p>
        </w:tc>
        <w:tc>
          <w:tcPr>
            <w:tcW w:w="2426" w:type="pct"/>
            <w:gridSpan w:val="5"/>
            <w:vAlign w:val="center"/>
          </w:tcPr>
          <w:p w:rsidR="00F44F7B" w:rsidRDefault="00730D49">
            <w:pPr>
              <w:widowControl/>
              <w:jc w:val="center"/>
              <w:textAlignment w:val="center"/>
              <w:rPr>
                <w:color w:val="0000FF"/>
                <w:kern w:val="0"/>
                <w:sz w:val="21"/>
                <w:szCs w:val="21"/>
                <w:u w:color="000000"/>
                <w:lang w:bidi="ar"/>
              </w:rPr>
            </w:pPr>
            <w:r>
              <w:rPr>
                <w:color w:val="0000FF"/>
                <w:kern w:val="0"/>
                <w:sz w:val="21"/>
                <w:szCs w:val="21"/>
                <w:u w:color="000000"/>
                <w:lang w:bidi="ar"/>
              </w:rPr>
              <w:t>修正值</w:t>
            </w:r>
          </w:p>
        </w:tc>
        <w:tc>
          <w:tcPr>
            <w:tcW w:w="762" w:type="pct"/>
            <w:gridSpan w:val="2"/>
            <w:vAlign w:val="center"/>
          </w:tcPr>
          <w:p w:rsidR="00F44F7B" w:rsidRDefault="00730D49">
            <w:pPr>
              <w:widowControl/>
              <w:jc w:val="center"/>
              <w:textAlignment w:val="center"/>
              <w:rPr>
                <w:color w:val="0000FF"/>
                <w:sz w:val="21"/>
                <w:szCs w:val="21"/>
                <w:u w:color="000000"/>
              </w:rPr>
            </w:pPr>
            <w:r>
              <w:rPr>
                <w:color w:val="0000FF"/>
                <w:kern w:val="0"/>
                <w:sz w:val="21"/>
                <w:szCs w:val="21"/>
                <w:u w:color="000000"/>
                <w:lang w:bidi="ar"/>
              </w:rPr>
              <w:t>采用标准值</w:t>
            </w:r>
          </w:p>
        </w:tc>
      </w:tr>
      <w:tr w:rsidR="00F44F7B">
        <w:trPr>
          <w:trHeight w:val="340"/>
          <w:tblHeader/>
          <w:jc w:val="center"/>
        </w:trPr>
        <w:tc>
          <w:tcPr>
            <w:tcW w:w="1093" w:type="pct"/>
            <w:vMerge/>
            <w:vAlign w:val="center"/>
          </w:tcPr>
          <w:p w:rsidR="00F44F7B" w:rsidRDefault="00F44F7B">
            <w:pPr>
              <w:jc w:val="center"/>
              <w:rPr>
                <w:color w:val="0000FF"/>
                <w:sz w:val="21"/>
                <w:szCs w:val="21"/>
                <w:u w:color="000000"/>
              </w:rPr>
            </w:pPr>
          </w:p>
        </w:tc>
        <w:tc>
          <w:tcPr>
            <w:tcW w:w="296" w:type="pct"/>
            <w:vAlign w:val="center"/>
          </w:tcPr>
          <w:p w:rsidR="00F44F7B" w:rsidRDefault="00730D49">
            <w:pPr>
              <w:widowControl/>
              <w:jc w:val="center"/>
              <w:textAlignment w:val="center"/>
              <w:rPr>
                <w:color w:val="0000FF"/>
                <w:sz w:val="21"/>
                <w:szCs w:val="21"/>
                <w:u w:color="000000"/>
              </w:rPr>
            </w:pPr>
            <w:r>
              <w:rPr>
                <w:color w:val="0000FF"/>
                <w:kern w:val="0"/>
                <w:sz w:val="21"/>
                <w:szCs w:val="21"/>
                <w:u w:color="000000"/>
                <w:lang w:bidi="ar"/>
              </w:rPr>
              <w:t>施工期</w:t>
            </w:r>
          </w:p>
        </w:tc>
        <w:tc>
          <w:tcPr>
            <w:tcW w:w="421" w:type="pct"/>
            <w:vAlign w:val="center"/>
          </w:tcPr>
          <w:p w:rsidR="00F44F7B" w:rsidRDefault="00730D49">
            <w:pPr>
              <w:widowControl/>
              <w:jc w:val="center"/>
              <w:textAlignment w:val="center"/>
              <w:rPr>
                <w:color w:val="0000FF"/>
                <w:sz w:val="21"/>
                <w:szCs w:val="21"/>
                <w:u w:color="000000"/>
              </w:rPr>
            </w:pPr>
            <w:r>
              <w:rPr>
                <w:color w:val="0000FF"/>
                <w:kern w:val="0"/>
                <w:sz w:val="21"/>
                <w:szCs w:val="21"/>
                <w:u w:color="000000"/>
                <w:lang w:bidi="ar"/>
              </w:rPr>
              <w:t>设计水平年</w:t>
            </w:r>
          </w:p>
        </w:tc>
        <w:tc>
          <w:tcPr>
            <w:tcW w:w="506" w:type="pct"/>
            <w:vAlign w:val="center"/>
          </w:tcPr>
          <w:p w:rsidR="00F44F7B" w:rsidRDefault="00730D49">
            <w:pPr>
              <w:widowControl/>
              <w:jc w:val="center"/>
              <w:textAlignment w:val="center"/>
              <w:rPr>
                <w:color w:val="0000FF"/>
                <w:sz w:val="21"/>
                <w:szCs w:val="21"/>
                <w:u w:color="000000"/>
              </w:rPr>
            </w:pPr>
            <w:r>
              <w:rPr>
                <w:color w:val="0000FF"/>
                <w:kern w:val="0"/>
                <w:sz w:val="21"/>
                <w:szCs w:val="21"/>
                <w:u w:color="000000"/>
                <w:lang w:bidi="ar"/>
              </w:rPr>
              <w:t>干旱程度修正值</w:t>
            </w:r>
          </w:p>
        </w:tc>
        <w:tc>
          <w:tcPr>
            <w:tcW w:w="539" w:type="pct"/>
            <w:vAlign w:val="center"/>
          </w:tcPr>
          <w:p w:rsidR="00F44F7B" w:rsidRDefault="00730D49">
            <w:pPr>
              <w:widowControl/>
              <w:jc w:val="center"/>
              <w:textAlignment w:val="center"/>
              <w:rPr>
                <w:color w:val="0000FF"/>
                <w:sz w:val="21"/>
                <w:szCs w:val="21"/>
                <w:u w:color="000000"/>
              </w:rPr>
            </w:pPr>
            <w:r>
              <w:rPr>
                <w:color w:val="0000FF"/>
                <w:kern w:val="0"/>
                <w:sz w:val="21"/>
                <w:szCs w:val="21"/>
                <w:u w:color="000000"/>
                <w:lang w:bidi="ar"/>
              </w:rPr>
              <w:t>土壤侵蚀强度修正值</w:t>
            </w:r>
          </w:p>
        </w:tc>
        <w:tc>
          <w:tcPr>
            <w:tcW w:w="496" w:type="pct"/>
            <w:vAlign w:val="center"/>
          </w:tcPr>
          <w:p w:rsidR="00F44F7B" w:rsidRDefault="00730D49">
            <w:pPr>
              <w:widowControl/>
              <w:jc w:val="center"/>
              <w:textAlignment w:val="center"/>
              <w:rPr>
                <w:color w:val="0000FF"/>
                <w:sz w:val="21"/>
                <w:szCs w:val="21"/>
                <w:u w:color="000000"/>
              </w:rPr>
            </w:pPr>
            <w:r>
              <w:rPr>
                <w:color w:val="0000FF"/>
                <w:kern w:val="0"/>
                <w:sz w:val="21"/>
                <w:szCs w:val="21"/>
                <w:u w:color="000000"/>
                <w:lang w:bidi="ar"/>
              </w:rPr>
              <w:t>地形地貌修正值</w:t>
            </w:r>
          </w:p>
        </w:tc>
        <w:tc>
          <w:tcPr>
            <w:tcW w:w="436" w:type="pct"/>
            <w:vAlign w:val="center"/>
          </w:tcPr>
          <w:p w:rsidR="00F44F7B" w:rsidRDefault="00730D49">
            <w:pPr>
              <w:widowControl/>
              <w:jc w:val="center"/>
              <w:textAlignment w:val="center"/>
              <w:rPr>
                <w:color w:val="0000FF"/>
                <w:kern w:val="0"/>
                <w:sz w:val="21"/>
                <w:szCs w:val="21"/>
                <w:u w:color="000000"/>
                <w:lang w:bidi="ar"/>
              </w:rPr>
            </w:pPr>
            <w:r>
              <w:rPr>
                <w:rFonts w:hint="eastAsia"/>
                <w:color w:val="0000FF"/>
                <w:kern w:val="0"/>
                <w:sz w:val="21"/>
                <w:szCs w:val="21"/>
                <w:u w:color="000000"/>
                <w:lang w:bidi="ar"/>
              </w:rPr>
              <w:t>其他修正值</w:t>
            </w:r>
          </w:p>
        </w:tc>
        <w:tc>
          <w:tcPr>
            <w:tcW w:w="447" w:type="pct"/>
            <w:vAlign w:val="center"/>
          </w:tcPr>
          <w:p w:rsidR="00F44F7B" w:rsidRDefault="00730D49">
            <w:pPr>
              <w:widowControl/>
              <w:jc w:val="center"/>
              <w:textAlignment w:val="center"/>
              <w:rPr>
                <w:color w:val="0000FF"/>
                <w:kern w:val="0"/>
                <w:sz w:val="21"/>
                <w:szCs w:val="21"/>
                <w:u w:color="000000"/>
                <w:lang w:bidi="ar"/>
              </w:rPr>
            </w:pPr>
            <w:r>
              <w:rPr>
                <w:rFonts w:hint="eastAsia"/>
                <w:color w:val="0000FF"/>
                <w:kern w:val="0"/>
                <w:sz w:val="21"/>
                <w:szCs w:val="21"/>
                <w:u w:color="000000"/>
                <w:lang w:bidi="ar"/>
              </w:rPr>
              <w:t>约束性规定修正值</w:t>
            </w:r>
          </w:p>
        </w:tc>
        <w:tc>
          <w:tcPr>
            <w:tcW w:w="359" w:type="pct"/>
            <w:vAlign w:val="center"/>
          </w:tcPr>
          <w:p w:rsidR="00F44F7B" w:rsidRDefault="00730D49">
            <w:pPr>
              <w:widowControl/>
              <w:jc w:val="center"/>
              <w:textAlignment w:val="center"/>
              <w:rPr>
                <w:color w:val="0000FF"/>
                <w:sz w:val="21"/>
                <w:szCs w:val="21"/>
                <w:u w:color="000000"/>
              </w:rPr>
            </w:pPr>
            <w:r>
              <w:rPr>
                <w:color w:val="0000FF"/>
                <w:kern w:val="0"/>
                <w:sz w:val="21"/>
                <w:szCs w:val="21"/>
                <w:u w:color="000000"/>
                <w:lang w:bidi="ar"/>
              </w:rPr>
              <w:t>施工期</w:t>
            </w:r>
          </w:p>
        </w:tc>
        <w:tc>
          <w:tcPr>
            <w:tcW w:w="402" w:type="pct"/>
            <w:vAlign w:val="center"/>
          </w:tcPr>
          <w:p w:rsidR="00F44F7B" w:rsidRDefault="00730D49">
            <w:pPr>
              <w:widowControl/>
              <w:jc w:val="center"/>
              <w:textAlignment w:val="center"/>
              <w:rPr>
                <w:color w:val="0000FF"/>
                <w:sz w:val="21"/>
                <w:szCs w:val="21"/>
                <w:u w:color="000000"/>
              </w:rPr>
            </w:pPr>
            <w:r>
              <w:rPr>
                <w:color w:val="0000FF"/>
                <w:kern w:val="0"/>
                <w:sz w:val="21"/>
                <w:szCs w:val="21"/>
                <w:u w:color="000000"/>
                <w:lang w:bidi="ar"/>
              </w:rPr>
              <w:t>设计水平年</w:t>
            </w:r>
          </w:p>
        </w:tc>
      </w:tr>
      <w:tr w:rsidR="00F44F7B">
        <w:trPr>
          <w:trHeight w:val="340"/>
          <w:jc w:val="center"/>
        </w:trPr>
        <w:tc>
          <w:tcPr>
            <w:tcW w:w="1093" w:type="pct"/>
            <w:vAlign w:val="center"/>
          </w:tcPr>
          <w:p w:rsidR="00F44F7B" w:rsidRDefault="00730D49">
            <w:pPr>
              <w:widowControl/>
              <w:jc w:val="center"/>
              <w:textAlignment w:val="center"/>
              <w:rPr>
                <w:color w:val="0000FF"/>
                <w:sz w:val="21"/>
                <w:szCs w:val="21"/>
                <w:u w:color="000000"/>
              </w:rPr>
            </w:pPr>
            <w:r>
              <w:rPr>
                <w:color w:val="0000FF"/>
                <w:kern w:val="0"/>
                <w:sz w:val="21"/>
                <w:szCs w:val="21"/>
                <w:u w:color="000000"/>
                <w:lang w:bidi="ar"/>
              </w:rPr>
              <w:t>1</w:t>
            </w:r>
            <w:r>
              <w:rPr>
                <w:color w:val="0000FF"/>
                <w:kern w:val="0"/>
                <w:sz w:val="21"/>
                <w:szCs w:val="21"/>
                <w:u w:color="000000"/>
                <w:lang w:bidi="ar"/>
              </w:rPr>
              <w:t>、水土流失治理度（</w:t>
            </w:r>
            <w:r>
              <w:rPr>
                <w:color w:val="0000FF"/>
                <w:kern w:val="0"/>
                <w:sz w:val="21"/>
                <w:szCs w:val="21"/>
                <w:u w:color="000000"/>
                <w:lang w:bidi="ar"/>
              </w:rPr>
              <w:t>%</w:t>
            </w:r>
            <w:r>
              <w:rPr>
                <w:color w:val="0000FF"/>
                <w:kern w:val="0"/>
                <w:sz w:val="21"/>
                <w:szCs w:val="21"/>
                <w:u w:color="000000"/>
                <w:lang w:bidi="ar"/>
              </w:rPr>
              <w:t>）</w:t>
            </w:r>
          </w:p>
        </w:tc>
        <w:tc>
          <w:tcPr>
            <w:tcW w:w="296" w:type="pct"/>
            <w:vAlign w:val="center"/>
          </w:tcPr>
          <w:p w:rsidR="00F44F7B" w:rsidRDefault="00730D49">
            <w:pPr>
              <w:widowControl/>
              <w:jc w:val="center"/>
              <w:textAlignment w:val="center"/>
              <w:rPr>
                <w:color w:val="0000FF"/>
                <w:sz w:val="21"/>
                <w:szCs w:val="21"/>
                <w:u w:color="000000"/>
              </w:rPr>
            </w:pPr>
            <w:r>
              <w:rPr>
                <w:color w:val="0000FF"/>
                <w:kern w:val="0"/>
                <w:sz w:val="21"/>
                <w:szCs w:val="21"/>
                <w:u w:color="000000"/>
                <w:lang w:bidi="ar"/>
              </w:rPr>
              <w:t>—</w:t>
            </w:r>
          </w:p>
        </w:tc>
        <w:tc>
          <w:tcPr>
            <w:tcW w:w="421" w:type="pct"/>
            <w:vAlign w:val="center"/>
          </w:tcPr>
          <w:p w:rsidR="00F44F7B" w:rsidRDefault="00730D49">
            <w:pPr>
              <w:widowControl/>
              <w:jc w:val="center"/>
              <w:textAlignment w:val="center"/>
              <w:rPr>
                <w:color w:val="0000FF"/>
                <w:sz w:val="21"/>
                <w:szCs w:val="21"/>
                <w:u w:color="000000"/>
              </w:rPr>
            </w:pPr>
            <w:r>
              <w:rPr>
                <w:color w:val="0000FF"/>
                <w:kern w:val="0"/>
                <w:sz w:val="21"/>
                <w:szCs w:val="21"/>
                <w:u w:color="000000"/>
                <w:lang w:bidi="ar"/>
              </w:rPr>
              <w:t>97</w:t>
            </w:r>
          </w:p>
        </w:tc>
        <w:tc>
          <w:tcPr>
            <w:tcW w:w="506" w:type="pct"/>
            <w:vAlign w:val="center"/>
          </w:tcPr>
          <w:p w:rsidR="00F44F7B" w:rsidRDefault="00F44F7B">
            <w:pPr>
              <w:jc w:val="center"/>
              <w:rPr>
                <w:color w:val="0000FF"/>
                <w:sz w:val="21"/>
                <w:szCs w:val="21"/>
                <w:u w:color="000000"/>
              </w:rPr>
            </w:pPr>
          </w:p>
        </w:tc>
        <w:tc>
          <w:tcPr>
            <w:tcW w:w="539" w:type="pct"/>
            <w:vAlign w:val="center"/>
          </w:tcPr>
          <w:p w:rsidR="00F44F7B" w:rsidRDefault="00F44F7B">
            <w:pPr>
              <w:jc w:val="center"/>
              <w:rPr>
                <w:color w:val="0000FF"/>
                <w:sz w:val="21"/>
                <w:szCs w:val="21"/>
                <w:u w:color="000000"/>
              </w:rPr>
            </w:pPr>
          </w:p>
        </w:tc>
        <w:tc>
          <w:tcPr>
            <w:tcW w:w="496" w:type="pct"/>
            <w:vAlign w:val="center"/>
          </w:tcPr>
          <w:p w:rsidR="00F44F7B" w:rsidRDefault="00F44F7B">
            <w:pPr>
              <w:jc w:val="center"/>
              <w:rPr>
                <w:color w:val="0000FF"/>
                <w:sz w:val="21"/>
                <w:szCs w:val="21"/>
                <w:u w:color="000000"/>
              </w:rPr>
            </w:pPr>
          </w:p>
        </w:tc>
        <w:tc>
          <w:tcPr>
            <w:tcW w:w="436" w:type="pct"/>
            <w:vAlign w:val="center"/>
          </w:tcPr>
          <w:p w:rsidR="00F44F7B" w:rsidRDefault="00F44F7B">
            <w:pPr>
              <w:widowControl/>
              <w:jc w:val="center"/>
              <w:textAlignment w:val="center"/>
              <w:rPr>
                <w:color w:val="0000FF"/>
                <w:kern w:val="0"/>
                <w:sz w:val="21"/>
                <w:szCs w:val="21"/>
                <w:u w:color="000000"/>
                <w:lang w:bidi="ar"/>
              </w:rPr>
            </w:pPr>
          </w:p>
        </w:tc>
        <w:tc>
          <w:tcPr>
            <w:tcW w:w="447" w:type="pct"/>
            <w:vAlign w:val="center"/>
          </w:tcPr>
          <w:p w:rsidR="00F44F7B" w:rsidRDefault="00F44F7B">
            <w:pPr>
              <w:widowControl/>
              <w:jc w:val="center"/>
              <w:textAlignment w:val="center"/>
              <w:rPr>
                <w:color w:val="0000FF"/>
                <w:kern w:val="0"/>
                <w:sz w:val="21"/>
                <w:szCs w:val="21"/>
                <w:u w:color="000000"/>
                <w:lang w:bidi="ar"/>
              </w:rPr>
            </w:pPr>
          </w:p>
        </w:tc>
        <w:tc>
          <w:tcPr>
            <w:tcW w:w="359" w:type="pct"/>
            <w:vAlign w:val="center"/>
          </w:tcPr>
          <w:p w:rsidR="00F44F7B" w:rsidRDefault="00730D49">
            <w:pPr>
              <w:widowControl/>
              <w:jc w:val="center"/>
              <w:textAlignment w:val="center"/>
              <w:rPr>
                <w:color w:val="0000FF"/>
                <w:sz w:val="21"/>
                <w:szCs w:val="21"/>
                <w:u w:color="000000"/>
              </w:rPr>
            </w:pPr>
            <w:r>
              <w:rPr>
                <w:color w:val="0000FF"/>
                <w:kern w:val="0"/>
                <w:sz w:val="21"/>
                <w:szCs w:val="21"/>
                <w:u w:color="000000"/>
                <w:lang w:bidi="ar"/>
              </w:rPr>
              <w:t>—</w:t>
            </w:r>
          </w:p>
        </w:tc>
        <w:tc>
          <w:tcPr>
            <w:tcW w:w="402" w:type="pct"/>
            <w:vAlign w:val="center"/>
          </w:tcPr>
          <w:p w:rsidR="00F44F7B" w:rsidRDefault="00730D49">
            <w:pPr>
              <w:widowControl/>
              <w:jc w:val="center"/>
              <w:textAlignment w:val="center"/>
              <w:rPr>
                <w:color w:val="0000FF"/>
                <w:sz w:val="21"/>
                <w:szCs w:val="21"/>
                <w:u w:color="000000"/>
              </w:rPr>
            </w:pPr>
            <w:r>
              <w:rPr>
                <w:color w:val="0000FF"/>
                <w:kern w:val="0"/>
                <w:sz w:val="21"/>
                <w:szCs w:val="21"/>
                <w:u w:color="000000"/>
                <w:lang w:bidi="ar"/>
              </w:rPr>
              <w:t>97</w:t>
            </w:r>
          </w:p>
        </w:tc>
      </w:tr>
      <w:tr w:rsidR="00F44F7B">
        <w:trPr>
          <w:trHeight w:val="340"/>
          <w:jc w:val="center"/>
        </w:trPr>
        <w:tc>
          <w:tcPr>
            <w:tcW w:w="1093" w:type="pct"/>
            <w:vAlign w:val="center"/>
          </w:tcPr>
          <w:p w:rsidR="00F44F7B" w:rsidRDefault="00730D49">
            <w:pPr>
              <w:widowControl/>
              <w:jc w:val="center"/>
              <w:textAlignment w:val="center"/>
              <w:rPr>
                <w:color w:val="0000FF"/>
                <w:sz w:val="21"/>
                <w:szCs w:val="21"/>
                <w:u w:color="000000"/>
              </w:rPr>
            </w:pPr>
            <w:r>
              <w:rPr>
                <w:color w:val="0000FF"/>
                <w:kern w:val="0"/>
                <w:sz w:val="21"/>
                <w:szCs w:val="21"/>
                <w:u w:color="000000"/>
                <w:lang w:bidi="ar"/>
              </w:rPr>
              <w:t>2</w:t>
            </w:r>
            <w:r>
              <w:rPr>
                <w:color w:val="0000FF"/>
                <w:kern w:val="0"/>
                <w:sz w:val="21"/>
                <w:szCs w:val="21"/>
                <w:u w:color="000000"/>
                <w:lang w:bidi="ar"/>
              </w:rPr>
              <w:t>、土壤流失控制比</w:t>
            </w:r>
          </w:p>
        </w:tc>
        <w:tc>
          <w:tcPr>
            <w:tcW w:w="296" w:type="pct"/>
            <w:vAlign w:val="center"/>
          </w:tcPr>
          <w:p w:rsidR="00F44F7B" w:rsidRDefault="00730D49">
            <w:pPr>
              <w:widowControl/>
              <w:jc w:val="center"/>
              <w:textAlignment w:val="center"/>
              <w:rPr>
                <w:color w:val="0000FF"/>
                <w:sz w:val="21"/>
                <w:szCs w:val="21"/>
                <w:u w:color="000000"/>
              </w:rPr>
            </w:pPr>
            <w:r>
              <w:rPr>
                <w:color w:val="0000FF"/>
                <w:kern w:val="0"/>
                <w:sz w:val="21"/>
                <w:szCs w:val="21"/>
                <w:u w:color="000000"/>
                <w:lang w:bidi="ar"/>
              </w:rPr>
              <w:t>—</w:t>
            </w:r>
          </w:p>
        </w:tc>
        <w:tc>
          <w:tcPr>
            <w:tcW w:w="421" w:type="pct"/>
            <w:vAlign w:val="center"/>
          </w:tcPr>
          <w:p w:rsidR="00F44F7B" w:rsidRDefault="00730D49">
            <w:pPr>
              <w:widowControl/>
              <w:jc w:val="center"/>
              <w:textAlignment w:val="center"/>
              <w:rPr>
                <w:color w:val="0000FF"/>
                <w:sz w:val="21"/>
                <w:szCs w:val="21"/>
                <w:u w:color="000000"/>
              </w:rPr>
            </w:pPr>
            <w:r>
              <w:rPr>
                <w:color w:val="0000FF"/>
                <w:kern w:val="0"/>
                <w:sz w:val="21"/>
                <w:szCs w:val="21"/>
                <w:u w:color="000000"/>
                <w:lang w:bidi="ar"/>
              </w:rPr>
              <w:t>0.85</w:t>
            </w:r>
          </w:p>
        </w:tc>
        <w:tc>
          <w:tcPr>
            <w:tcW w:w="506" w:type="pct"/>
            <w:vAlign w:val="center"/>
          </w:tcPr>
          <w:p w:rsidR="00F44F7B" w:rsidRDefault="00F44F7B">
            <w:pPr>
              <w:jc w:val="center"/>
              <w:rPr>
                <w:color w:val="0000FF"/>
                <w:sz w:val="21"/>
                <w:szCs w:val="21"/>
                <w:u w:color="000000"/>
              </w:rPr>
            </w:pPr>
          </w:p>
        </w:tc>
        <w:tc>
          <w:tcPr>
            <w:tcW w:w="539" w:type="pct"/>
            <w:vAlign w:val="center"/>
          </w:tcPr>
          <w:p w:rsidR="00F44F7B" w:rsidRDefault="00730D49">
            <w:pPr>
              <w:widowControl/>
              <w:jc w:val="center"/>
              <w:textAlignment w:val="center"/>
              <w:rPr>
                <w:color w:val="0000FF"/>
                <w:sz w:val="21"/>
                <w:szCs w:val="21"/>
                <w:u w:color="000000"/>
              </w:rPr>
            </w:pPr>
            <w:r>
              <w:rPr>
                <w:color w:val="0000FF"/>
                <w:kern w:val="0"/>
                <w:sz w:val="21"/>
                <w:szCs w:val="21"/>
                <w:u w:color="000000"/>
                <w:lang w:bidi="ar"/>
              </w:rPr>
              <w:t>0.15</w:t>
            </w:r>
          </w:p>
        </w:tc>
        <w:tc>
          <w:tcPr>
            <w:tcW w:w="496" w:type="pct"/>
            <w:vAlign w:val="center"/>
          </w:tcPr>
          <w:p w:rsidR="00F44F7B" w:rsidRDefault="00F44F7B">
            <w:pPr>
              <w:jc w:val="center"/>
              <w:rPr>
                <w:color w:val="0000FF"/>
                <w:sz w:val="21"/>
                <w:szCs w:val="21"/>
                <w:u w:color="000000"/>
              </w:rPr>
            </w:pPr>
          </w:p>
        </w:tc>
        <w:tc>
          <w:tcPr>
            <w:tcW w:w="436" w:type="pct"/>
            <w:vAlign w:val="center"/>
          </w:tcPr>
          <w:p w:rsidR="00F44F7B" w:rsidRDefault="00F44F7B">
            <w:pPr>
              <w:widowControl/>
              <w:jc w:val="center"/>
              <w:textAlignment w:val="center"/>
              <w:rPr>
                <w:color w:val="0000FF"/>
                <w:kern w:val="0"/>
                <w:sz w:val="21"/>
                <w:szCs w:val="21"/>
                <w:u w:color="000000"/>
                <w:lang w:bidi="ar"/>
              </w:rPr>
            </w:pPr>
          </w:p>
        </w:tc>
        <w:tc>
          <w:tcPr>
            <w:tcW w:w="447" w:type="pct"/>
            <w:vAlign w:val="center"/>
          </w:tcPr>
          <w:p w:rsidR="00F44F7B" w:rsidRDefault="00F44F7B">
            <w:pPr>
              <w:widowControl/>
              <w:jc w:val="center"/>
              <w:textAlignment w:val="center"/>
              <w:rPr>
                <w:color w:val="0000FF"/>
                <w:kern w:val="0"/>
                <w:sz w:val="21"/>
                <w:szCs w:val="21"/>
                <w:u w:color="000000"/>
                <w:lang w:bidi="ar"/>
              </w:rPr>
            </w:pPr>
          </w:p>
        </w:tc>
        <w:tc>
          <w:tcPr>
            <w:tcW w:w="359" w:type="pct"/>
            <w:vAlign w:val="center"/>
          </w:tcPr>
          <w:p w:rsidR="00F44F7B" w:rsidRDefault="00730D49">
            <w:pPr>
              <w:widowControl/>
              <w:jc w:val="center"/>
              <w:textAlignment w:val="center"/>
              <w:rPr>
                <w:color w:val="0000FF"/>
                <w:sz w:val="21"/>
                <w:szCs w:val="21"/>
                <w:u w:color="000000"/>
              </w:rPr>
            </w:pPr>
            <w:r>
              <w:rPr>
                <w:color w:val="0000FF"/>
                <w:kern w:val="0"/>
                <w:sz w:val="21"/>
                <w:szCs w:val="21"/>
                <w:u w:color="000000"/>
                <w:lang w:bidi="ar"/>
              </w:rPr>
              <w:t>—</w:t>
            </w:r>
          </w:p>
        </w:tc>
        <w:tc>
          <w:tcPr>
            <w:tcW w:w="402" w:type="pct"/>
            <w:vAlign w:val="center"/>
          </w:tcPr>
          <w:p w:rsidR="00F44F7B" w:rsidRDefault="00730D49">
            <w:pPr>
              <w:widowControl/>
              <w:jc w:val="center"/>
              <w:textAlignment w:val="center"/>
              <w:rPr>
                <w:color w:val="0000FF"/>
                <w:sz w:val="21"/>
                <w:szCs w:val="21"/>
                <w:u w:color="000000"/>
              </w:rPr>
            </w:pPr>
            <w:r>
              <w:rPr>
                <w:color w:val="0000FF"/>
                <w:kern w:val="0"/>
                <w:sz w:val="21"/>
                <w:szCs w:val="21"/>
                <w:u w:color="000000"/>
                <w:lang w:bidi="ar"/>
              </w:rPr>
              <w:t>1.00</w:t>
            </w:r>
          </w:p>
        </w:tc>
      </w:tr>
      <w:tr w:rsidR="00F44F7B">
        <w:trPr>
          <w:trHeight w:val="340"/>
          <w:jc w:val="center"/>
        </w:trPr>
        <w:tc>
          <w:tcPr>
            <w:tcW w:w="1093" w:type="pct"/>
            <w:vAlign w:val="center"/>
          </w:tcPr>
          <w:p w:rsidR="00F44F7B" w:rsidRDefault="00730D49">
            <w:pPr>
              <w:widowControl/>
              <w:jc w:val="center"/>
              <w:textAlignment w:val="center"/>
              <w:rPr>
                <w:color w:val="0000FF"/>
                <w:sz w:val="21"/>
                <w:szCs w:val="21"/>
                <w:u w:color="000000"/>
              </w:rPr>
            </w:pPr>
            <w:r>
              <w:rPr>
                <w:color w:val="0000FF"/>
                <w:kern w:val="0"/>
                <w:sz w:val="21"/>
                <w:szCs w:val="21"/>
                <w:u w:color="000000"/>
                <w:lang w:bidi="ar"/>
              </w:rPr>
              <w:t>3</w:t>
            </w:r>
            <w:r>
              <w:rPr>
                <w:color w:val="0000FF"/>
                <w:kern w:val="0"/>
                <w:sz w:val="21"/>
                <w:szCs w:val="21"/>
                <w:u w:color="000000"/>
                <w:lang w:bidi="ar"/>
              </w:rPr>
              <w:t>、渣土防护率（</w:t>
            </w:r>
            <w:r>
              <w:rPr>
                <w:color w:val="0000FF"/>
                <w:kern w:val="0"/>
                <w:sz w:val="21"/>
                <w:szCs w:val="21"/>
                <w:u w:color="000000"/>
                <w:lang w:bidi="ar"/>
              </w:rPr>
              <w:t>%</w:t>
            </w:r>
            <w:r>
              <w:rPr>
                <w:color w:val="0000FF"/>
                <w:kern w:val="0"/>
                <w:sz w:val="21"/>
                <w:szCs w:val="21"/>
                <w:u w:color="000000"/>
                <w:lang w:bidi="ar"/>
              </w:rPr>
              <w:t>）</w:t>
            </w:r>
          </w:p>
        </w:tc>
        <w:tc>
          <w:tcPr>
            <w:tcW w:w="296" w:type="pct"/>
            <w:vAlign w:val="center"/>
          </w:tcPr>
          <w:p w:rsidR="00F44F7B" w:rsidRDefault="00730D49">
            <w:pPr>
              <w:widowControl/>
              <w:jc w:val="center"/>
              <w:textAlignment w:val="center"/>
              <w:rPr>
                <w:color w:val="0000FF"/>
                <w:sz w:val="21"/>
                <w:szCs w:val="21"/>
                <w:u w:color="000000"/>
              </w:rPr>
            </w:pPr>
            <w:r>
              <w:rPr>
                <w:color w:val="0000FF"/>
                <w:sz w:val="21"/>
                <w:szCs w:val="21"/>
                <w:u w:color="000000"/>
              </w:rPr>
              <w:t>90</w:t>
            </w:r>
          </w:p>
        </w:tc>
        <w:tc>
          <w:tcPr>
            <w:tcW w:w="421" w:type="pct"/>
            <w:vAlign w:val="center"/>
          </w:tcPr>
          <w:p w:rsidR="00F44F7B" w:rsidRDefault="00730D49">
            <w:pPr>
              <w:widowControl/>
              <w:jc w:val="center"/>
              <w:textAlignment w:val="center"/>
              <w:rPr>
                <w:color w:val="0000FF"/>
                <w:sz w:val="21"/>
                <w:szCs w:val="21"/>
                <w:u w:color="000000"/>
              </w:rPr>
            </w:pPr>
            <w:r>
              <w:rPr>
                <w:color w:val="0000FF"/>
                <w:sz w:val="21"/>
                <w:szCs w:val="21"/>
                <w:u w:color="000000"/>
              </w:rPr>
              <w:t>92</w:t>
            </w:r>
          </w:p>
        </w:tc>
        <w:tc>
          <w:tcPr>
            <w:tcW w:w="506" w:type="pct"/>
            <w:vAlign w:val="center"/>
          </w:tcPr>
          <w:p w:rsidR="00F44F7B" w:rsidRDefault="00F44F7B">
            <w:pPr>
              <w:jc w:val="center"/>
              <w:rPr>
                <w:color w:val="0000FF"/>
                <w:sz w:val="21"/>
                <w:szCs w:val="21"/>
                <w:u w:color="000000"/>
              </w:rPr>
            </w:pPr>
          </w:p>
        </w:tc>
        <w:tc>
          <w:tcPr>
            <w:tcW w:w="539" w:type="pct"/>
            <w:vAlign w:val="center"/>
          </w:tcPr>
          <w:p w:rsidR="00F44F7B" w:rsidRDefault="00F44F7B">
            <w:pPr>
              <w:jc w:val="center"/>
              <w:rPr>
                <w:color w:val="0000FF"/>
                <w:sz w:val="21"/>
                <w:szCs w:val="21"/>
                <w:u w:color="000000"/>
              </w:rPr>
            </w:pPr>
          </w:p>
        </w:tc>
        <w:tc>
          <w:tcPr>
            <w:tcW w:w="496" w:type="pct"/>
            <w:vAlign w:val="center"/>
          </w:tcPr>
          <w:p w:rsidR="00F44F7B" w:rsidRDefault="00F44F7B">
            <w:pPr>
              <w:jc w:val="center"/>
              <w:rPr>
                <w:color w:val="0000FF"/>
                <w:sz w:val="21"/>
                <w:szCs w:val="21"/>
                <w:u w:color="000000"/>
              </w:rPr>
            </w:pPr>
          </w:p>
        </w:tc>
        <w:tc>
          <w:tcPr>
            <w:tcW w:w="436" w:type="pct"/>
            <w:vAlign w:val="center"/>
          </w:tcPr>
          <w:p w:rsidR="00F44F7B" w:rsidRDefault="00F44F7B">
            <w:pPr>
              <w:widowControl/>
              <w:jc w:val="center"/>
              <w:textAlignment w:val="center"/>
              <w:rPr>
                <w:color w:val="0000FF"/>
                <w:sz w:val="21"/>
                <w:szCs w:val="21"/>
                <w:u w:color="000000"/>
              </w:rPr>
            </w:pPr>
          </w:p>
        </w:tc>
        <w:tc>
          <w:tcPr>
            <w:tcW w:w="447" w:type="pct"/>
            <w:vAlign w:val="center"/>
          </w:tcPr>
          <w:p w:rsidR="00F44F7B" w:rsidRDefault="00F44F7B">
            <w:pPr>
              <w:widowControl/>
              <w:jc w:val="center"/>
              <w:textAlignment w:val="center"/>
              <w:rPr>
                <w:color w:val="0000FF"/>
                <w:sz w:val="21"/>
                <w:szCs w:val="21"/>
                <w:u w:color="000000"/>
              </w:rPr>
            </w:pPr>
          </w:p>
        </w:tc>
        <w:tc>
          <w:tcPr>
            <w:tcW w:w="359" w:type="pct"/>
            <w:vAlign w:val="center"/>
          </w:tcPr>
          <w:p w:rsidR="00F44F7B" w:rsidRDefault="00730D49">
            <w:pPr>
              <w:widowControl/>
              <w:jc w:val="center"/>
              <w:textAlignment w:val="center"/>
              <w:rPr>
                <w:color w:val="0000FF"/>
                <w:sz w:val="21"/>
                <w:szCs w:val="21"/>
                <w:u w:color="000000"/>
              </w:rPr>
            </w:pPr>
            <w:r>
              <w:rPr>
                <w:color w:val="0000FF"/>
                <w:sz w:val="21"/>
                <w:szCs w:val="21"/>
                <w:u w:color="000000"/>
              </w:rPr>
              <w:t>90</w:t>
            </w:r>
          </w:p>
        </w:tc>
        <w:tc>
          <w:tcPr>
            <w:tcW w:w="402" w:type="pct"/>
            <w:vAlign w:val="center"/>
          </w:tcPr>
          <w:p w:rsidR="00F44F7B" w:rsidRDefault="00730D49">
            <w:pPr>
              <w:widowControl/>
              <w:jc w:val="center"/>
              <w:textAlignment w:val="center"/>
              <w:rPr>
                <w:color w:val="0000FF"/>
                <w:sz w:val="21"/>
                <w:szCs w:val="21"/>
                <w:u w:color="000000"/>
              </w:rPr>
            </w:pPr>
            <w:r>
              <w:rPr>
                <w:rFonts w:hint="eastAsia"/>
                <w:color w:val="0000FF"/>
                <w:sz w:val="21"/>
                <w:szCs w:val="21"/>
                <w:u w:color="000000"/>
              </w:rPr>
              <w:t>92</w:t>
            </w:r>
          </w:p>
        </w:tc>
      </w:tr>
      <w:tr w:rsidR="00F44F7B">
        <w:trPr>
          <w:trHeight w:val="340"/>
          <w:jc w:val="center"/>
        </w:trPr>
        <w:tc>
          <w:tcPr>
            <w:tcW w:w="1093" w:type="pct"/>
            <w:vAlign w:val="center"/>
          </w:tcPr>
          <w:p w:rsidR="00F44F7B" w:rsidRDefault="00730D49">
            <w:pPr>
              <w:widowControl/>
              <w:jc w:val="center"/>
              <w:textAlignment w:val="center"/>
              <w:rPr>
                <w:color w:val="0000FF"/>
                <w:sz w:val="21"/>
                <w:szCs w:val="21"/>
                <w:u w:color="000000"/>
              </w:rPr>
            </w:pPr>
            <w:r>
              <w:rPr>
                <w:color w:val="0000FF"/>
                <w:kern w:val="0"/>
                <w:sz w:val="21"/>
                <w:szCs w:val="21"/>
                <w:u w:color="000000"/>
                <w:lang w:bidi="ar"/>
              </w:rPr>
              <w:t>4</w:t>
            </w:r>
            <w:r>
              <w:rPr>
                <w:color w:val="0000FF"/>
                <w:kern w:val="0"/>
                <w:sz w:val="21"/>
                <w:szCs w:val="21"/>
                <w:u w:color="000000"/>
                <w:lang w:bidi="ar"/>
              </w:rPr>
              <w:t>、表土保护率（</w:t>
            </w:r>
            <w:r>
              <w:rPr>
                <w:color w:val="0000FF"/>
                <w:kern w:val="0"/>
                <w:sz w:val="21"/>
                <w:szCs w:val="21"/>
                <w:u w:color="000000"/>
                <w:lang w:bidi="ar"/>
              </w:rPr>
              <w:t>%</w:t>
            </w:r>
            <w:r>
              <w:rPr>
                <w:color w:val="0000FF"/>
                <w:kern w:val="0"/>
                <w:sz w:val="21"/>
                <w:szCs w:val="21"/>
                <w:u w:color="000000"/>
                <w:lang w:bidi="ar"/>
              </w:rPr>
              <w:t>）</w:t>
            </w:r>
          </w:p>
        </w:tc>
        <w:tc>
          <w:tcPr>
            <w:tcW w:w="296" w:type="pct"/>
            <w:vAlign w:val="center"/>
          </w:tcPr>
          <w:p w:rsidR="00F44F7B" w:rsidRDefault="00730D49">
            <w:pPr>
              <w:widowControl/>
              <w:jc w:val="center"/>
              <w:textAlignment w:val="center"/>
              <w:rPr>
                <w:color w:val="0000FF"/>
                <w:sz w:val="21"/>
                <w:szCs w:val="21"/>
                <w:u w:color="000000"/>
              </w:rPr>
            </w:pPr>
            <w:r>
              <w:rPr>
                <w:color w:val="0000FF"/>
                <w:sz w:val="21"/>
                <w:szCs w:val="21"/>
                <w:u w:color="000000"/>
              </w:rPr>
              <w:t>92</w:t>
            </w:r>
          </w:p>
        </w:tc>
        <w:tc>
          <w:tcPr>
            <w:tcW w:w="421" w:type="pct"/>
            <w:vAlign w:val="center"/>
          </w:tcPr>
          <w:p w:rsidR="00F44F7B" w:rsidRDefault="00730D49">
            <w:pPr>
              <w:widowControl/>
              <w:jc w:val="center"/>
              <w:textAlignment w:val="center"/>
              <w:rPr>
                <w:color w:val="0000FF"/>
                <w:sz w:val="21"/>
                <w:szCs w:val="21"/>
                <w:u w:color="000000"/>
              </w:rPr>
            </w:pPr>
            <w:r>
              <w:rPr>
                <w:color w:val="0000FF"/>
                <w:sz w:val="21"/>
                <w:szCs w:val="21"/>
                <w:u w:color="000000"/>
              </w:rPr>
              <w:t>92</w:t>
            </w:r>
          </w:p>
        </w:tc>
        <w:tc>
          <w:tcPr>
            <w:tcW w:w="506" w:type="pct"/>
            <w:vAlign w:val="center"/>
          </w:tcPr>
          <w:p w:rsidR="00F44F7B" w:rsidRDefault="00F44F7B">
            <w:pPr>
              <w:jc w:val="center"/>
              <w:rPr>
                <w:color w:val="0000FF"/>
                <w:sz w:val="21"/>
                <w:szCs w:val="21"/>
                <w:u w:color="000000"/>
              </w:rPr>
            </w:pPr>
          </w:p>
        </w:tc>
        <w:tc>
          <w:tcPr>
            <w:tcW w:w="539" w:type="pct"/>
            <w:vAlign w:val="center"/>
          </w:tcPr>
          <w:p w:rsidR="00F44F7B" w:rsidRDefault="00F44F7B">
            <w:pPr>
              <w:jc w:val="center"/>
              <w:rPr>
                <w:color w:val="0000FF"/>
                <w:sz w:val="21"/>
                <w:szCs w:val="21"/>
                <w:u w:color="000000"/>
              </w:rPr>
            </w:pPr>
          </w:p>
        </w:tc>
        <w:tc>
          <w:tcPr>
            <w:tcW w:w="496" w:type="pct"/>
            <w:vAlign w:val="center"/>
          </w:tcPr>
          <w:p w:rsidR="00F44F7B" w:rsidRDefault="00F44F7B">
            <w:pPr>
              <w:jc w:val="center"/>
              <w:rPr>
                <w:color w:val="0000FF"/>
                <w:sz w:val="21"/>
                <w:szCs w:val="21"/>
                <w:u w:color="000000"/>
              </w:rPr>
            </w:pPr>
          </w:p>
        </w:tc>
        <w:tc>
          <w:tcPr>
            <w:tcW w:w="436" w:type="pct"/>
            <w:vAlign w:val="center"/>
          </w:tcPr>
          <w:p w:rsidR="00F44F7B" w:rsidRDefault="00F44F7B">
            <w:pPr>
              <w:widowControl/>
              <w:jc w:val="center"/>
              <w:textAlignment w:val="center"/>
              <w:rPr>
                <w:color w:val="0000FF"/>
                <w:sz w:val="21"/>
                <w:szCs w:val="21"/>
                <w:u w:color="000000"/>
              </w:rPr>
            </w:pPr>
          </w:p>
        </w:tc>
        <w:tc>
          <w:tcPr>
            <w:tcW w:w="447" w:type="pct"/>
            <w:vAlign w:val="center"/>
          </w:tcPr>
          <w:p w:rsidR="00F44F7B" w:rsidRDefault="00F44F7B">
            <w:pPr>
              <w:widowControl/>
              <w:jc w:val="center"/>
              <w:textAlignment w:val="center"/>
              <w:rPr>
                <w:color w:val="0000FF"/>
                <w:sz w:val="21"/>
                <w:szCs w:val="21"/>
                <w:u w:color="000000"/>
              </w:rPr>
            </w:pPr>
          </w:p>
        </w:tc>
        <w:tc>
          <w:tcPr>
            <w:tcW w:w="359" w:type="pct"/>
            <w:vAlign w:val="center"/>
          </w:tcPr>
          <w:p w:rsidR="00F44F7B" w:rsidRDefault="00730D49">
            <w:pPr>
              <w:widowControl/>
              <w:jc w:val="center"/>
              <w:textAlignment w:val="center"/>
              <w:rPr>
                <w:color w:val="0000FF"/>
                <w:sz w:val="21"/>
                <w:szCs w:val="21"/>
                <w:u w:color="000000"/>
              </w:rPr>
            </w:pPr>
            <w:r>
              <w:rPr>
                <w:color w:val="0000FF"/>
                <w:sz w:val="21"/>
                <w:szCs w:val="21"/>
                <w:u w:color="000000"/>
              </w:rPr>
              <w:t>92</w:t>
            </w:r>
          </w:p>
        </w:tc>
        <w:tc>
          <w:tcPr>
            <w:tcW w:w="402" w:type="pct"/>
            <w:vAlign w:val="center"/>
          </w:tcPr>
          <w:p w:rsidR="00F44F7B" w:rsidRDefault="00730D49">
            <w:pPr>
              <w:widowControl/>
              <w:jc w:val="center"/>
              <w:textAlignment w:val="center"/>
              <w:rPr>
                <w:color w:val="0000FF"/>
                <w:sz w:val="21"/>
                <w:szCs w:val="21"/>
                <w:u w:color="000000"/>
              </w:rPr>
            </w:pPr>
            <w:r>
              <w:rPr>
                <w:color w:val="0000FF"/>
                <w:sz w:val="21"/>
                <w:szCs w:val="21"/>
                <w:u w:color="000000"/>
              </w:rPr>
              <w:t>92</w:t>
            </w:r>
          </w:p>
        </w:tc>
      </w:tr>
      <w:tr w:rsidR="00F44F7B">
        <w:trPr>
          <w:trHeight w:val="340"/>
          <w:jc w:val="center"/>
        </w:trPr>
        <w:tc>
          <w:tcPr>
            <w:tcW w:w="1093" w:type="pct"/>
            <w:vAlign w:val="center"/>
          </w:tcPr>
          <w:p w:rsidR="00F44F7B" w:rsidRDefault="00730D49">
            <w:pPr>
              <w:widowControl/>
              <w:jc w:val="center"/>
              <w:textAlignment w:val="center"/>
              <w:rPr>
                <w:color w:val="0000FF"/>
                <w:sz w:val="21"/>
                <w:szCs w:val="21"/>
                <w:u w:color="000000"/>
              </w:rPr>
            </w:pPr>
            <w:r>
              <w:rPr>
                <w:color w:val="0000FF"/>
                <w:kern w:val="0"/>
                <w:sz w:val="21"/>
                <w:szCs w:val="21"/>
                <w:u w:color="000000"/>
                <w:lang w:bidi="ar"/>
              </w:rPr>
              <w:t>5</w:t>
            </w:r>
            <w:r>
              <w:rPr>
                <w:color w:val="0000FF"/>
                <w:kern w:val="0"/>
                <w:sz w:val="21"/>
                <w:szCs w:val="21"/>
                <w:u w:color="000000"/>
                <w:lang w:bidi="ar"/>
              </w:rPr>
              <w:t>、林草植被恢复率（</w:t>
            </w:r>
            <w:r>
              <w:rPr>
                <w:color w:val="0000FF"/>
                <w:kern w:val="0"/>
                <w:sz w:val="21"/>
                <w:szCs w:val="21"/>
                <w:u w:color="000000"/>
                <w:lang w:bidi="ar"/>
              </w:rPr>
              <w:t>%</w:t>
            </w:r>
            <w:r>
              <w:rPr>
                <w:color w:val="0000FF"/>
                <w:kern w:val="0"/>
                <w:sz w:val="21"/>
                <w:szCs w:val="21"/>
                <w:u w:color="000000"/>
                <w:lang w:bidi="ar"/>
              </w:rPr>
              <w:t>）</w:t>
            </w:r>
          </w:p>
        </w:tc>
        <w:tc>
          <w:tcPr>
            <w:tcW w:w="296" w:type="pct"/>
            <w:vAlign w:val="center"/>
          </w:tcPr>
          <w:p w:rsidR="00F44F7B" w:rsidRDefault="00730D49">
            <w:pPr>
              <w:widowControl/>
              <w:jc w:val="center"/>
              <w:textAlignment w:val="center"/>
              <w:rPr>
                <w:color w:val="0000FF"/>
                <w:sz w:val="21"/>
                <w:szCs w:val="21"/>
                <w:u w:color="000000"/>
              </w:rPr>
            </w:pPr>
            <w:r>
              <w:rPr>
                <w:color w:val="0000FF"/>
                <w:kern w:val="0"/>
                <w:sz w:val="21"/>
                <w:szCs w:val="21"/>
                <w:u w:color="000000"/>
                <w:lang w:bidi="ar"/>
              </w:rPr>
              <w:t>—</w:t>
            </w:r>
          </w:p>
        </w:tc>
        <w:tc>
          <w:tcPr>
            <w:tcW w:w="421" w:type="pct"/>
            <w:vAlign w:val="center"/>
          </w:tcPr>
          <w:p w:rsidR="00F44F7B" w:rsidRDefault="00730D49">
            <w:pPr>
              <w:widowControl/>
              <w:jc w:val="center"/>
              <w:textAlignment w:val="center"/>
              <w:rPr>
                <w:color w:val="0000FF"/>
                <w:sz w:val="21"/>
                <w:szCs w:val="21"/>
                <w:u w:color="000000"/>
              </w:rPr>
            </w:pPr>
            <w:r>
              <w:rPr>
                <w:color w:val="0000FF"/>
                <w:kern w:val="0"/>
                <w:sz w:val="21"/>
                <w:szCs w:val="21"/>
                <w:u w:color="000000"/>
                <w:lang w:bidi="ar"/>
              </w:rPr>
              <w:t>97</w:t>
            </w:r>
          </w:p>
        </w:tc>
        <w:tc>
          <w:tcPr>
            <w:tcW w:w="506" w:type="pct"/>
            <w:vAlign w:val="center"/>
          </w:tcPr>
          <w:p w:rsidR="00F44F7B" w:rsidRDefault="00F44F7B">
            <w:pPr>
              <w:jc w:val="center"/>
              <w:rPr>
                <w:color w:val="0000FF"/>
                <w:sz w:val="21"/>
                <w:szCs w:val="21"/>
                <w:u w:color="000000"/>
              </w:rPr>
            </w:pPr>
          </w:p>
        </w:tc>
        <w:tc>
          <w:tcPr>
            <w:tcW w:w="539" w:type="pct"/>
            <w:vAlign w:val="center"/>
          </w:tcPr>
          <w:p w:rsidR="00F44F7B" w:rsidRDefault="00F44F7B">
            <w:pPr>
              <w:jc w:val="center"/>
              <w:rPr>
                <w:color w:val="0000FF"/>
                <w:sz w:val="21"/>
                <w:szCs w:val="21"/>
                <w:u w:color="000000"/>
              </w:rPr>
            </w:pPr>
          </w:p>
        </w:tc>
        <w:tc>
          <w:tcPr>
            <w:tcW w:w="496" w:type="pct"/>
            <w:vAlign w:val="center"/>
          </w:tcPr>
          <w:p w:rsidR="00F44F7B" w:rsidRDefault="00F44F7B">
            <w:pPr>
              <w:jc w:val="center"/>
              <w:rPr>
                <w:color w:val="0000FF"/>
                <w:sz w:val="21"/>
                <w:szCs w:val="21"/>
                <w:u w:color="000000"/>
              </w:rPr>
            </w:pPr>
          </w:p>
        </w:tc>
        <w:tc>
          <w:tcPr>
            <w:tcW w:w="436" w:type="pct"/>
            <w:vAlign w:val="center"/>
          </w:tcPr>
          <w:p w:rsidR="00F44F7B" w:rsidRDefault="00F44F7B">
            <w:pPr>
              <w:widowControl/>
              <w:jc w:val="center"/>
              <w:textAlignment w:val="center"/>
              <w:rPr>
                <w:color w:val="0000FF"/>
                <w:kern w:val="0"/>
                <w:sz w:val="21"/>
                <w:szCs w:val="21"/>
                <w:u w:color="000000"/>
                <w:lang w:bidi="ar"/>
              </w:rPr>
            </w:pPr>
          </w:p>
        </w:tc>
        <w:tc>
          <w:tcPr>
            <w:tcW w:w="447" w:type="pct"/>
            <w:vAlign w:val="center"/>
          </w:tcPr>
          <w:p w:rsidR="00F44F7B" w:rsidRDefault="00F44F7B">
            <w:pPr>
              <w:widowControl/>
              <w:jc w:val="center"/>
              <w:textAlignment w:val="center"/>
              <w:rPr>
                <w:color w:val="0000FF"/>
                <w:kern w:val="0"/>
                <w:sz w:val="21"/>
                <w:szCs w:val="21"/>
                <w:u w:color="000000"/>
                <w:lang w:bidi="ar"/>
              </w:rPr>
            </w:pPr>
          </w:p>
        </w:tc>
        <w:tc>
          <w:tcPr>
            <w:tcW w:w="359" w:type="pct"/>
            <w:vAlign w:val="center"/>
          </w:tcPr>
          <w:p w:rsidR="00F44F7B" w:rsidRDefault="00730D49">
            <w:pPr>
              <w:widowControl/>
              <w:jc w:val="center"/>
              <w:textAlignment w:val="center"/>
              <w:rPr>
                <w:color w:val="0000FF"/>
                <w:sz w:val="21"/>
                <w:szCs w:val="21"/>
                <w:u w:color="000000"/>
              </w:rPr>
            </w:pPr>
            <w:r>
              <w:rPr>
                <w:color w:val="0000FF"/>
                <w:kern w:val="0"/>
                <w:sz w:val="21"/>
                <w:szCs w:val="21"/>
                <w:u w:color="000000"/>
                <w:lang w:bidi="ar"/>
              </w:rPr>
              <w:t>—</w:t>
            </w:r>
          </w:p>
        </w:tc>
        <w:tc>
          <w:tcPr>
            <w:tcW w:w="402" w:type="pct"/>
            <w:vAlign w:val="center"/>
          </w:tcPr>
          <w:p w:rsidR="00F44F7B" w:rsidRDefault="00730D49">
            <w:pPr>
              <w:widowControl/>
              <w:jc w:val="center"/>
              <w:textAlignment w:val="center"/>
              <w:rPr>
                <w:color w:val="0000FF"/>
                <w:sz w:val="21"/>
                <w:szCs w:val="21"/>
                <w:u w:color="000000"/>
              </w:rPr>
            </w:pPr>
            <w:r>
              <w:rPr>
                <w:color w:val="0000FF"/>
                <w:kern w:val="0"/>
                <w:sz w:val="21"/>
                <w:szCs w:val="21"/>
                <w:u w:color="000000"/>
                <w:lang w:bidi="ar"/>
              </w:rPr>
              <w:t>97</w:t>
            </w:r>
          </w:p>
        </w:tc>
      </w:tr>
      <w:tr w:rsidR="00F44F7B">
        <w:trPr>
          <w:trHeight w:val="340"/>
          <w:jc w:val="center"/>
        </w:trPr>
        <w:tc>
          <w:tcPr>
            <w:tcW w:w="1093" w:type="pct"/>
            <w:vAlign w:val="center"/>
          </w:tcPr>
          <w:p w:rsidR="00F44F7B" w:rsidRDefault="00730D49">
            <w:pPr>
              <w:widowControl/>
              <w:jc w:val="center"/>
              <w:textAlignment w:val="center"/>
              <w:rPr>
                <w:color w:val="0000FF"/>
                <w:kern w:val="0"/>
                <w:sz w:val="21"/>
                <w:szCs w:val="21"/>
                <w:u w:color="000000"/>
                <w:lang w:bidi="ar"/>
              </w:rPr>
            </w:pPr>
            <w:r>
              <w:rPr>
                <w:color w:val="0000FF"/>
                <w:kern w:val="0"/>
                <w:sz w:val="21"/>
                <w:szCs w:val="21"/>
                <w:u w:color="000000"/>
                <w:lang w:bidi="ar"/>
              </w:rPr>
              <w:t>6</w:t>
            </w:r>
            <w:r>
              <w:rPr>
                <w:color w:val="0000FF"/>
                <w:kern w:val="0"/>
                <w:sz w:val="21"/>
                <w:szCs w:val="21"/>
                <w:u w:color="000000"/>
                <w:lang w:bidi="ar"/>
              </w:rPr>
              <w:t>、林草覆盖率（</w:t>
            </w:r>
            <w:r>
              <w:rPr>
                <w:color w:val="0000FF"/>
                <w:kern w:val="0"/>
                <w:sz w:val="21"/>
                <w:szCs w:val="21"/>
                <w:u w:color="000000"/>
                <w:lang w:bidi="ar"/>
              </w:rPr>
              <w:t>%</w:t>
            </w:r>
            <w:r>
              <w:rPr>
                <w:color w:val="0000FF"/>
                <w:kern w:val="0"/>
                <w:sz w:val="21"/>
                <w:szCs w:val="21"/>
                <w:u w:color="000000"/>
                <w:lang w:bidi="ar"/>
              </w:rPr>
              <w:t>）</w:t>
            </w:r>
          </w:p>
        </w:tc>
        <w:tc>
          <w:tcPr>
            <w:tcW w:w="296" w:type="pct"/>
            <w:vAlign w:val="center"/>
          </w:tcPr>
          <w:p w:rsidR="00F44F7B" w:rsidRDefault="00730D49">
            <w:pPr>
              <w:widowControl/>
              <w:jc w:val="center"/>
              <w:textAlignment w:val="center"/>
              <w:rPr>
                <w:color w:val="0000FF"/>
                <w:kern w:val="0"/>
                <w:sz w:val="21"/>
                <w:szCs w:val="21"/>
                <w:u w:color="000000"/>
                <w:lang w:bidi="ar"/>
              </w:rPr>
            </w:pPr>
            <w:r>
              <w:rPr>
                <w:color w:val="0000FF"/>
                <w:kern w:val="0"/>
                <w:sz w:val="21"/>
                <w:szCs w:val="21"/>
                <w:u w:color="000000"/>
                <w:lang w:bidi="ar"/>
              </w:rPr>
              <w:t>—</w:t>
            </w:r>
          </w:p>
        </w:tc>
        <w:tc>
          <w:tcPr>
            <w:tcW w:w="421" w:type="pct"/>
            <w:vAlign w:val="center"/>
          </w:tcPr>
          <w:p w:rsidR="00F44F7B" w:rsidRDefault="00730D49">
            <w:pPr>
              <w:widowControl/>
              <w:jc w:val="center"/>
              <w:textAlignment w:val="center"/>
              <w:rPr>
                <w:color w:val="0000FF"/>
                <w:kern w:val="0"/>
                <w:sz w:val="21"/>
                <w:szCs w:val="21"/>
                <w:u w:color="000000"/>
                <w:lang w:bidi="ar"/>
              </w:rPr>
            </w:pPr>
            <w:r>
              <w:rPr>
                <w:color w:val="0000FF"/>
                <w:kern w:val="0"/>
                <w:sz w:val="21"/>
                <w:szCs w:val="21"/>
                <w:u w:color="000000"/>
                <w:lang w:bidi="ar"/>
              </w:rPr>
              <w:t>23</w:t>
            </w:r>
          </w:p>
        </w:tc>
        <w:tc>
          <w:tcPr>
            <w:tcW w:w="506" w:type="pct"/>
            <w:vAlign w:val="center"/>
          </w:tcPr>
          <w:p w:rsidR="00F44F7B" w:rsidRDefault="00F44F7B">
            <w:pPr>
              <w:widowControl/>
              <w:jc w:val="center"/>
              <w:textAlignment w:val="center"/>
              <w:rPr>
                <w:color w:val="0000FF"/>
                <w:kern w:val="0"/>
                <w:sz w:val="21"/>
                <w:szCs w:val="21"/>
                <w:u w:color="000000"/>
                <w:lang w:bidi="ar"/>
              </w:rPr>
            </w:pPr>
          </w:p>
        </w:tc>
        <w:tc>
          <w:tcPr>
            <w:tcW w:w="539" w:type="pct"/>
            <w:vAlign w:val="center"/>
          </w:tcPr>
          <w:p w:rsidR="00F44F7B" w:rsidRDefault="00F44F7B">
            <w:pPr>
              <w:widowControl/>
              <w:jc w:val="center"/>
              <w:textAlignment w:val="center"/>
              <w:rPr>
                <w:color w:val="0000FF"/>
                <w:kern w:val="0"/>
                <w:sz w:val="21"/>
                <w:szCs w:val="21"/>
                <w:u w:color="000000"/>
                <w:lang w:bidi="ar"/>
              </w:rPr>
            </w:pPr>
          </w:p>
        </w:tc>
        <w:tc>
          <w:tcPr>
            <w:tcW w:w="496" w:type="pct"/>
            <w:vAlign w:val="center"/>
          </w:tcPr>
          <w:p w:rsidR="00F44F7B" w:rsidRDefault="00F44F7B">
            <w:pPr>
              <w:widowControl/>
              <w:jc w:val="center"/>
              <w:textAlignment w:val="center"/>
              <w:rPr>
                <w:color w:val="0000FF"/>
                <w:kern w:val="0"/>
                <w:sz w:val="21"/>
                <w:szCs w:val="21"/>
                <w:u w:color="000000"/>
                <w:lang w:bidi="ar"/>
              </w:rPr>
            </w:pPr>
          </w:p>
        </w:tc>
        <w:tc>
          <w:tcPr>
            <w:tcW w:w="436" w:type="pct"/>
            <w:vAlign w:val="center"/>
          </w:tcPr>
          <w:p w:rsidR="00F44F7B" w:rsidRDefault="00F44F7B">
            <w:pPr>
              <w:widowControl/>
              <w:jc w:val="center"/>
              <w:textAlignment w:val="center"/>
              <w:rPr>
                <w:color w:val="0000FF"/>
                <w:kern w:val="0"/>
                <w:sz w:val="21"/>
                <w:szCs w:val="21"/>
                <w:u w:color="000000"/>
                <w:lang w:bidi="ar"/>
              </w:rPr>
            </w:pPr>
          </w:p>
        </w:tc>
        <w:tc>
          <w:tcPr>
            <w:tcW w:w="447" w:type="pct"/>
            <w:vAlign w:val="center"/>
          </w:tcPr>
          <w:p w:rsidR="00F44F7B" w:rsidRDefault="00F44F7B">
            <w:pPr>
              <w:widowControl/>
              <w:jc w:val="center"/>
              <w:textAlignment w:val="center"/>
              <w:rPr>
                <w:color w:val="0000FF"/>
                <w:kern w:val="0"/>
                <w:sz w:val="21"/>
                <w:szCs w:val="21"/>
                <w:u w:color="000000"/>
                <w:lang w:bidi="ar"/>
              </w:rPr>
            </w:pPr>
          </w:p>
        </w:tc>
        <w:tc>
          <w:tcPr>
            <w:tcW w:w="359" w:type="pct"/>
            <w:vAlign w:val="center"/>
          </w:tcPr>
          <w:p w:rsidR="00F44F7B" w:rsidRDefault="00730D49">
            <w:pPr>
              <w:widowControl/>
              <w:jc w:val="center"/>
              <w:textAlignment w:val="center"/>
              <w:rPr>
                <w:color w:val="0000FF"/>
                <w:kern w:val="0"/>
                <w:sz w:val="21"/>
                <w:szCs w:val="21"/>
                <w:u w:color="000000"/>
                <w:lang w:bidi="ar"/>
              </w:rPr>
            </w:pPr>
            <w:r>
              <w:rPr>
                <w:color w:val="0000FF"/>
                <w:kern w:val="0"/>
                <w:sz w:val="21"/>
                <w:szCs w:val="21"/>
                <w:u w:color="000000"/>
                <w:lang w:bidi="ar"/>
              </w:rPr>
              <w:t>—</w:t>
            </w:r>
          </w:p>
        </w:tc>
        <w:tc>
          <w:tcPr>
            <w:tcW w:w="402" w:type="pct"/>
            <w:vAlign w:val="center"/>
          </w:tcPr>
          <w:p w:rsidR="00F44F7B" w:rsidRDefault="00730D49">
            <w:pPr>
              <w:widowControl/>
              <w:jc w:val="center"/>
              <w:textAlignment w:val="center"/>
              <w:rPr>
                <w:color w:val="0000FF"/>
                <w:kern w:val="0"/>
                <w:sz w:val="21"/>
                <w:szCs w:val="21"/>
                <w:u w:color="000000"/>
                <w:lang w:bidi="ar"/>
              </w:rPr>
            </w:pPr>
            <w:r>
              <w:rPr>
                <w:rFonts w:hint="eastAsia"/>
                <w:color w:val="0000FF"/>
                <w:kern w:val="0"/>
                <w:sz w:val="21"/>
                <w:szCs w:val="21"/>
                <w:u w:color="000000"/>
                <w:lang w:bidi="ar"/>
              </w:rPr>
              <w:t>5</w:t>
            </w:r>
          </w:p>
        </w:tc>
      </w:tr>
    </w:tbl>
    <w:p w:rsidR="00F44F7B" w:rsidRDefault="00730D49">
      <w:pPr>
        <w:pStyle w:val="13"/>
        <w:spacing w:line="240" w:lineRule="auto"/>
        <w:ind w:firstLine="420"/>
        <w:rPr>
          <w:color w:val="0000FF"/>
          <w:sz w:val="21"/>
          <w:szCs w:val="21"/>
          <w:u w:color="000000"/>
        </w:rPr>
      </w:pPr>
      <w:r>
        <w:rPr>
          <w:color w:val="0000FF"/>
          <w:sz w:val="21"/>
          <w:szCs w:val="21"/>
          <w:u w:color="000000"/>
        </w:rPr>
        <w:t>注：</w:t>
      </w:r>
      <w:r>
        <w:rPr>
          <w:color w:val="0000FF"/>
          <w:sz w:val="21"/>
          <w:szCs w:val="21"/>
          <w:u w:color="000000"/>
        </w:rPr>
        <w:t>1</w:t>
      </w:r>
      <w:r>
        <w:rPr>
          <w:color w:val="0000FF"/>
          <w:sz w:val="21"/>
          <w:szCs w:val="21"/>
          <w:u w:color="000000"/>
        </w:rPr>
        <w:t>、根据《生产建设项目水土流失防治标准》（</w:t>
      </w:r>
      <w:r>
        <w:rPr>
          <w:color w:val="0000FF"/>
          <w:sz w:val="21"/>
          <w:szCs w:val="21"/>
          <w:u w:color="000000"/>
        </w:rPr>
        <w:t xml:space="preserve">GB/T </w:t>
      </w:r>
      <w:r>
        <w:rPr>
          <w:color w:val="0000FF"/>
          <w:sz w:val="21"/>
          <w:szCs w:val="21"/>
          <w:u w:color="000000"/>
        </w:rPr>
        <w:t>50434—2018</w:t>
      </w:r>
      <w:r>
        <w:rPr>
          <w:color w:val="0000FF"/>
          <w:sz w:val="21"/>
          <w:szCs w:val="21"/>
          <w:u w:color="000000"/>
        </w:rPr>
        <w:t>），</w:t>
      </w:r>
      <w:r>
        <w:rPr>
          <w:color w:val="0000FF"/>
          <w:sz w:val="21"/>
          <w:szCs w:val="21"/>
          <w:u w:color="000000"/>
        </w:rPr>
        <w:t>“</w:t>
      </w:r>
      <w:r>
        <w:rPr>
          <w:color w:val="0000FF"/>
          <w:sz w:val="21"/>
          <w:szCs w:val="21"/>
          <w:u w:color="000000"/>
        </w:rPr>
        <w:t>土壤流失控制比在轻度侵蚀为主的区域不应小于</w:t>
      </w:r>
      <w:r>
        <w:rPr>
          <w:color w:val="0000FF"/>
          <w:sz w:val="21"/>
          <w:szCs w:val="21"/>
          <w:u w:color="000000"/>
        </w:rPr>
        <w:t>1”</w:t>
      </w:r>
      <w:r>
        <w:rPr>
          <w:color w:val="0000FF"/>
          <w:sz w:val="21"/>
          <w:szCs w:val="21"/>
          <w:u w:color="000000"/>
        </w:rPr>
        <w:t>，项目区原生侵蚀程度以</w:t>
      </w:r>
      <w:r>
        <w:rPr>
          <w:rFonts w:hint="eastAsia"/>
          <w:color w:val="0000FF"/>
          <w:sz w:val="21"/>
          <w:szCs w:val="21"/>
          <w:u w:color="000000"/>
        </w:rPr>
        <w:t>轻</w:t>
      </w:r>
      <w:r>
        <w:rPr>
          <w:color w:val="0000FF"/>
          <w:sz w:val="21"/>
          <w:szCs w:val="21"/>
          <w:u w:color="000000"/>
        </w:rPr>
        <w:t>度为主，故目标值提高至</w:t>
      </w:r>
      <w:r>
        <w:rPr>
          <w:color w:val="0000FF"/>
          <w:sz w:val="21"/>
          <w:szCs w:val="21"/>
          <w:u w:color="000000"/>
        </w:rPr>
        <w:t>1.00</w:t>
      </w:r>
      <w:r>
        <w:rPr>
          <w:color w:val="0000FF"/>
          <w:sz w:val="21"/>
          <w:szCs w:val="21"/>
          <w:u w:color="000000"/>
        </w:rPr>
        <w:t>。</w:t>
      </w:r>
    </w:p>
    <w:p w:rsidR="00F44F7B" w:rsidRDefault="00730D49">
      <w:pPr>
        <w:pStyle w:val="13"/>
        <w:spacing w:line="240" w:lineRule="auto"/>
        <w:ind w:firstLine="420"/>
        <w:rPr>
          <w:color w:val="0000FF"/>
          <w:sz w:val="21"/>
          <w:szCs w:val="21"/>
          <w:u w:color="000000"/>
        </w:rPr>
      </w:pPr>
      <w:r>
        <w:rPr>
          <w:rFonts w:hint="eastAsia"/>
          <w:color w:val="0000FF"/>
          <w:sz w:val="21"/>
          <w:szCs w:val="21"/>
          <w:u w:color="000000"/>
        </w:rPr>
        <w:t>2</w:t>
      </w:r>
      <w:r>
        <w:rPr>
          <w:rFonts w:hint="eastAsia"/>
          <w:color w:val="0000FF"/>
          <w:sz w:val="21"/>
          <w:szCs w:val="21"/>
          <w:u w:color="000000"/>
        </w:rPr>
        <w:t>、</w:t>
      </w:r>
      <w:r>
        <w:rPr>
          <w:color w:val="0000FF"/>
          <w:sz w:val="21"/>
          <w:szCs w:val="21"/>
          <w:u w:color="000000"/>
        </w:rPr>
        <w:t>根据</w:t>
      </w:r>
      <w:r>
        <w:rPr>
          <w:color w:val="0000FF"/>
          <w:sz w:val="21"/>
          <w:szCs w:val="21"/>
          <w:u w:color="000000"/>
        </w:rPr>
        <w:t>“</w:t>
      </w:r>
      <w:r>
        <w:rPr>
          <w:color w:val="0000FF"/>
          <w:sz w:val="21"/>
          <w:szCs w:val="21"/>
          <w:u w:color="000000"/>
        </w:rPr>
        <w:t>对林草植被有限制的项目，林草覆盖率可按相关规定适当调整</w:t>
      </w:r>
      <w:r>
        <w:rPr>
          <w:color w:val="0000FF"/>
          <w:sz w:val="21"/>
          <w:szCs w:val="21"/>
          <w:u w:color="000000"/>
        </w:rPr>
        <w:t>”</w:t>
      </w:r>
      <w:r>
        <w:rPr>
          <w:color w:val="0000FF"/>
          <w:sz w:val="21"/>
          <w:szCs w:val="21"/>
          <w:u w:color="000000"/>
        </w:rPr>
        <w:t>。故本项目林草覆盖率</w:t>
      </w:r>
      <w:r>
        <w:rPr>
          <w:rFonts w:hint="eastAsia"/>
          <w:color w:val="0000FF"/>
          <w:sz w:val="21"/>
          <w:szCs w:val="21"/>
          <w:u w:color="000000"/>
        </w:rPr>
        <w:t>可</w:t>
      </w:r>
      <w:r>
        <w:rPr>
          <w:color w:val="0000FF"/>
          <w:sz w:val="21"/>
          <w:szCs w:val="21"/>
          <w:u w:color="000000"/>
        </w:rPr>
        <w:t>调整至</w:t>
      </w:r>
      <w:r>
        <w:rPr>
          <w:rFonts w:hint="eastAsia"/>
          <w:color w:val="0000FF"/>
          <w:sz w:val="21"/>
          <w:szCs w:val="21"/>
          <w:u w:color="000000"/>
        </w:rPr>
        <w:t>5</w:t>
      </w:r>
      <w:r>
        <w:rPr>
          <w:color w:val="0000FF"/>
          <w:sz w:val="21"/>
          <w:szCs w:val="21"/>
          <w:u w:color="000000"/>
        </w:rPr>
        <w:t>%</w:t>
      </w:r>
      <w:r>
        <w:rPr>
          <w:color w:val="0000FF"/>
          <w:sz w:val="21"/>
          <w:szCs w:val="21"/>
          <w:u w:color="000000"/>
        </w:rPr>
        <w:t>。</w:t>
      </w:r>
    </w:p>
    <w:p w:rsidR="00F44F7B" w:rsidRDefault="00730D49">
      <w:pPr>
        <w:pStyle w:val="2"/>
        <w:spacing w:beforeLines="50" w:before="156"/>
        <w:rPr>
          <w:szCs w:val="22"/>
        </w:rPr>
      </w:pPr>
      <w:bookmarkStart w:id="24" w:name="_Toc62144049"/>
      <w:bookmarkStart w:id="25" w:name="_Toc14355"/>
      <w:r>
        <w:rPr>
          <w:rFonts w:hint="eastAsia"/>
          <w:szCs w:val="22"/>
        </w:rPr>
        <w:t>1</w:t>
      </w:r>
      <w:r>
        <w:rPr>
          <w:szCs w:val="22"/>
        </w:rPr>
        <w:t>.</w:t>
      </w:r>
      <w:r>
        <w:rPr>
          <w:rFonts w:hint="eastAsia"/>
          <w:szCs w:val="22"/>
        </w:rPr>
        <w:t>1</w:t>
      </w:r>
      <w:r>
        <w:rPr>
          <w:rFonts w:hint="eastAsia"/>
          <w:szCs w:val="22"/>
        </w:rPr>
        <w:t>1</w:t>
      </w:r>
      <w:r>
        <w:rPr>
          <w:rFonts w:hint="eastAsia"/>
          <w:szCs w:val="22"/>
        </w:rPr>
        <w:t>设计水平年</w:t>
      </w:r>
      <w:bookmarkEnd w:id="24"/>
      <w:bookmarkEnd w:id="25"/>
    </w:p>
    <w:p w:rsidR="00F44F7B" w:rsidRDefault="00730D49">
      <w:pPr>
        <w:pStyle w:val="BZDL1"/>
        <w:spacing w:beforeLines="0" w:before="0" w:afterLines="0" w:after="0" w:line="360" w:lineRule="auto"/>
        <w:ind w:firstLine="480"/>
        <w:rPr>
          <w:rFonts w:ascii="Times New Roman"/>
          <w:color w:val="0000FF"/>
          <w:sz w:val="24"/>
          <w:szCs w:val="16"/>
        </w:rPr>
      </w:pPr>
      <w:r>
        <w:rPr>
          <w:rFonts w:ascii="Times New Roman" w:hint="eastAsia"/>
          <w:color w:val="0000FF"/>
          <w:sz w:val="24"/>
          <w:szCs w:val="16"/>
        </w:rPr>
        <w:t>本</w:t>
      </w:r>
      <w:r>
        <w:rPr>
          <w:rFonts w:ascii="Times New Roman"/>
          <w:color w:val="0000FF"/>
          <w:sz w:val="24"/>
          <w:szCs w:val="16"/>
        </w:rPr>
        <w:t>项目为建设类项目，根据《</w:t>
      </w:r>
      <w:r>
        <w:rPr>
          <w:rFonts w:ascii="Times New Roman" w:hint="eastAsia"/>
          <w:color w:val="0000FF"/>
          <w:sz w:val="24"/>
          <w:szCs w:val="16"/>
        </w:rPr>
        <w:t>生产</w:t>
      </w:r>
      <w:r>
        <w:rPr>
          <w:rFonts w:ascii="Times New Roman"/>
          <w:color w:val="0000FF"/>
          <w:sz w:val="24"/>
          <w:szCs w:val="16"/>
        </w:rPr>
        <w:t>建设项目水土保持技术</w:t>
      </w:r>
      <w:r>
        <w:rPr>
          <w:rFonts w:ascii="Times New Roman" w:hint="eastAsia"/>
          <w:color w:val="0000FF"/>
          <w:sz w:val="24"/>
          <w:szCs w:val="16"/>
        </w:rPr>
        <w:t>标准</w:t>
      </w:r>
      <w:r>
        <w:rPr>
          <w:rFonts w:ascii="Times New Roman"/>
          <w:color w:val="0000FF"/>
          <w:sz w:val="24"/>
          <w:szCs w:val="16"/>
        </w:rPr>
        <w:t>》（</w:t>
      </w:r>
      <w:r>
        <w:rPr>
          <w:rFonts w:ascii="Times New Roman"/>
          <w:color w:val="0000FF"/>
          <w:sz w:val="24"/>
          <w:szCs w:val="16"/>
        </w:rPr>
        <w:t>GB50433-20</w:t>
      </w:r>
      <w:r>
        <w:rPr>
          <w:rFonts w:ascii="Times New Roman" w:hint="eastAsia"/>
          <w:color w:val="0000FF"/>
          <w:sz w:val="24"/>
          <w:szCs w:val="16"/>
        </w:rPr>
        <w:t>1</w:t>
      </w:r>
      <w:r>
        <w:rPr>
          <w:rFonts w:ascii="Times New Roman"/>
          <w:color w:val="0000FF"/>
          <w:sz w:val="24"/>
          <w:szCs w:val="16"/>
        </w:rPr>
        <w:t>8</w:t>
      </w:r>
      <w:r>
        <w:rPr>
          <w:rFonts w:ascii="Times New Roman"/>
          <w:color w:val="0000FF"/>
          <w:sz w:val="24"/>
          <w:szCs w:val="16"/>
        </w:rPr>
        <w:t>）中</w:t>
      </w:r>
      <w:r>
        <w:rPr>
          <w:rFonts w:ascii="Times New Roman"/>
          <w:color w:val="0000FF"/>
          <w:sz w:val="24"/>
          <w:szCs w:val="16"/>
        </w:rPr>
        <w:t>“</w:t>
      </w:r>
      <w:r>
        <w:rPr>
          <w:rFonts w:ascii="Times New Roman"/>
          <w:color w:val="0000FF"/>
          <w:sz w:val="24"/>
          <w:szCs w:val="16"/>
        </w:rPr>
        <w:t>设计水平年应为主体工程完工后的当年或后一年</w:t>
      </w:r>
      <w:r>
        <w:rPr>
          <w:rFonts w:ascii="Times New Roman"/>
          <w:color w:val="0000FF"/>
          <w:sz w:val="24"/>
          <w:szCs w:val="16"/>
        </w:rPr>
        <w:t>”</w:t>
      </w:r>
      <w:r>
        <w:rPr>
          <w:rFonts w:ascii="Times New Roman"/>
          <w:color w:val="0000FF"/>
          <w:sz w:val="24"/>
          <w:szCs w:val="16"/>
        </w:rPr>
        <w:t>的规定</w:t>
      </w:r>
      <w:r>
        <w:rPr>
          <w:rFonts w:ascii="Times New Roman" w:hint="eastAsia"/>
          <w:color w:val="0000FF"/>
          <w:sz w:val="24"/>
          <w:szCs w:val="16"/>
        </w:rPr>
        <w:t>。</w:t>
      </w:r>
      <w:r>
        <w:rPr>
          <w:rFonts w:ascii="Times New Roman"/>
          <w:color w:val="0000FF"/>
          <w:sz w:val="24"/>
          <w:szCs w:val="16"/>
        </w:rPr>
        <w:t>本项目于</w:t>
      </w:r>
      <w:r>
        <w:rPr>
          <w:rFonts w:ascii="Times New Roman"/>
          <w:color w:val="0000FF"/>
          <w:sz w:val="24"/>
          <w:szCs w:val="16"/>
        </w:rPr>
        <w:t>201</w:t>
      </w:r>
      <w:r>
        <w:rPr>
          <w:rFonts w:ascii="Times New Roman" w:hint="eastAsia"/>
          <w:color w:val="0000FF"/>
          <w:sz w:val="24"/>
          <w:szCs w:val="16"/>
        </w:rPr>
        <w:t>7</w:t>
      </w:r>
      <w:r>
        <w:rPr>
          <w:rFonts w:ascii="Times New Roman"/>
          <w:color w:val="0000FF"/>
          <w:sz w:val="24"/>
          <w:szCs w:val="16"/>
        </w:rPr>
        <w:t>年</w:t>
      </w:r>
      <w:r>
        <w:rPr>
          <w:rFonts w:ascii="Times New Roman" w:hint="eastAsia"/>
          <w:color w:val="0000FF"/>
          <w:sz w:val="24"/>
          <w:szCs w:val="16"/>
        </w:rPr>
        <w:t>4</w:t>
      </w:r>
      <w:r>
        <w:rPr>
          <w:rFonts w:ascii="Times New Roman"/>
          <w:color w:val="0000FF"/>
          <w:sz w:val="24"/>
          <w:szCs w:val="16"/>
        </w:rPr>
        <w:t>月</w:t>
      </w:r>
      <w:r>
        <w:rPr>
          <w:rFonts w:ascii="Times New Roman"/>
          <w:color w:val="0000FF"/>
          <w:sz w:val="24"/>
          <w:szCs w:val="16"/>
        </w:rPr>
        <w:t>动工修建，于</w:t>
      </w:r>
      <w:r>
        <w:rPr>
          <w:rFonts w:ascii="Times New Roman"/>
          <w:color w:val="0000FF"/>
          <w:sz w:val="24"/>
          <w:szCs w:val="16"/>
        </w:rPr>
        <w:t>201</w:t>
      </w:r>
      <w:r>
        <w:rPr>
          <w:rFonts w:ascii="Times New Roman" w:hint="eastAsia"/>
          <w:color w:val="0000FF"/>
          <w:sz w:val="24"/>
          <w:szCs w:val="16"/>
        </w:rPr>
        <w:t>7</w:t>
      </w:r>
      <w:r>
        <w:rPr>
          <w:rFonts w:ascii="Times New Roman"/>
          <w:color w:val="0000FF"/>
          <w:sz w:val="24"/>
          <w:szCs w:val="16"/>
        </w:rPr>
        <w:t>年</w:t>
      </w:r>
      <w:r>
        <w:rPr>
          <w:rFonts w:ascii="Times New Roman" w:hint="eastAsia"/>
          <w:color w:val="0000FF"/>
          <w:sz w:val="24"/>
          <w:szCs w:val="16"/>
        </w:rPr>
        <w:t>12</w:t>
      </w:r>
      <w:r>
        <w:rPr>
          <w:rFonts w:ascii="Times New Roman"/>
          <w:color w:val="0000FF"/>
          <w:sz w:val="24"/>
          <w:szCs w:val="16"/>
        </w:rPr>
        <w:t>月</w:t>
      </w:r>
      <w:r>
        <w:rPr>
          <w:rFonts w:ascii="Times New Roman"/>
          <w:color w:val="0000FF"/>
          <w:sz w:val="24"/>
          <w:szCs w:val="16"/>
        </w:rPr>
        <w:t>建设完成。</w:t>
      </w:r>
      <w:r>
        <w:rPr>
          <w:rFonts w:ascii="Times New Roman"/>
          <w:color w:val="0000FF"/>
          <w:sz w:val="24"/>
          <w:szCs w:val="16"/>
        </w:rPr>
        <w:t>20</w:t>
      </w:r>
      <w:r>
        <w:rPr>
          <w:rFonts w:ascii="Times New Roman" w:hint="eastAsia"/>
          <w:color w:val="0000FF"/>
          <w:sz w:val="24"/>
          <w:szCs w:val="16"/>
        </w:rPr>
        <w:t>20</w:t>
      </w:r>
      <w:r>
        <w:rPr>
          <w:rFonts w:ascii="Times New Roman" w:hint="eastAsia"/>
          <w:color w:val="0000FF"/>
          <w:sz w:val="24"/>
          <w:szCs w:val="16"/>
        </w:rPr>
        <w:t>年</w:t>
      </w:r>
      <w:r>
        <w:rPr>
          <w:rFonts w:ascii="Times New Roman"/>
          <w:color w:val="0000FF"/>
          <w:sz w:val="24"/>
          <w:szCs w:val="16"/>
        </w:rPr>
        <w:t>受业主委托，编报本工程水土保持方案报告</w:t>
      </w:r>
      <w:r>
        <w:rPr>
          <w:rFonts w:ascii="Times New Roman" w:hint="eastAsia"/>
          <w:color w:val="0000FF"/>
          <w:sz w:val="24"/>
          <w:szCs w:val="16"/>
        </w:rPr>
        <w:t>表</w:t>
      </w:r>
      <w:r>
        <w:rPr>
          <w:rFonts w:ascii="Times New Roman"/>
          <w:color w:val="0000FF"/>
          <w:sz w:val="24"/>
          <w:szCs w:val="16"/>
        </w:rPr>
        <w:t>，本方案为补报方案。</w:t>
      </w:r>
    </w:p>
    <w:p w:rsidR="00F44F7B" w:rsidRDefault="00730D49">
      <w:pPr>
        <w:pStyle w:val="BZDL1"/>
        <w:spacing w:beforeLines="0" w:before="0" w:afterLines="0" w:after="0" w:line="360" w:lineRule="auto"/>
        <w:ind w:firstLine="480"/>
        <w:rPr>
          <w:rFonts w:ascii="Times New Roman"/>
          <w:color w:val="0000FF"/>
          <w:sz w:val="24"/>
          <w:szCs w:val="16"/>
        </w:rPr>
      </w:pPr>
      <w:r>
        <w:rPr>
          <w:rFonts w:ascii="Times New Roman"/>
          <w:color w:val="0000FF"/>
          <w:sz w:val="24"/>
          <w:szCs w:val="16"/>
        </w:rPr>
        <w:t>因此，确定本方案的设计水平年为</w:t>
      </w:r>
      <w:r>
        <w:rPr>
          <w:rFonts w:ascii="Times New Roman"/>
          <w:color w:val="0000FF"/>
          <w:sz w:val="24"/>
          <w:szCs w:val="16"/>
        </w:rPr>
        <w:t>20</w:t>
      </w:r>
      <w:r>
        <w:rPr>
          <w:rFonts w:ascii="Times New Roman" w:hint="eastAsia"/>
          <w:color w:val="0000FF"/>
          <w:sz w:val="24"/>
          <w:szCs w:val="16"/>
        </w:rPr>
        <w:t>21</w:t>
      </w:r>
      <w:r>
        <w:rPr>
          <w:rFonts w:ascii="Times New Roman"/>
          <w:color w:val="0000FF"/>
          <w:sz w:val="24"/>
          <w:szCs w:val="16"/>
        </w:rPr>
        <w:t>年</w:t>
      </w:r>
      <w:r>
        <w:rPr>
          <w:rFonts w:ascii="Times New Roman"/>
          <w:color w:val="0000FF"/>
          <w:sz w:val="24"/>
          <w:szCs w:val="16"/>
        </w:rPr>
        <w:t>。</w:t>
      </w:r>
    </w:p>
    <w:p w:rsidR="00F44F7B" w:rsidRDefault="00730D49">
      <w:pPr>
        <w:pStyle w:val="2"/>
        <w:spacing w:beforeLines="50" w:before="156"/>
      </w:pPr>
      <w:bookmarkStart w:id="26" w:name="_Toc62144050"/>
      <w:bookmarkStart w:id="27" w:name="_Toc7718"/>
      <w:r>
        <w:t>1</w:t>
      </w:r>
      <w:r>
        <w:rPr>
          <w:rFonts w:hint="eastAsia"/>
        </w:rPr>
        <w:t>.1</w:t>
      </w:r>
      <w:r>
        <w:rPr>
          <w:rFonts w:hint="eastAsia"/>
        </w:rPr>
        <w:t>2</w:t>
      </w:r>
      <w:r>
        <w:rPr>
          <w:rFonts w:hint="eastAsia"/>
        </w:rPr>
        <w:t>主体设计分析与评价</w:t>
      </w:r>
      <w:bookmarkEnd w:id="26"/>
      <w:bookmarkEnd w:id="27"/>
    </w:p>
    <w:p w:rsidR="00F44F7B" w:rsidRDefault="00730D49">
      <w:pPr>
        <w:pStyle w:val="BZDL1"/>
        <w:spacing w:beforeLines="0" w:before="0" w:afterLines="0" w:after="0" w:line="360" w:lineRule="auto"/>
        <w:ind w:firstLine="480"/>
        <w:rPr>
          <w:rFonts w:ascii="Times New Roman"/>
          <w:sz w:val="24"/>
          <w:szCs w:val="16"/>
        </w:rPr>
      </w:pPr>
      <w:r>
        <w:rPr>
          <w:rFonts w:ascii="Times New Roman"/>
          <w:sz w:val="24"/>
          <w:szCs w:val="16"/>
        </w:rPr>
        <w:t>本项目位于</w:t>
      </w:r>
      <w:r>
        <w:rPr>
          <w:rFonts w:ascii="Times New Roman" w:hint="eastAsia"/>
          <w:sz w:val="24"/>
          <w:szCs w:val="16"/>
        </w:rPr>
        <w:t>仪陇县马鞍镇</w:t>
      </w:r>
      <w:r>
        <w:rPr>
          <w:rFonts w:ascii="Times New Roman"/>
          <w:sz w:val="24"/>
          <w:szCs w:val="16"/>
        </w:rPr>
        <w:t>，项目已动工建设，选址唯一，不存在比选方案。因此，</w:t>
      </w:r>
      <w:r>
        <w:rPr>
          <w:rFonts w:ascii="Times New Roman"/>
          <w:sz w:val="24"/>
          <w:szCs w:val="16"/>
        </w:rPr>
        <w:lastRenderedPageBreak/>
        <w:t>主体设计项目建设没有场址比选，本方案也无场址比选。</w:t>
      </w:r>
    </w:p>
    <w:p w:rsidR="00F44F7B" w:rsidRDefault="00730D49">
      <w:pPr>
        <w:pStyle w:val="BZDL1"/>
        <w:spacing w:beforeLines="0" w:before="0" w:afterLines="0" w:after="0" w:line="360" w:lineRule="auto"/>
        <w:ind w:firstLine="480"/>
        <w:rPr>
          <w:rFonts w:ascii="Times New Roman"/>
          <w:sz w:val="24"/>
          <w:szCs w:val="16"/>
        </w:rPr>
      </w:pPr>
      <w:r>
        <w:rPr>
          <w:rFonts w:ascii="Times New Roman"/>
          <w:sz w:val="24"/>
          <w:szCs w:val="16"/>
        </w:rPr>
        <w:t>本项目不在泥石流易发区、崩塌、滑坡危险区以及易引起严重水土流失和生态恶化的地区；本项目不在河流两岸、湖泊和水库周边的植物保护带范围内。本项目不属于全国水土保持监测网络中的水土保持监测站点、重点实验区及国家确定的水土保持长期定位观测站。本项目不存在绝对制约性因素。本项目存在的制约性因素主要为：</w:t>
      </w:r>
    </w:p>
    <w:p w:rsidR="00F44F7B" w:rsidRDefault="00730D49">
      <w:pPr>
        <w:pStyle w:val="BZDL1"/>
        <w:spacing w:beforeLines="0" w:before="0" w:afterLines="0" w:after="0" w:line="360" w:lineRule="auto"/>
        <w:ind w:firstLine="480"/>
        <w:rPr>
          <w:rFonts w:ascii="Times New Roman"/>
          <w:sz w:val="24"/>
          <w:szCs w:val="16"/>
        </w:rPr>
      </w:pPr>
      <w:r>
        <w:rPr>
          <w:rFonts w:ascii="Times New Roman"/>
          <w:sz w:val="24"/>
          <w:szCs w:val="16"/>
        </w:rPr>
        <w:t>本项目属于未批先建项目，违反水土保持法，本方案为补报方案，建设单位后续</w:t>
      </w:r>
      <w:r>
        <w:rPr>
          <w:rFonts w:ascii="Times New Roman" w:hint="eastAsia"/>
          <w:sz w:val="24"/>
          <w:szCs w:val="16"/>
        </w:rPr>
        <w:t>建</w:t>
      </w:r>
      <w:r>
        <w:rPr>
          <w:rFonts w:ascii="Times New Roman"/>
          <w:sz w:val="24"/>
          <w:szCs w:val="16"/>
        </w:rPr>
        <w:t>设中必须确保三同时后续的环节能得到落实。</w:t>
      </w:r>
    </w:p>
    <w:p w:rsidR="00F44F7B" w:rsidRDefault="00730D49">
      <w:pPr>
        <w:pStyle w:val="BZDL1"/>
        <w:spacing w:beforeLines="0" w:before="0" w:afterLines="0" w:after="0" w:line="360" w:lineRule="auto"/>
        <w:ind w:firstLine="480"/>
        <w:rPr>
          <w:szCs w:val="16"/>
        </w:rPr>
      </w:pPr>
      <w:r>
        <w:rPr>
          <w:rFonts w:ascii="Times New Roman"/>
          <w:sz w:val="24"/>
          <w:szCs w:val="16"/>
        </w:rPr>
        <w:t>从水土保持角度分析，本工程项目区主体工程选址及总体布局、施工工艺、施工组织等不涉及《生产建设项目水土保持技术标准》（</w:t>
      </w:r>
      <w:r>
        <w:rPr>
          <w:rFonts w:ascii="Times New Roman"/>
          <w:sz w:val="24"/>
          <w:szCs w:val="16"/>
        </w:rPr>
        <w:t>GB50433-2018</w:t>
      </w:r>
      <w:r>
        <w:rPr>
          <w:rFonts w:ascii="Times New Roman"/>
          <w:sz w:val="24"/>
          <w:szCs w:val="16"/>
        </w:rPr>
        <w:t>）规定的绝对限制行为，同时本项目大部分已建设完成，未按建设项目</w:t>
      </w:r>
      <w:r>
        <w:rPr>
          <w:rFonts w:ascii="Times New Roman"/>
          <w:sz w:val="24"/>
          <w:szCs w:val="16"/>
        </w:rPr>
        <w:t>“</w:t>
      </w:r>
      <w:r>
        <w:rPr>
          <w:rFonts w:ascii="Times New Roman"/>
          <w:sz w:val="24"/>
          <w:szCs w:val="16"/>
        </w:rPr>
        <w:t>三同时</w:t>
      </w:r>
      <w:r>
        <w:rPr>
          <w:rFonts w:ascii="Times New Roman"/>
          <w:sz w:val="24"/>
          <w:szCs w:val="16"/>
        </w:rPr>
        <w:t>”</w:t>
      </w:r>
      <w:r>
        <w:rPr>
          <w:rFonts w:ascii="Times New Roman"/>
          <w:sz w:val="24"/>
          <w:szCs w:val="16"/>
        </w:rPr>
        <w:t>的制度进行施工</w:t>
      </w:r>
      <w:r>
        <w:rPr>
          <w:rFonts w:ascii="Times New Roman" w:hint="eastAsia"/>
          <w:sz w:val="24"/>
          <w:szCs w:val="16"/>
        </w:rPr>
        <w:t>。</w:t>
      </w:r>
      <w:r>
        <w:rPr>
          <w:rFonts w:ascii="Times New Roman"/>
          <w:sz w:val="24"/>
          <w:szCs w:val="16"/>
        </w:rPr>
        <w:t>因此，需要做好水土流失防治工作，优化实施工艺，及时落实水土保持措施、减少地表扰动和植被破坏范围、严格保护植物等措施，可有效控制可能造成的水土流失。从水土保持的角度分析，主</w:t>
      </w:r>
      <w:r>
        <w:rPr>
          <w:rFonts w:ascii="Times New Roman"/>
          <w:sz w:val="24"/>
          <w:szCs w:val="16"/>
        </w:rPr>
        <w:t>体工程建设方案可行。</w:t>
      </w:r>
    </w:p>
    <w:p w:rsidR="00F44F7B" w:rsidRDefault="00730D49">
      <w:pPr>
        <w:pStyle w:val="2"/>
      </w:pPr>
      <w:bookmarkStart w:id="28" w:name="_Toc61605677"/>
      <w:bookmarkStart w:id="29" w:name="_Toc28278"/>
      <w:bookmarkStart w:id="30" w:name="_Toc61602697"/>
      <w:bookmarkStart w:id="31" w:name="_Toc14242"/>
      <w:bookmarkEnd w:id="4"/>
      <w:bookmarkEnd w:id="5"/>
      <w:r>
        <w:t>1.</w:t>
      </w:r>
      <w:r>
        <w:rPr>
          <w:rFonts w:hint="eastAsia"/>
        </w:rPr>
        <w:t>1</w:t>
      </w:r>
      <w:r>
        <w:rPr>
          <w:rFonts w:hint="eastAsia"/>
        </w:rPr>
        <w:t>3</w:t>
      </w:r>
      <w:r>
        <w:t>编制依据</w:t>
      </w:r>
      <w:bookmarkEnd w:id="28"/>
      <w:bookmarkEnd w:id="29"/>
      <w:bookmarkEnd w:id="30"/>
    </w:p>
    <w:p w:rsidR="00F44F7B" w:rsidRDefault="00730D49">
      <w:pPr>
        <w:pStyle w:val="3"/>
      </w:pPr>
      <w:bookmarkStart w:id="32" w:name="_Toc192120386"/>
      <w:bookmarkStart w:id="33" w:name="_Toc178790356"/>
      <w:bookmarkStart w:id="34" w:name="_Toc192944256"/>
      <w:bookmarkStart w:id="35" w:name="_Toc171827815"/>
      <w:bookmarkStart w:id="36" w:name="_Toc177489038"/>
      <w:bookmarkStart w:id="37" w:name="_Toc171827710"/>
      <w:bookmarkStart w:id="38" w:name="_Toc171826979"/>
      <w:bookmarkStart w:id="39" w:name="_Toc178342477"/>
      <w:bookmarkStart w:id="40" w:name="_Toc178223208"/>
      <w:bookmarkStart w:id="41" w:name="_Toc197241244"/>
      <w:bookmarkStart w:id="42" w:name="_Toc171826783"/>
      <w:bookmarkStart w:id="43" w:name="_Toc158454339"/>
      <w:r>
        <w:t>1.</w:t>
      </w:r>
      <w:r>
        <w:rPr>
          <w:rFonts w:hint="eastAsia"/>
        </w:rPr>
        <w:t>1</w:t>
      </w:r>
      <w:r>
        <w:rPr>
          <w:rFonts w:hint="eastAsia"/>
        </w:rPr>
        <w:t>3</w:t>
      </w:r>
      <w:r>
        <w:t>.1</w:t>
      </w:r>
      <w:r>
        <w:t>法律法规</w:t>
      </w:r>
      <w:bookmarkEnd w:id="32"/>
      <w:bookmarkEnd w:id="33"/>
      <w:bookmarkEnd w:id="34"/>
      <w:bookmarkEnd w:id="35"/>
      <w:bookmarkEnd w:id="36"/>
      <w:bookmarkEnd w:id="37"/>
      <w:bookmarkEnd w:id="38"/>
      <w:bookmarkEnd w:id="39"/>
      <w:bookmarkEnd w:id="40"/>
      <w:bookmarkEnd w:id="41"/>
      <w:bookmarkEnd w:id="42"/>
      <w:bookmarkEnd w:id="43"/>
    </w:p>
    <w:p w:rsidR="00F44F7B" w:rsidRDefault="00730D49">
      <w:pPr>
        <w:pStyle w:val="BZDL1"/>
        <w:spacing w:beforeLines="0" w:before="0" w:afterLines="0" w:after="0" w:line="360" w:lineRule="auto"/>
        <w:ind w:firstLine="480"/>
        <w:rPr>
          <w:rFonts w:ascii="Times New Roman"/>
          <w:color w:val="0000FF"/>
          <w:sz w:val="24"/>
          <w:szCs w:val="16"/>
        </w:rPr>
      </w:pPr>
      <w:r>
        <w:rPr>
          <w:rFonts w:ascii="Times New Roman" w:hint="eastAsia"/>
          <w:color w:val="0000FF"/>
          <w:sz w:val="24"/>
          <w:szCs w:val="16"/>
        </w:rPr>
        <w:t>（</w:t>
      </w:r>
      <w:r>
        <w:rPr>
          <w:rFonts w:ascii="Times New Roman" w:hint="eastAsia"/>
          <w:color w:val="0000FF"/>
          <w:sz w:val="24"/>
          <w:szCs w:val="16"/>
        </w:rPr>
        <w:t>1</w:t>
      </w:r>
      <w:r>
        <w:rPr>
          <w:rFonts w:ascii="Times New Roman" w:hint="eastAsia"/>
          <w:color w:val="0000FF"/>
          <w:sz w:val="24"/>
          <w:szCs w:val="16"/>
        </w:rPr>
        <w:t>）</w:t>
      </w:r>
      <w:r>
        <w:rPr>
          <w:rFonts w:ascii="Times New Roman"/>
          <w:color w:val="0000FF"/>
          <w:sz w:val="24"/>
          <w:szCs w:val="16"/>
        </w:rPr>
        <w:t>《中华人民共和国水土保持法》（</w:t>
      </w:r>
      <w:r>
        <w:rPr>
          <w:rFonts w:ascii="Times New Roman"/>
          <w:color w:val="0000FF"/>
          <w:sz w:val="24"/>
          <w:szCs w:val="16"/>
        </w:rPr>
        <w:t>1991</w:t>
      </w:r>
      <w:r>
        <w:rPr>
          <w:rFonts w:ascii="Times New Roman"/>
          <w:color w:val="0000FF"/>
          <w:sz w:val="24"/>
          <w:szCs w:val="16"/>
        </w:rPr>
        <w:t>年</w:t>
      </w:r>
      <w:r>
        <w:rPr>
          <w:rFonts w:ascii="Times New Roman"/>
          <w:color w:val="0000FF"/>
          <w:sz w:val="24"/>
          <w:szCs w:val="16"/>
        </w:rPr>
        <w:t>6</w:t>
      </w:r>
      <w:r>
        <w:rPr>
          <w:rFonts w:ascii="Times New Roman"/>
          <w:color w:val="0000FF"/>
          <w:sz w:val="24"/>
          <w:szCs w:val="16"/>
        </w:rPr>
        <w:t>月</w:t>
      </w:r>
      <w:r>
        <w:rPr>
          <w:rFonts w:ascii="Times New Roman"/>
          <w:color w:val="0000FF"/>
          <w:sz w:val="24"/>
          <w:szCs w:val="16"/>
        </w:rPr>
        <w:t>29</w:t>
      </w:r>
      <w:r>
        <w:rPr>
          <w:rFonts w:ascii="Times New Roman"/>
          <w:color w:val="0000FF"/>
          <w:sz w:val="24"/>
          <w:szCs w:val="16"/>
        </w:rPr>
        <w:t>日颁布，</w:t>
      </w:r>
      <w:r>
        <w:rPr>
          <w:rFonts w:ascii="Times New Roman"/>
          <w:color w:val="0000FF"/>
          <w:sz w:val="24"/>
          <w:szCs w:val="16"/>
        </w:rPr>
        <w:t>2010</w:t>
      </w:r>
      <w:r>
        <w:rPr>
          <w:rFonts w:ascii="Times New Roman"/>
          <w:color w:val="0000FF"/>
          <w:sz w:val="24"/>
          <w:szCs w:val="16"/>
        </w:rPr>
        <w:t>年</w:t>
      </w:r>
      <w:r>
        <w:rPr>
          <w:rFonts w:ascii="Times New Roman"/>
          <w:color w:val="0000FF"/>
          <w:sz w:val="24"/>
          <w:szCs w:val="16"/>
        </w:rPr>
        <w:t>12</w:t>
      </w:r>
      <w:r>
        <w:rPr>
          <w:rFonts w:ascii="Times New Roman"/>
          <w:color w:val="0000FF"/>
          <w:sz w:val="24"/>
          <w:szCs w:val="16"/>
        </w:rPr>
        <w:t>月</w:t>
      </w:r>
      <w:r>
        <w:rPr>
          <w:rFonts w:ascii="Times New Roman"/>
          <w:color w:val="0000FF"/>
          <w:sz w:val="24"/>
          <w:szCs w:val="16"/>
        </w:rPr>
        <w:t>25</w:t>
      </w:r>
      <w:r>
        <w:rPr>
          <w:rFonts w:ascii="Times New Roman"/>
          <w:color w:val="0000FF"/>
          <w:sz w:val="24"/>
          <w:szCs w:val="16"/>
        </w:rPr>
        <w:t>日修订，</w:t>
      </w:r>
      <w:r>
        <w:rPr>
          <w:rFonts w:ascii="Times New Roman"/>
          <w:color w:val="0000FF"/>
          <w:sz w:val="24"/>
          <w:szCs w:val="16"/>
        </w:rPr>
        <w:t>2011</w:t>
      </w:r>
      <w:r>
        <w:rPr>
          <w:rFonts w:ascii="Times New Roman"/>
          <w:color w:val="0000FF"/>
          <w:sz w:val="24"/>
          <w:szCs w:val="16"/>
        </w:rPr>
        <w:t>年</w:t>
      </w:r>
      <w:r>
        <w:rPr>
          <w:rFonts w:ascii="Times New Roman"/>
          <w:color w:val="0000FF"/>
          <w:sz w:val="24"/>
          <w:szCs w:val="16"/>
        </w:rPr>
        <w:t>3</w:t>
      </w:r>
      <w:r>
        <w:rPr>
          <w:rFonts w:ascii="Times New Roman"/>
          <w:color w:val="0000FF"/>
          <w:sz w:val="24"/>
          <w:szCs w:val="16"/>
        </w:rPr>
        <w:t>月</w:t>
      </w:r>
      <w:r>
        <w:rPr>
          <w:rFonts w:ascii="Times New Roman"/>
          <w:color w:val="0000FF"/>
          <w:sz w:val="24"/>
          <w:szCs w:val="16"/>
        </w:rPr>
        <w:t>1</w:t>
      </w:r>
      <w:r>
        <w:rPr>
          <w:rFonts w:ascii="Times New Roman"/>
          <w:color w:val="0000FF"/>
          <w:sz w:val="24"/>
          <w:szCs w:val="16"/>
        </w:rPr>
        <w:t>日起施行）；</w:t>
      </w:r>
    </w:p>
    <w:p w:rsidR="00F44F7B" w:rsidRDefault="00730D49">
      <w:pPr>
        <w:pStyle w:val="BZDL1"/>
        <w:spacing w:beforeLines="0" w:before="0" w:afterLines="0" w:after="0" w:line="360" w:lineRule="auto"/>
        <w:ind w:firstLine="480"/>
        <w:rPr>
          <w:rFonts w:ascii="Times New Roman"/>
          <w:color w:val="0000FF"/>
          <w:sz w:val="24"/>
          <w:szCs w:val="16"/>
        </w:rPr>
      </w:pPr>
      <w:r>
        <w:rPr>
          <w:rFonts w:ascii="Times New Roman" w:hint="eastAsia"/>
          <w:color w:val="0000FF"/>
          <w:sz w:val="24"/>
          <w:szCs w:val="16"/>
        </w:rPr>
        <w:t>（</w:t>
      </w:r>
      <w:r>
        <w:rPr>
          <w:rFonts w:ascii="Times New Roman" w:hint="eastAsia"/>
          <w:color w:val="0000FF"/>
          <w:sz w:val="24"/>
          <w:szCs w:val="16"/>
        </w:rPr>
        <w:t>2</w:t>
      </w:r>
      <w:r>
        <w:rPr>
          <w:rFonts w:ascii="Times New Roman" w:hint="eastAsia"/>
          <w:color w:val="0000FF"/>
          <w:sz w:val="24"/>
          <w:szCs w:val="16"/>
        </w:rPr>
        <w:t>）</w:t>
      </w:r>
      <w:r>
        <w:rPr>
          <w:rFonts w:ascii="Times New Roman"/>
          <w:color w:val="0000FF"/>
          <w:sz w:val="24"/>
          <w:szCs w:val="16"/>
        </w:rPr>
        <w:t>《四川省〈中华人民共和国水土保持法〉实施办法》（四川省人大常委，</w:t>
      </w:r>
      <w:r>
        <w:rPr>
          <w:rFonts w:ascii="Times New Roman"/>
          <w:color w:val="0000FF"/>
          <w:sz w:val="24"/>
          <w:szCs w:val="16"/>
        </w:rPr>
        <w:t>1993</w:t>
      </w:r>
      <w:r>
        <w:rPr>
          <w:rFonts w:ascii="Times New Roman"/>
          <w:color w:val="0000FF"/>
          <w:sz w:val="24"/>
          <w:szCs w:val="16"/>
        </w:rPr>
        <w:t>年</w:t>
      </w:r>
      <w:r>
        <w:rPr>
          <w:rFonts w:ascii="Times New Roman"/>
          <w:color w:val="0000FF"/>
          <w:sz w:val="24"/>
          <w:szCs w:val="16"/>
        </w:rPr>
        <w:t>12</w:t>
      </w:r>
      <w:r>
        <w:rPr>
          <w:rFonts w:ascii="Times New Roman"/>
          <w:color w:val="0000FF"/>
          <w:sz w:val="24"/>
          <w:szCs w:val="16"/>
        </w:rPr>
        <w:t>月</w:t>
      </w:r>
      <w:r>
        <w:rPr>
          <w:rFonts w:ascii="Times New Roman"/>
          <w:color w:val="0000FF"/>
          <w:sz w:val="24"/>
          <w:szCs w:val="16"/>
        </w:rPr>
        <w:t>15</w:t>
      </w:r>
      <w:r>
        <w:rPr>
          <w:rFonts w:ascii="Times New Roman"/>
          <w:color w:val="0000FF"/>
          <w:sz w:val="24"/>
          <w:szCs w:val="16"/>
        </w:rPr>
        <w:t>日通过，</w:t>
      </w:r>
      <w:r>
        <w:rPr>
          <w:rFonts w:ascii="Times New Roman"/>
          <w:color w:val="0000FF"/>
          <w:sz w:val="24"/>
          <w:szCs w:val="16"/>
        </w:rPr>
        <w:t>1997</w:t>
      </w:r>
      <w:r>
        <w:rPr>
          <w:rFonts w:ascii="Times New Roman"/>
          <w:color w:val="0000FF"/>
          <w:sz w:val="24"/>
          <w:szCs w:val="16"/>
        </w:rPr>
        <w:t>年</w:t>
      </w:r>
      <w:r>
        <w:rPr>
          <w:rFonts w:ascii="Times New Roman"/>
          <w:color w:val="0000FF"/>
          <w:sz w:val="24"/>
          <w:szCs w:val="16"/>
        </w:rPr>
        <w:t>10</w:t>
      </w:r>
      <w:r>
        <w:rPr>
          <w:rFonts w:ascii="Times New Roman"/>
          <w:color w:val="0000FF"/>
          <w:sz w:val="24"/>
          <w:szCs w:val="16"/>
        </w:rPr>
        <w:t>月</w:t>
      </w:r>
      <w:r>
        <w:rPr>
          <w:rFonts w:ascii="Times New Roman"/>
          <w:color w:val="0000FF"/>
          <w:sz w:val="24"/>
          <w:szCs w:val="16"/>
        </w:rPr>
        <w:t>17</w:t>
      </w:r>
      <w:r>
        <w:rPr>
          <w:rFonts w:ascii="Times New Roman"/>
          <w:color w:val="0000FF"/>
          <w:sz w:val="24"/>
          <w:szCs w:val="16"/>
        </w:rPr>
        <w:t>日修正，</w:t>
      </w:r>
      <w:r>
        <w:rPr>
          <w:rFonts w:ascii="Times New Roman"/>
          <w:color w:val="0000FF"/>
          <w:sz w:val="24"/>
          <w:szCs w:val="16"/>
        </w:rPr>
        <w:t>2012</w:t>
      </w:r>
      <w:r>
        <w:rPr>
          <w:rFonts w:ascii="Times New Roman"/>
          <w:color w:val="0000FF"/>
          <w:sz w:val="24"/>
          <w:szCs w:val="16"/>
        </w:rPr>
        <w:t>年</w:t>
      </w:r>
      <w:r>
        <w:rPr>
          <w:rFonts w:ascii="Times New Roman"/>
          <w:color w:val="0000FF"/>
          <w:sz w:val="24"/>
          <w:szCs w:val="16"/>
        </w:rPr>
        <w:t>9</w:t>
      </w:r>
      <w:r>
        <w:rPr>
          <w:rFonts w:ascii="Times New Roman"/>
          <w:color w:val="0000FF"/>
          <w:sz w:val="24"/>
          <w:szCs w:val="16"/>
        </w:rPr>
        <w:t>月</w:t>
      </w:r>
      <w:r>
        <w:rPr>
          <w:rFonts w:ascii="Times New Roman"/>
          <w:color w:val="0000FF"/>
          <w:sz w:val="24"/>
          <w:szCs w:val="16"/>
        </w:rPr>
        <w:t>21</w:t>
      </w:r>
      <w:r>
        <w:rPr>
          <w:rFonts w:ascii="Times New Roman"/>
          <w:color w:val="0000FF"/>
          <w:sz w:val="24"/>
          <w:szCs w:val="16"/>
        </w:rPr>
        <w:t>日修订，自</w:t>
      </w:r>
      <w:r>
        <w:rPr>
          <w:rFonts w:ascii="Times New Roman"/>
          <w:color w:val="0000FF"/>
          <w:sz w:val="24"/>
          <w:szCs w:val="16"/>
        </w:rPr>
        <w:t>2012</w:t>
      </w:r>
      <w:r>
        <w:rPr>
          <w:rFonts w:ascii="Times New Roman"/>
          <w:color w:val="0000FF"/>
          <w:sz w:val="24"/>
          <w:szCs w:val="16"/>
        </w:rPr>
        <w:t>年</w:t>
      </w:r>
      <w:r>
        <w:rPr>
          <w:rFonts w:ascii="Times New Roman"/>
          <w:color w:val="0000FF"/>
          <w:sz w:val="24"/>
          <w:szCs w:val="16"/>
        </w:rPr>
        <w:t>12</w:t>
      </w:r>
      <w:r>
        <w:rPr>
          <w:rFonts w:ascii="Times New Roman"/>
          <w:color w:val="0000FF"/>
          <w:sz w:val="24"/>
          <w:szCs w:val="16"/>
        </w:rPr>
        <w:t>月</w:t>
      </w:r>
      <w:r>
        <w:rPr>
          <w:rFonts w:ascii="Times New Roman"/>
          <w:color w:val="0000FF"/>
          <w:sz w:val="24"/>
          <w:szCs w:val="16"/>
        </w:rPr>
        <w:t>1</w:t>
      </w:r>
      <w:r>
        <w:rPr>
          <w:rFonts w:ascii="Times New Roman"/>
          <w:color w:val="0000FF"/>
          <w:sz w:val="24"/>
          <w:szCs w:val="16"/>
        </w:rPr>
        <w:t>日起施行）。</w:t>
      </w:r>
    </w:p>
    <w:p w:rsidR="00F44F7B" w:rsidRDefault="00730D49">
      <w:pPr>
        <w:pStyle w:val="3"/>
      </w:pPr>
      <w:r>
        <w:t>1.</w:t>
      </w:r>
      <w:r>
        <w:rPr>
          <w:rFonts w:hint="eastAsia"/>
        </w:rPr>
        <w:t>1</w:t>
      </w:r>
      <w:r>
        <w:rPr>
          <w:rFonts w:hint="eastAsia"/>
        </w:rPr>
        <w:t>3</w:t>
      </w:r>
      <w:r>
        <w:t>.2</w:t>
      </w:r>
      <w:r>
        <w:rPr>
          <w:rFonts w:hint="eastAsia"/>
        </w:rPr>
        <w:t>规范与标准</w:t>
      </w:r>
    </w:p>
    <w:p w:rsidR="00F44F7B" w:rsidRDefault="00730D49">
      <w:pPr>
        <w:pStyle w:val="BZDL1"/>
        <w:spacing w:beforeLines="0" w:before="0" w:afterLines="0" w:after="0" w:line="360" w:lineRule="auto"/>
        <w:ind w:firstLine="480"/>
        <w:rPr>
          <w:rFonts w:ascii="Times New Roman"/>
          <w:color w:val="0000FF"/>
          <w:sz w:val="24"/>
          <w:szCs w:val="16"/>
        </w:rPr>
      </w:pPr>
      <w:r>
        <w:rPr>
          <w:rFonts w:ascii="Times New Roman"/>
          <w:color w:val="0000FF"/>
          <w:sz w:val="24"/>
          <w:szCs w:val="16"/>
        </w:rPr>
        <w:t>（</w:t>
      </w:r>
      <w:r>
        <w:rPr>
          <w:rFonts w:ascii="Times New Roman"/>
          <w:color w:val="0000FF"/>
          <w:sz w:val="24"/>
          <w:szCs w:val="16"/>
        </w:rPr>
        <w:t>1</w:t>
      </w:r>
      <w:r>
        <w:rPr>
          <w:rFonts w:ascii="Times New Roman"/>
          <w:color w:val="0000FF"/>
          <w:sz w:val="24"/>
          <w:szCs w:val="16"/>
        </w:rPr>
        <w:t>）《生产建设项目水土保持技术标准》（</w:t>
      </w:r>
      <w:r>
        <w:rPr>
          <w:rFonts w:ascii="Times New Roman"/>
          <w:color w:val="0000FF"/>
          <w:sz w:val="24"/>
          <w:szCs w:val="16"/>
        </w:rPr>
        <w:t>GB50433-2018</w:t>
      </w:r>
      <w:r>
        <w:rPr>
          <w:rFonts w:ascii="Times New Roman"/>
          <w:color w:val="0000FF"/>
          <w:sz w:val="24"/>
          <w:szCs w:val="16"/>
        </w:rPr>
        <w:t>）；</w:t>
      </w:r>
    </w:p>
    <w:p w:rsidR="00F44F7B" w:rsidRDefault="00730D49">
      <w:pPr>
        <w:pStyle w:val="BZDL1"/>
        <w:spacing w:beforeLines="0" w:before="0" w:afterLines="0" w:after="0" w:line="360" w:lineRule="auto"/>
        <w:ind w:firstLine="480"/>
        <w:rPr>
          <w:rFonts w:ascii="Times New Roman"/>
          <w:color w:val="0000FF"/>
          <w:sz w:val="24"/>
          <w:szCs w:val="16"/>
        </w:rPr>
      </w:pPr>
      <w:r>
        <w:rPr>
          <w:rFonts w:ascii="Times New Roman"/>
          <w:color w:val="0000FF"/>
          <w:sz w:val="24"/>
          <w:szCs w:val="16"/>
        </w:rPr>
        <w:t>（</w:t>
      </w:r>
      <w:r>
        <w:rPr>
          <w:rFonts w:ascii="Times New Roman"/>
          <w:color w:val="0000FF"/>
          <w:sz w:val="24"/>
          <w:szCs w:val="16"/>
        </w:rPr>
        <w:t>2</w:t>
      </w:r>
      <w:r>
        <w:rPr>
          <w:rFonts w:ascii="Times New Roman"/>
          <w:color w:val="0000FF"/>
          <w:sz w:val="24"/>
          <w:szCs w:val="16"/>
        </w:rPr>
        <w:t>）《生产建设项目水土流失防治标准》（</w:t>
      </w:r>
      <w:r>
        <w:rPr>
          <w:rFonts w:ascii="Times New Roman"/>
          <w:color w:val="0000FF"/>
          <w:sz w:val="24"/>
          <w:szCs w:val="16"/>
        </w:rPr>
        <w:t>GB/T50434-2018</w:t>
      </w:r>
      <w:r>
        <w:rPr>
          <w:rFonts w:ascii="Times New Roman"/>
          <w:color w:val="0000FF"/>
          <w:sz w:val="24"/>
          <w:szCs w:val="16"/>
        </w:rPr>
        <w:t>）；</w:t>
      </w:r>
    </w:p>
    <w:p w:rsidR="00F44F7B" w:rsidRDefault="00730D49">
      <w:pPr>
        <w:pStyle w:val="BZDL1"/>
        <w:spacing w:beforeLines="0" w:before="0" w:afterLines="0" w:after="0" w:line="360" w:lineRule="auto"/>
        <w:ind w:firstLine="480"/>
        <w:rPr>
          <w:rFonts w:ascii="Times New Roman"/>
          <w:color w:val="0000FF"/>
          <w:sz w:val="24"/>
          <w:szCs w:val="16"/>
        </w:rPr>
      </w:pPr>
      <w:r>
        <w:rPr>
          <w:rFonts w:ascii="Times New Roman"/>
          <w:color w:val="0000FF"/>
          <w:sz w:val="24"/>
          <w:szCs w:val="16"/>
        </w:rPr>
        <w:t>（</w:t>
      </w:r>
      <w:r>
        <w:rPr>
          <w:rFonts w:ascii="Times New Roman"/>
          <w:color w:val="0000FF"/>
          <w:sz w:val="24"/>
          <w:szCs w:val="16"/>
        </w:rPr>
        <w:t>3</w:t>
      </w:r>
      <w:r>
        <w:rPr>
          <w:rFonts w:ascii="Times New Roman"/>
          <w:color w:val="0000FF"/>
          <w:sz w:val="24"/>
          <w:szCs w:val="16"/>
        </w:rPr>
        <w:t>）《生产建设项目水土保持监测与评价标准》（</w:t>
      </w:r>
      <w:r>
        <w:rPr>
          <w:rFonts w:ascii="Times New Roman"/>
          <w:color w:val="0000FF"/>
          <w:sz w:val="24"/>
          <w:szCs w:val="16"/>
        </w:rPr>
        <w:t>GB/T51240-2018</w:t>
      </w:r>
      <w:r>
        <w:rPr>
          <w:rFonts w:ascii="Times New Roman"/>
          <w:color w:val="0000FF"/>
          <w:sz w:val="24"/>
          <w:szCs w:val="16"/>
        </w:rPr>
        <w:t>）；</w:t>
      </w:r>
    </w:p>
    <w:p w:rsidR="00F44F7B" w:rsidRDefault="00730D49">
      <w:pPr>
        <w:pStyle w:val="BZDL1"/>
        <w:spacing w:beforeLines="0" w:before="0" w:afterLines="0" w:after="0" w:line="360" w:lineRule="auto"/>
        <w:ind w:firstLine="480"/>
        <w:rPr>
          <w:rFonts w:ascii="Times New Roman"/>
          <w:color w:val="0000FF"/>
          <w:sz w:val="24"/>
          <w:szCs w:val="16"/>
        </w:rPr>
      </w:pPr>
      <w:r>
        <w:rPr>
          <w:rFonts w:ascii="Times New Roman"/>
          <w:color w:val="0000FF"/>
          <w:sz w:val="24"/>
          <w:szCs w:val="16"/>
        </w:rPr>
        <w:t>（</w:t>
      </w:r>
      <w:r>
        <w:rPr>
          <w:rFonts w:ascii="Times New Roman"/>
          <w:color w:val="0000FF"/>
          <w:sz w:val="24"/>
          <w:szCs w:val="16"/>
        </w:rPr>
        <w:t>4</w:t>
      </w:r>
      <w:r>
        <w:rPr>
          <w:rFonts w:ascii="Times New Roman"/>
          <w:color w:val="0000FF"/>
          <w:sz w:val="24"/>
          <w:szCs w:val="16"/>
        </w:rPr>
        <w:t>）《生产建设项目土壤流失量测算导则》（</w:t>
      </w:r>
      <w:r>
        <w:rPr>
          <w:rFonts w:ascii="Times New Roman"/>
          <w:color w:val="0000FF"/>
          <w:sz w:val="24"/>
          <w:szCs w:val="16"/>
        </w:rPr>
        <w:t>SL773-2018</w:t>
      </w:r>
      <w:r>
        <w:rPr>
          <w:rFonts w:ascii="Times New Roman"/>
          <w:color w:val="0000FF"/>
          <w:sz w:val="24"/>
          <w:szCs w:val="16"/>
        </w:rPr>
        <w:t>）；</w:t>
      </w:r>
    </w:p>
    <w:p w:rsidR="00F44F7B" w:rsidRDefault="00730D49">
      <w:pPr>
        <w:pStyle w:val="BZDL1"/>
        <w:spacing w:beforeLines="0" w:before="0" w:afterLines="0" w:after="0" w:line="360" w:lineRule="auto"/>
        <w:ind w:firstLine="480"/>
        <w:rPr>
          <w:rFonts w:ascii="Times New Roman"/>
          <w:color w:val="0000FF"/>
          <w:sz w:val="24"/>
          <w:szCs w:val="16"/>
        </w:rPr>
      </w:pPr>
      <w:r>
        <w:rPr>
          <w:rFonts w:ascii="Times New Roman"/>
          <w:color w:val="0000FF"/>
          <w:sz w:val="24"/>
          <w:szCs w:val="16"/>
        </w:rPr>
        <w:t>（</w:t>
      </w:r>
      <w:r>
        <w:rPr>
          <w:rFonts w:ascii="Times New Roman"/>
          <w:color w:val="0000FF"/>
          <w:sz w:val="24"/>
          <w:szCs w:val="16"/>
        </w:rPr>
        <w:t>5</w:t>
      </w:r>
      <w:r>
        <w:rPr>
          <w:rFonts w:ascii="Times New Roman"/>
          <w:color w:val="0000FF"/>
          <w:sz w:val="24"/>
          <w:szCs w:val="16"/>
        </w:rPr>
        <w:t>）《水土保持工程调查与勘测标准》（</w:t>
      </w:r>
      <w:r>
        <w:rPr>
          <w:rFonts w:ascii="Times New Roman"/>
          <w:color w:val="0000FF"/>
          <w:sz w:val="24"/>
          <w:szCs w:val="16"/>
        </w:rPr>
        <w:t>GB/T51297-2018</w:t>
      </w:r>
      <w:r>
        <w:rPr>
          <w:rFonts w:ascii="Times New Roman"/>
          <w:color w:val="0000FF"/>
          <w:sz w:val="24"/>
          <w:szCs w:val="16"/>
        </w:rPr>
        <w:t>）；</w:t>
      </w:r>
    </w:p>
    <w:p w:rsidR="00F44F7B" w:rsidRDefault="00730D49">
      <w:pPr>
        <w:pStyle w:val="BZDL1"/>
        <w:spacing w:beforeLines="0" w:before="0" w:afterLines="0" w:after="0" w:line="360" w:lineRule="auto"/>
        <w:ind w:firstLine="480"/>
        <w:rPr>
          <w:rFonts w:ascii="Times New Roman"/>
          <w:color w:val="0000FF"/>
          <w:sz w:val="24"/>
          <w:szCs w:val="16"/>
        </w:rPr>
      </w:pPr>
      <w:r>
        <w:rPr>
          <w:rFonts w:ascii="Times New Roman"/>
          <w:color w:val="0000FF"/>
          <w:sz w:val="24"/>
          <w:szCs w:val="16"/>
        </w:rPr>
        <w:t>（</w:t>
      </w:r>
      <w:r>
        <w:rPr>
          <w:rFonts w:ascii="Times New Roman" w:hint="eastAsia"/>
          <w:color w:val="0000FF"/>
          <w:sz w:val="24"/>
          <w:szCs w:val="16"/>
        </w:rPr>
        <w:t>6</w:t>
      </w:r>
      <w:r>
        <w:rPr>
          <w:rFonts w:ascii="Times New Roman"/>
          <w:color w:val="0000FF"/>
          <w:sz w:val="24"/>
          <w:szCs w:val="16"/>
        </w:rPr>
        <w:t>）《土壤侵蚀分类分级标准》（</w:t>
      </w:r>
      <w:r>
        <w:rPr>
          <w:rFonts w:ascii="Times New Roman"/>
          <w:color w:val="0000FF"/>
          <w:sz w:val="24"/>
          <w:szCs w:val="16"/>
        </w:rPr>
        <w:t>SL190-2007</w:t>
      </w:r>
      <w:r>
        <w:rPr>
          <w:rFonts w:ascii="Times New Roman"/>
          <w:color w:val="0000FF"/>
          <w:sz w:val="24"/>
          <w:szCs w:val="16"/>
        </w:rPr>
        <w:t>）；</w:t>
      </w:r>
    </w:p>
    <w:p w:rsidR="00F44F7B" w:rsidRDefault="00730D49">
      <w:pPr>
        <w:pStyle w:val="BZDL1"/>
        <w:spacing w:beforeLines="0" w:before="0" w:afterLines="0" w:after="0" w:line="360" w:lineRule="auto"/>
        <w:ind w:firstLine="480"/>
        <w:rPr>
          <w:rFonts w:ascii="Times New Roman"/>
          <w:color w:val="0000FF"/>
          <w:sz w:val="24"/>
          <w:szCs w:val="16"/>
        </w:rPr>
      </w:pPr>
      <w:r>
        <w:rPr>
          <w:rFonts w:ascii="Times New Roman"/>
          <w:color w:val="0000FF"/>
          <w:sz w:val="24"/>
          <w:szCs w:val="16"/>
        </w:rPr>
        <w:t>（</w:t>
      </w:r>
      <w:r>
        <w:rPr>
          <w:rFonts w:ascii="Times New Roman" w:hint="eastAsia"/>
          <w:color w:val="0000FF"/>
          <w:sz w:val="24"/>
          <w:szCs w:val="16"/>
        </w:rPr>
        <w:t>7</w:t>
      </w:r>
      <w:r>
        <w:rPr>
          <w:rFonts w:ascii="Times New Roman"/>
          <w:color w:val="0000FF"/>
          <w:sz w:val="24"/>
          <w:szCs w:val="16"/>
        </w:rPr>
        <w:t>）《水利水电工程制图标准水土保持图》（</w:t>
      </w:r>
      <w:r>
        <w:rPr>
          <w:rFonts w:ascii="Times New Roman"/>
          <w:color w:val="0000FF"/>
          <w:sz w:val="24"/>
          <w:szCs w:val="16"/>
        </w:rPr>
        <w:t>SL73.6-2015</w:t>
      </w:r>
      <w:r>
        <w:rPr>
          <w:rFonts w:ascii="Times New Roman"/>
          <w:color w:val="0000FF"/>
          <w:sz w:val="24"/>
          <w:szCs w:val="16"/>
        </w:rPr>
        <w:t>）；</w:t>
      </w:r>
    </w:p>
    <w:p w:rsidR="00F44F7B" w:rsidRDefault="00730D49">
      <w:pPr>
        <w:pStyle w:val="BZDL1"/>
        <w:spacing w:beforeLines="0" w:before="0" w:afterLines="0" w:after="0" w:line="360" w:lineRule="auto"/>
        <w:ind w:firstLine="480"/>
        <w:rPr>
          <w:rFonts w:ascii="Times New Roman"/>
          <w:color w:val="0000FF"/>
          <w:sz w:val="24"/>
          <w:szCs w:val="16"/>
        </w:rPr>
      </w:pPr>
      <w:r>
        <w:rPr>
          <w:rFonts w:ascii="Times New Roman"/>
          <w:color w:val="0000FF"/>
          <w:sz w:val="24"/>
          <w:szCs w:val="16"/>
        </w:rPr>
        <w:t>（</w:t>
      </w:r>
      <w:r>
        <w:rPr>
          <w:rFonts w:ascii="Times New Roman" w:hint="eastAsia"/>
          <w:color w:val="0000FF"/>
          <w:sz w:val="24"/>
          <w:szCs w:val="16"/>
        </w:rPr>
        <w:t>8</w:t>
      </w:r>
      <w:r>
        <w:rPr>
          <w:rFonts w:ascii="Times New Roman"/>
          <w:color w:val="0000FF"/>
          <w:sz w:val="24"/>
          <w:szCs w:val="16"/>
        </w:rPr>
        <w:t>）《水土保持试验规程》（</w:t>
      </w:r>
      <w:r>
        <w:rPr>
          <w:rFonts w:ascii="Times New Roman"/>
          <w:color w:val="0000FF"/>
          <w:sz w:val="24"/>
          <w:szCs w:val="16"/>
        </w:rPr>
        <w:t>SL419-2007)</w:t>
      </w:r>
      <w:r>
        <w:rPr>
          <w:rFonts w:ascii="Times New Roman"/>
          <w:color w:val="0000FF"/>
          <w:sz w:val="24"/>
          <w:szCs w:val="16"/>
        </w:rPr>
        <w:t>；</w:t>
      </w:r>
    </w:p>
    <w:p w:rsidR="00F44F7B" w:rsidRDefault="00730D49">
      <w:pPr>
        <w:pStyle w:val="BZDL1"/>
        <w:spacing w:beforeLines="0" w:before="0" w:afterLines="0" w:after="0" w:line="360" w:lineRule="auto"/>
        <w:ind w:firstLine="480"/>
        <w:rPr>
          <w:rFonts w:ascii="Times New Roman"/>
          <w:color w:val="0000FF"/>
          <w:sz w:val="24"/>
          <w:szCs w:val="16"/>
        </w:rPr>
      </w:pPr>
      <w:r>
        <w:rPr>
          <w:rFonts w:ascii="Times New Roman"/>
          <w:color w:val="0000FF"/>
          <w:sz w:val="24"/>
          <w:szCs w:val="16"/>
        </w:rPr>
        <w:t>（</w:t>
      </w:r>
      <w:r>
        <w:rPr>
          <w:rFonts w:ascii="Times New Roman" w:hint="eastAsia"/>
          <w:color w:val="0000FF"/>
          <w:sz w:val="24"/>
          <w:szCs w:val="16"/>
        </w:rPr>
        <w:t>9</w:t>
      </w:r>
      <w:r>
        <w:rPr>
          <w:rFonts w:ascii="Times New Roman"/>
          <w:color w:val="0000FF"/>
          <w:sz w:val="24"/>
          <w:szCs w:val="16"/>
        </w:rPr>
        <w:t>）《土地利用现状分类》（</w:t>
      </w:r>
      <w:r>
        <w:rPr>
          <w:rFonts w:ascii="Times New Roman"/>
          <w:color w:val="0000FF"/>
          <w:sz w:val="24"/>
          <w:szCs w:val="16"/>
        </w:rPr>
        <w:t>GB/T</w:t>
      </w:r>
      <w:r>
        <w:rPr>
          <w:rFonts w:ascii="Times New Roman"/>
          <w:color w:val="0000FF"/>
          <w:sz w:val="24"/>
          <w:szCs w:val="16"/>
        </w:rPr>
        <w:t>21010-2017</w:t>
      </w:r>
      <w:r>
        <w:rPr>
          <w:rFonts w:ascii="Times New Roman"/>
          <w:color w:val="0000FF"/>
          <w:sz w:val="24"/>
          <w:szCs w:val="16"/>
        </w:rPr>
        <w:t>）；</w:t>
      </w:r>
    </w:p>
    <w:p w:rsidR="00F44F7B" w:rsidRDefault="00730D49">
      <w:pPr>
        <w:pStyle w:val="BZDL1"/>
        <w:spacing w:beforeLines="0" w:before="0" w:afterLines="0" w:after="0" w:line="360" w:lineRule="auto"/>
        <w:ind w:firstLine="480"/>
        <w:rPr>
          <w:rFonts w:ascii="Times New Roman"/>
          <w:color w:val="0000FF"/>
          <w:sz w:val="24"/>
          <w:szCs w:val="16"/>
        </w:rPr>
      </w:pPr>
      <w:r>
        <w:rPr>
          <w:rFonts w:ascii="Times New Roman"/>
          <w:color w:val="0000FF"/>
          <w:sz w:val="24"/>
          <w:szCs w:val="16"/>
        </w:rPr>
        <w:lastRenderedPageBreak/>
        <w:t>（</w:t>
      </w:r>
      <w:r>
        <w:rPr>
          <w:rFonts w:ascii="Times New Roman"/>
          <w:color w:val="0000FF"/>
          <w:sz w:val="24"/>
          <w:szCs w:val="16"/>
        </w:rPr>
        <w:t>1</w:t>
      </w:r>
      <w:r>
        <w:rPr>
          <w:rFonts w:ascii="Times New Roman" w:hint="eastAsia"/>
          <w:color w:val="0000FF"/>
          <w:sz w:val="24"/>
          <w:szCs w:val="16"/>
        </w:rPr>
        <w:t>0</w:t>
      </w:r>
      <w:r>
        <w:rPr>
          <w:rFonts w:ascii="Times New Roman"/>
          <w:color w:val="0000FF"/>
          <w:sz w:val="24"/>
          <w:szCs w:val="16"/>
        </w:rPr>
        <w:t>）《水土保持工程设计规范》（</w:t>
      </w:r>
      <w:r>
        <w:rPr>
          <w:rFonts w:ascii="Times New Roman"/>
          <w:color w:val="0000FF"/>
          <w:sz w:val="24"/>
          <w:szCs w:val="16"/>
        </w:rPr>
        <w:t>GB51018-2014</w:t>
      </w:r>
      <w:r>
        <w:rPr>
          <w:rFonts w:ascii="Times New Roman"/>
          <w:color w:val="0000FF"/>
          <w:sz w:val="24"/>
          <w:szCs w:val="16"/>
        </w:rPr>
        <w:t>）；</w:t>
      </w:r>
    </w:p>
    <w:p w:rsidR="00F44F7B" w:rsidRDefault="00730D49">
      <w:pPr>
        <w:pStyle w:val="BZDL1"/>
        <w:spacing w:beforeLines="0" w:before="0" w:afterLines="0" w:after="0" w:line="360" w:lineRule="auto"/>
        <w:ind w:firstLine="480"/>
        <w:rPr>
          <w:rFonts w:ascii="Times New Roman"/>
          <w:color w:val="0000FF"/>
          <w:sz w:val="24"/>
          <w:szCs w:val="16"/>
        </w:rPr>
      </w:pPr>
      <w:r>
        <w:rPr>
          <w:rFonts w:ascii="Times New Roman"/>
          <w:color w:val="0000FF"/>
          <w:sz w:val="24"/>
          <w:szCs w:val="16"/>
        </w:rPr>
        <w:t>（</w:t>
      </w:r>
      <w:r>
        <w:rPr>
          <w:rFonts w:ascii="Times New Roman"/>
          <w:color w:val="0000FF"/>
          <w:sz w:val="24"/>
          <w:szCs w:val="16"/>
        </w:rPr>
        <w:t>1</w:t>
      </w:r>
      <w:r>
        <w:rPr>
          <w:rFonts w:ascii="Times New Roman" w:hint="eastAsia"/>
          <w:color w:val="0000FF"/>
          <w:sz w:val="24"/>
          <w:szCs w:val="16"/>
        </w:rPr>
        <w:t>1</w:t>
      </w:r>
      <w:r>
        <w:rPr>
          <w:rFonts w:ascii="Times New Roman"/>
          <w:color w:val="0000FF"/>
          <w:sz w:val="24"/>
          <w:szCs w:val="16"/>
        </w:rPr>
        <w:t>）《水土流失危险程度分级标准》（</w:t>
      </w:r>
      <w:r>
        <w:rPr>
          <w:rFonts w:ascii="Times New Roman"/>
          <w:color w:val="0000FF"/>
          <w:sz w:val="24"/>
          <w:szCs w:val="16"/>
        </w:rPr>
        <w:t>SL718-2015</w:t>
      </w:r>
      <w:r>
        <w:rPr>
          <w:rFonts w:ascii="Times New Roman"/>
          <w:color w:val="0000FF"/>
          <w:sz w:val="24"/>
          <w:szCs w:val="16"/>
        </w:rPr>
        <w:t>）。</w:t>
      </w:r>
    </w:p>
    <w:p w:rsidR="00F44F7B" w:rsidRDefault="00730D49">
      <w:pPr>
        <w:pStyle w:val="BZDL1"/>
        <w:spacing w:beforeLines="0" w:before="0" w:afterLines="0" w:after="0" w:line="360" w:lineRule="auto"/>
        <w:ind w:firstLine="480"/>
        <w:rPr>
          <w:rFonts w:ascii="Times New Roman"/>
          <w:color w:val="0000FF"/>
          <w:sz w:val="24"/>
          <w:szCs w:val="16"/>
        </w:rPr>
      </w:pPr>
      <w:r>
        <w:rPr>
          <w:rFonts w:ascii="Times New Roman"/>
          <w:color w:val="0000FF"/>
          <w:sz w:val="24"/>
          <w:szCs w:val="16"/>
        </w:rPr>
        <w:t>（</w:t>
      </w:r>
      <w:r>
        <w:rPr>
          <w:rFonts w:ascii="Times New Roman" w:hint="eastAsia"/>
          <w:color w:val="0000FF"/>
          <w:sz w:val="24"/>
          <w:szCs w:val="16"/>
        </w:rPr>
        <w:t>12</w:t>
      </w:r>
      <w:r>
        <w:rPr>
          <w:rFonts w:ascii="Times New Roman"/>
          <w:color w:val="0000FF"/>
          <w:sz w:val="24"/>
          <w:szCs w:val="16"/>
        </w:rPr>
        <w:t>）《防洪标准》（</w:t>
      </w:r>
      <w:r>
        <w:rPr>
          <w:rFonts w:ascii="Times New Roman"/>
          <w:color w:val="0000FF"/>
          <w:sz w:val="24"/>
          <w:szCs w:val="16"/>
        </w:rPr>
        <w:t>GB50201-2014</w:t>
      </w:r>
      <w:r>
        <w:rPr>
          <w:rFonts w:ascii="Times New Roman"/>
          <w:color w:val="0000FF"/>
          <w:sz w:val="24"/>
          <w:szCs w:val="16"/>
        </w:rPr>
        <w:t>）；</w:t>
      </w:r>
    </w:p>
    <w:p w:rsidR="00F44F7B" w:rsidRDefault="00730D49">
      <w:pPr>
        <w:pStyle w:val="BZDL1"/>
        <w:spacing w:beforeLines="0" w:before="0" w:afterLines="0" w:after="0" w:line="360" w:lineRule="auto"/>
        <w:ind w:firstLine="480"/>
        <w:rPr>
          <w:rFonts w:ascii="Times New Roman"/>
          <w:color w:val="0000FF"/>
          <w:sz w:val="24"/>
          <w:szCs w:val="16"/>
        </w:rPr>
      </w:pPr>
      <w:r>
        <w:rPr>
          <w:rFonts w:ascii="Times New Roman"/>
          <w:color w:val="0000FF"/>
          <w:sz w:val="24"/>
          <w:szCs w:val="16"/>
        </w:rPr>
        <w:t>（</w:t>
      </w:r>
      <w:r>
        <w:rPr>
          <w:rFonts w:ascii="Times New Roman"/>
          <w:color w:val="0000FF"/>
          <w:sz w:val="24"/>
          <w:szCs w:val="16"/>
        </w:rPr>
        <w:t>1</w:t>
      </w:r>
      <w:r>
        <w:rPr>
          <w:rFonts w:ascii="Times New Roman" w:hint="eastAsia"/>
          <w:color w:val="0000FF"/>
          <w:sz w:val="24"/>
          <w:szCs w:val="16"/>
        </w:rPr>
        <w:t>3</w:t>
      </w:r>
      <w:r>
        <w:rPr>
          <w:rFonts w:ascii="Times New Roman"/>
          <w:color w:val="0000FF"/>
          <w:sz w:val="24"/>
          <w:szCs w:val="16"/>
        </w:rPr>
        <w:t>）《中国地震动参数区划图》</w:t>
      </w:r>
      <w:r>
        <w:rPr>
          <w:rFonts w:ascii="Times New Roman"/>
          <w:color w:val="0000FF"/>
          <w:sz w:val="24"/>
          <w:szCs w:val="16"/>
        </w:rPr>
        <w:t>(GB18306-2015)</w:t>
      </w:r>
      <w:r>
        <w:rPr>
          <w:rFonts w:ascii="Times New Roman"/>
          <w:color w:val="0000FF"/>
          <w:sz w:val="24"/>
          <w:szCs w:val="16"/>
        </w:rPr>
        <w:t>。</w:t>
      </w:r>
    </w:p>
    <w:p w:rsidR="00F44F7B" w:rsidRDefault="00730D49">
      <w:pPr>
        <w:pStyle w:val="3"/>
      </w:pPr>
      <w:r>
        <w:t>1.</w:t>
      </w:r>
      <w:r>
        <w:rPr>
          <w:rFonts w:hint="eastAsia"/>
        </w:rPr>
        <w:t>1</w:t>
      </w:r>
      <w:r>
        <w:rPr>
          <w:rFonts w:hint="eastAsia"/>
        </w:rPr>
        <w:t>3</w:t>
      </w:r>
      <w:r>
        <w:t>.</w:t>
      </w:r>
      <w:r>
        <w:rPr>
          <w:rFonts w:hint="eastAsia"/>
        </w:rPr>
        <w:t>3</w:t>
      </w:r>
      <w:r>
        <w:t>技术文件及资料</w:t>
      </w:r>
    </w:p>
    <w:p w:rsidR="00F44F7B" w:rsidRDefault="00730D49">
      <w:pPr>
        <w:pStyle w:val="BZDL1"/>
        <w:spacing w:beforeLines="0" w:before="0" w:afterLines="0" w:after="0" w:line="360" w:lineRule="auto"/>
        <w:ind w:firstLine="480"/>
        <w:rPr>
          <w:rFonts w:ascii="Times New Roman"/>
          <w:color w:val="0000FF"/>
          <w:sz w:val="24"/>
          <w:szCs w:val="16"/>
        </w:rPr>
      </w:pPr>
      <w:r>
        <w:rPr>
          <w:rFonts w:ascii="Times New Roman"/>
          <w:color w:val="0000FF"/>
          <w:sz w:val="24"/>
          <w:szCs w:val="16"/>
        </w:rPr>
        <w:t>（</w:t>
      </w:r>
      <w:r>
        <w:rPr>
          <w:rFonts w:ascii="Times New Roman" w:hint="eastAsia"/>
          <w:color w:val="0000FF"/>
          <w:sz w:val="24"/>
          <w:szCs w:val="16"/>
        </w:rPr>
        <w:t>1</w:t>
      </w:r>
      <w:r>
        <w:rPr>
          <w:rFonts w:ascii="Times New Roman"/>
          <w:color w:val="0000FF"/>
          <w:sz w:val="24"/>
          <w:szCs w:val="16"/>
        </w:rPr>
        <w:t>）</w:t>
      </w:r>
      <w:r>
        <w:rPr>
          <w:rFonts w:ascii="Times New Roman" w:hint="eastAsia"/>
          <w:color w:val="0000FF"/>
          <w:sz w:val="24"/>
          <w:szCs w:val="16"/>
        </w:rPr>
        <w:t>《仪陇县水土保持规划》（</w:t>
      </w:r>
      <w:r>
        <w:rPr>
          <w:rFonts w:ascii="Times New Roman" w:hint="eastAsia"/>
          <w:color w:val="0000FF"/>
          <w:sz w:val="24"/>
          <w:szCs w:val="16"/>
        </w:rPr>
        <w:t>2015-2030</w:t>
      </w:r>
      <w:r>
        <w:rPr>
          <w:rFonts w:ascii="Times New Roman" w:hint="eastAsia"/>
          <w:color w:val="0000FF"/>
          <w:sz w:val="24"/>
          <w:szCs w:val="16"/>
        </w:rPr>
        <w:t>）；</w:t>
      </w:r>
    </w:p>
    <w:p w:rsidR="00F44F7B" w:rsidRDefault="00730D49">
      <w:pPr>
        <w:pStyle w:val="BZDL1"/>
        <w:spacing w:beforeLines="0" w:before="0" w:afterLines="0" w:after="0" w:line="360" w:lineRule="auto"/>
        <w:ind w:firstLine="480"/>
        <w:rPr>
          <w:rFonts w:ascii="Times New Roman"/>
          <w:color w:val="0000FF"/>
          <w:sz w:val="24"/>
          <w:szCs w:val="16"/>
        </w:rPr>
      </w:pPr>
      <w:r>
        <w:rPr>
          <w:rFonts w:ascii="Times New Roman"/>
          <w:color w:val="0000FF"/>
          <w:sz w:val="24"/>
          <w:szCs w:val="16"/>
        </w:rPr>
        <w:t>（</w:t>
      </w:r>
      <w:r>
        <w:rPr>
          <w:rFonts w:ascii="Times New Roman" w:hint="eastAsia"/>
          <w:color w:val="0000FF"/>
          <w:sz w:val="24"/>
          <w:szCs w:val="16"/>
        </w:rPr>
        <w:t>2</w:t>
      </w:r>
      <w:r>
        <w:rPr>
          <w:rFonts w:ascii="Times New Roman"/>
          <w:color w:val="0000FF"/>
          <w:sz w:val="24"/>
          <w:szCs w:val="16"/>
        </w:rPr>
        <w:t>）《</w:t>
      </w:r>
      <w:r>
        <w:rPr>
          <w:rFonts w:ascii="Times New Roman" w:hint="eastAsia"/>
          <w:color w:val="0000FF"/>
          <w:sz w:val="24"/>
          <w:szCs w:val="16"/>
        </w:rPr>
        <w:t>仪陇省发展和改革局关于下达仪陇县马鞍镇七星路</w:t>
      </w:r>
      <w:r>
        <w:rPr>
          <w:rFonts w:ascii="Times New Roman" w:hint="eastAsia"/>
          <w:color w:val="0000FF"/>
          <w:sz w:val="24"/>
          <w:szCs w:val="16"/>
        </w:rPr>
        <w:t>A</w:t>
      </w:r>
      <w:r>
        <w:rPr>
          <w:rFonts w:ascii="Times New Roman" w:hint="eastAsia"/>
          <w:color w:val="0000FF"/>
          <w:sz w:val="24"/>
          <w:szCs w:val="16"/>
        </w:rPr>
        <w:t>段道路建设项目投资计划的通知</w:t>
      </w:r>
      <w:r>
        <w:rPr>
          <w:rFonts w:ascii="Times New Roman"/>
          <w:color w:val="0000FF"/>
          <w:sz w:val="24"/>
          <w:szCs w:val="16"/>
        </w:rPr>
        <w:t>》（</w:t>
      </w:r>
      <w:r>
        <w:rPr>
          <w:rFonts w:ascii="Times New Roman" w:hint="eastAsia"/>
          <w:color w:val="0000FF"/>
          <w:sz w:val="24"/>
          <w:szCs w:val="16"/>
        </w:rPr>
        <w:t>仪发改审批</w:t>
      </w:r>
      <w:r>
        <w:rPr>
          <w:rFonts w:ascii="Times New Roman" w:hint="eastAsia"/>
          <w:color w:val="0000FF"/>
          <w:sz w:val="24"/>
          <w:szCs w:val="16"/>
        </w:rPr>
        <w:t xml:space="preserve"> [</w:t>
      </w:r>
      <w:r>
        <w:rPr>
          <w:rFonts w:ascii="Times New Roman"/>
          <w:color w:val="0000FF"/>
          <w:sz w:val="24"/>
          <w:szCs w:val="16"/>
        </w:rPr>
        <w:t xml:space="preserve"> 2019 ] 140</w:t>
      </w:r>
      <w:r>
        <w:rPr>
          <w:rFonts w:ascii="Times New Roman"/>
          <w:color w:val="0000FF"/>
          <w:sz w:val="24"/>
          <w:szCs w:val="16"/>
        </w:rPr>
        <w:t>号）</w:t>
      </w:r>
      <w:r>
        <w:rPr>
          <w:rFonts w:ascii="Times New Roman" w:hint="eastAsia"/>
          <w:color w:val="0000FF"/>
          <w:sz w:val="24"/>
          <w:szCs w:val="16"/>
        </w:rPr>
        <w:t>；</w:t>
      </w:r>
    </w:p>
    <w:p w:rsidR="00F44F7B" w:rsidRDefault="00730D49">
      <w:pPr>
        <w:pStyle w:val="BZDL1"/>
        <w:spacing w:beforeLines="0" w:before="0" w:afterLines="0" w:after="0" w:line="360" w:lineRule="auto"/>
        <w:ind w:firstLine="480"/>
        <w:rPr>
          <w:rFonts w:ascii="Times New Roman"/>
          <w:color w:val="0000FF"/>
          <w:sz w:val="24"/>
          <w:szCs w:val="16"/>
        </w:rPr>
      </w:pPr>
      <w:r>
        <w:rPr>
          <w:rFonts w:ascii="Times New Roman" w:hint="eastAsia"/>
          <w:color w:val="0000FF"/>
          <w:sz w:val="24"/>
          <w:szCs w:val="16"/>
        </w:rPr>
        <w:t>（</w:t>
      </w:r>
      <w:r>
        <w:rPr>
          <w:rFonts w:ascii="Times New Roman" w:hint="eastAsia"/>
          <w:color w:val="0000FF"/>
          <w:sz w:val="24"/>
          <w:szCs w:val="16"/>
        </w:rPr>
        <w:t>3</w:t>
      </w:r>
      <w:r>
        <w:rPr>
          <w:rFonts w:ascii="Times New Roman" w:hint="eastAsia"/>
          <w:color w:val="0000FF"/>
          <w:sz w:val="24"/>
          <w:szCs w:val="16"/>
        </w:rPr>
        <w:t>）</w:t>
      </w:r>
      <w:r>
        <w:rPr>
          <w:rFonts w:ascii="Times New Roman"/>
          <w:color w:val="0000FF"/>
          <w:sz w:val="24"/>
          <w:szCs w:val="16"/>
        </w:rPr>
        <w:t>建设单位提供的其它资料</w:t>
      </w:r>
      <w:r>
        <w:rPr>
          <w:rFonts w:ascii="Times New Roman" w:hint="eastAsia"/>
          <w:color w:val="0000FF"/>
          <w:sz w:val="24"/>
          <w:szCs w:val="16"/>
        </w:rPr>
        <w:t>；</w:t>
      </w:r>
      <w:bookmarkStart w:id="44" w:name="_Toc61601205"/>
      <w:bookmarkStart w:id="45" w:name="_Toc30885"/>
      <w:bookmarkStart w:id="46" w:name="_Toc9160"/>
      <w:bookmarkStart w:id="47" w:name="_Toc23284"/>
      <w:bookmarkStart w:id="48" w:name="_Toc11529"/>
      <w:bookmarkStart w:id="49" w:name="_Toc24167"/>
      <w:bookmarkStart w:id="50" w:name="_Toc9130450"/>
      <w:bookmarkEnd w:id="31"/>
    </w:p>
    <w:p w:rsidR="00F44F7B" w:rsidRDefault="00730D49">
      <w:pPr>
        <w:pStyle w:val="1"/>
      </w:pPr>
      <w:bookmarkStart w:id="51" w:name="_Toc62144052"/>
      <w:bookmarkStart w:id="52" w:name="_Toc61602702"/>
      <w:bookmarkStart w:id="53" w:name="_Toc27678"/>
      <w:r>
        <w:t>2</w:t>
      </w:r>
      <w:r>
        <w:t>项目区概况</w:t>
      </w:r>
      <w:bookmarkEnd w:id="51"/>
      <w:bookmarkEnd w:id="52"/>
      <w:bookmarkEnd w:id="53"/>
    </w:p>
    <w:p w:rsidR="00F44F7B" w:rsidRDefault="00730D49">
      <w:pPr>
        <w:adjustRightInd/>
        <w:snapToGrid/>
        <w:spacing w:line="360" w:lineRule="auto"/>
        <w:ind w:firstLine="560"/>
        <w:rPr>
          <w:color w:val="0000FF"/>
          <w:szCs w:val="24"/>
        </w:rPr>
      </w:pPr>
      <w:r>
        <w:rPr>
          <w:szCs w:val="24"/>
        </w:rPr>
        <w:t>项目区构造单元属扬子准地台黔北台隆六盘水断陷普安旋扭构造变形区。气候类型属中亚热带季风湿润气候，兼有高原型和季风型气候特点，气候温润，温差变化小，气候宜人，山区气候特征明显。据义龙新区气象站统计分析，多年平均气温</w:t>
      </w:r>
      <w:r>
        <w:rPr>
          <w:szCs w:val="24"/>
        </w:rPr>
        <w:t>16.8</w:t>
      </w:r>
      <w:r>
        <w:rPr>
          <w:rFonts w:ascii="宋体" w:eastAsia="宋体" w:hAnsi="宋体" w:cs="宋体" w:hint="eastAsia"/>
          <w:szCs w:val="24"/>
        </w:rPr>
        <w:t>℃</w:t>
      </w:r>
      <w:r>
        <w:rPr>
          <w:szCs w:val="24"/>
        </w:rPr>
        <w:t>，极端最高气温为</w:t>
      </w:r>
      <w:r>
        <w:rPr>
          <w:szCs w:val="24"/>
        </w:rPr>
        <w:t>31.3</w:t>
      </w:r>
      <w:r>
        <w:rPr>
          <w:rFonts w:ascii="宋体" w:eastAsia="宋体" w:hAnsi="宋体" w:cs="宋体" w:hint="eastAsia"/>
          <w:szCs w:val="24"/>
        </w:rPr>
        <w:t>℃</w:t>
      </w:r>
      <w:r>
        <w:rPr>
          <w:szCs w:val="24"/>
        </w:rPr>
        <w:t>（</w:t>
      </w:r>
      <w:r>
        <w:rPr>
          <w:szCs w:val="24"/>
        </w:rPr>
        <w:t>2006</w:t>
      </w:r>
      <w:r>
        <w:rPr>
          <w:szCs w:val="24"/>
        </w:rPr>
        <w:t>年</w:t>
      </w:r>
      <w:r>
        <w:rPr>
          <w:szCs w:val="24"/>
        </w:rPr>
        <w:t>4</w:t>
      </w:r>
      <w:r>
        <w:rPr>
          <w:szCs w:val="24"/>
        </w:rPr>
        <w:t>月），极端最低气温为</w:t>
      </w:r>
      <w:r>
        <w:rPr>
          <w:szCs w:val="24"/>
        </w:rPr>
        <w:t>-4.9</w:t>
      </w:r>
      <w:r>
        <w:rPr>
          <w:rFonts w:ascii="宋体" w:eastAsia="宋体" w:hAnsi="宋体" w:cs="宋体" w:hint="eastAsia"/>
          <w:szCs w:val="24"/>
        </w:rPr>
        <w:t>℃</w:t>
      </w:r>
      <w:r>
        <w:rPr>
          <w:szCs w:val="24"/>
        </w:rPr>
        <w:t>（</w:t>
      </w:r>
      <w:r>
        <w:rPr>
          <w:szCs w:val="24"/>
        </w:rPr>
        <w:t>1989</w:t>
      </w:r>
      <w:r>
        <w:rPr>
          <w:szCs w:val="24"/>
        </w:rPr>
        <w:t>年</w:t>
      </w:r>
      <w:r>
        <w:rPr>
          <w:szCs w:val="24"/>
        </w:rPr>
        <w:t>2</w:t>
      </w:r>
      <w:r>
        <w:rPr>
          <w:szCs w:val="24"/>
        </w:rPr>
        <w:t>月），</w:t>
      </w:r>
      <w:r>
        <w:rPr>
          <w:szCs w:val="24"/>
        </w:rPr>
        <w:t>≥10</w:t>
      </w:r>
      <w:r>
        <w:rPr>
          <w:rFonts w:ascii="宋体" w:eastAsia="宋体" w:hAnsi="宋体" w:cs="宋体" w:hint="eastAsia"/>
          <w:szCs w:val="24"/>
        </w:rPr>
        <w:t>℃</w:t>
      </w:r>
      <w:r>
        <w:rPr>
          <w:szCs w:val="24"/>
        </w:rPr>
        <w:t>有效年积温</w:t>
      </w:r>
      <w:r>
        <w:rPr>
          <w:szCs w:val="24"/>
        </w:rPr>
        <w:t>4720.5</w:t>
      </w:r>
      <w:r>
        <w:rPr>
          <w:rFonts w:ascii="宋体" w:eastAsia="宋体" w:hAnsi="宋体" w:cs="宋体" w:hint="eastAsia"/>
          <w:szCs w:val="24"/>
        </w:rPr>
        <w:t>℃</w:t>
      </w:r>
      <w:r>
        <w:rPr>
          <w:szCs w:val="24"/>
        </w:rPr>
        <w:t>，年平均日照时数</w:t>
      </w:r>
      <w:r>
        <w:rPr>
          <w:szCs w:val="24"/>
        </w:rPr>
        <w:t>1153.20</w:t>
      </w:r>
      <w:r>
        <w:rPr>
          <w:szCs w:val="24"/>
        </w:rPr>
        <w:t>小时。多年平均降水量</w:t>
      </w:r>
      <w:r>
        <w:rPr>
          <w:szCs w:val="24"/>
        </w:rPr>
        <w:t>1265mm</w:t>
      </w:r>
      <w:r>
        <w:rPr>
          <w:szCs w:val="24"/>
        </w:rPr>
        <w:t>，年均蒸发量</w:t>
      </w:r>
      <w:r>
        <w:rPr>
          <w:szCs w:val="24"/>
        </w:rPr>
        <w:t>1085mm</w:t>
      </w:r>
      <w:r>
        <w:rPr>
          <w:szCs w:val="24"/>
        </w:rPr>
        <w:t>，无霜期</w:t>
      </w:r>
      <w:r>
        <w:rPr>
          <w:szCs w:val="24"/>
        </w:rPr>
        <w:t>325</w:t>
      </w:r>
      <w:r>
        <w:rPr>
          <w:szCs w:val="24"/>
        </w:rPr>
        <w:t>天左右。灾旱性天气主要有春旱、伏旱、冰雹较为严重，洪涝、大风、凝冻等。流域属珠江流域南盘江水系，土壤类型主要均为黄壤。植被类型属亚热带常绿阔叶混交林，林草覆盖率约为</w:t>
      </w:r>
      <w:r>
        <w:rPr>
          <w:szCs w:val="24"/>
        </w:rPr>
        <w:t>55.60%</w:t>
      </w:r>
      <w:r>
        <w:rPr>
          <w:szCs w:val="24"/>
        </w:rPr>
        <w:t>。</w:t>
      </w:r>
      <w:r>
        <w:rPr>
          <w:color w:val="0000FF"/>
          <w:szCs w:val="24"/>
        </w:rPr>
        <w:t>项目区以水力侵蚀为主原地表平均平均侵蚀模数为</w:t>
      </w:r>
      <w:r>
        <w:rPr>
          <w:rFonts w:hint="eastAsia"/>
          <w:color w:val="0000FF"/>
          <w:szCs w:val="24"/>
        </w:rPr>
        <w:t>529</w:t>
      </w:r>
      <w:r>
        <w:rPr>
          <w:color w:val="0000FF"/>
          <w:szCs w:val="24"/>
        </w:rPr>
        <w:t>（</w:t>
      </w:r>
      <w:r>
        <w:rPr>
          <w:color w:val="0000FF"/>
          <w:szCs w:val="24"/>
        </w:rPr>
        <w:t>km</w:t>
      </w:r>
      <w:r>
        <w:rPr>
          <w:color w:val="0000FF"/>
          <w:szCs w:val="24"/>
          <w:vertAlign w:val="superscript"/>
        </w:rPr>
        <w:t>2</w:t>
      </w:r>
      <w:r>
        <w:rPr>
          <w:color w:val="0000FF"/>
          <w:szCs w:val="24"/>
        </w:rPr>
        <w:t>·a</w:t>
      </w:r>
      <w:r>
        <w:rPr>
          <w:color w:val="0000FF"/>
          <w:szCs w:val="24"/>
        </w:rPr>
        <w:t>）。</w:t>
      </w:r>
    </w:p>
    <w:p w:rsidR="00F44F7B" w:rsidRDefault="00730D49">
      <w:pPr>
        <w:pStyle w:val="2"/>
      </w:pPr>
      <w:bookmarkStart w:id="54" w:name="_Toc1228"/>
      <w:bookmarkStart w:id="55" w:name="_Toc62144053"/>
      <w:r>
        <w:t>2.1</w:t>
      </w:r>
      <w:r>
        <w:t>地理位置</w:t>
      </w:r>
      <w:bookmarkEnd w:id="54"/>
      <w:bookmarkEnd w:id="55"/>
    </w:p>
    <w:p w:rsidR="00F44F7B" w:rsidRDefault="00730D49">
      <w:pPr>
        <w:spacing w:line="360" w:lineRule="auto"/>
        <w:ind w:firstLine="480"/>
        <w:rPr>
          <w:kern w:val="28"/>
        </w:rPr>
      </w:pPr>
      <w:r>
        <w:rPr>
          <w:rFonts w:hint="eastAsia"/>
          <w:kern w:val="28"/>
        </w:rPr>
        <w:t>仪陇县公安局城西、度门、光华派出所业务用房建设项目位于仪陇县城，项目建设区地理位置坐标为东经：</w:t>
      </w:r>
      <w:r>
        <w:rPr>
          <w:rFonts w:hint="eastAsia"/>
          <w:kern w:val="28"/>
        </w:rPr>
        <w:t>106</w:t>
      </w:r>
      <w:r>
        <w:rPr>
          <w:rFonts w:hint="eastAsia"/>
          <w:kern w:val="28"/>
        </w:rPr>
        <w:t>°</w:t>
      </w:r>
      <w:r>
        <w:rPr>
          <w:rFonts w:hint="eastAsia"/>
          <w:kern w:val="28"/>
        </w:rPr>
        <w:t>37</w:t>
      </w:r>
      <w:r>
        <w:rPr>
          <w:rFonts w:hint="eastAsia"/>
          <w:kern w:val="28"/>
        </w:rPr>
        <w:t>′</w:t>
      </w:r>
      <w:r>
        <w:rPr>
          <w:rFonts w:hint="eastAsia"/>
          <w:kern w:val="28"/>
        </w:rPr>
        <w:t>23</w:t>
      </w:r>
      <w:r>
        <w:rPr>
          <w:rFonts w:hint="eastAsia"/>
          <w:kern w:val="28"/>
        </w:rPr>
        <w:t>″</w:t>
      </w:r>
      <w:r>
        <w:rPr>
          <w:rFonts w:hint="eastAsia"/>
          <w:kern w:val="28"/>
        </w:rPr>
        <w:t>~106</w:t>
      </w:r>
      <w:r>
        <w:rPr>
          <w:rFonts w:hint="eastAsia"/>
          <w:kern w:val="28"/>
        </w:rPr>
        <w:t>°</w:t>
      </w:r>
      <w:r>
        <w:rPr>
          <w:rFonts w:hint="eastAsia"/>
          <w:kern w:val="28"/>
        </w:rPr>
        <w:t>37</w:t>
      </w:r>
      <w:r>
        <w:rPr>
          <w:rFonts w:hint="eastAsia"/>
          <w:kern w:val="28"/>
        </w:rPr>
        <w:t>′</w:t>
      </w:r>
      <w:r>
        <w:rPr>
          <w:rFonts w:hint="eastAsia"/>
          <w:kern w:val="28"/>
        </w:rPr>
        <w:t>22</w:t>
      </w:r>
      <w:r>
        <w:rPr>
          <w:rFonts w:hint="eastAsia"/>
          <w:kern w:val="28"/>
        </w:rPr>
        <w:t>″，北纬</w:t>
      </w:r>
      <w:r>
        <w:rPr>
          <w:rFonts w:hint="eastAsia"/>
          <w:kern w:val="28"/>
        </w:rPr>
        <w:t>31</w:t>
      </w:r>
      <w:r>
        <w:rPr>
          <w:rFonts w:hint="eastAsia"/>
          <w:kern w:val="28"/>
        </w:rPr>
        <w:t>°</w:t>
      </w:r>
      <w:r>
        <w:rPr>
          <w:rFonts w:hint="eastAsia"/>
          <w:kern w:val="28"/>
        </w:rPr>
        <w:t>2</w:t>
      </w:r>
      <w:r>
        <w:rPr>
          <w:rFonts w:hint="eastAsia"/>
          <w:kern w:val="28"/>
        </w:rPr>
        <w:t>8</w:t>
      </w:r>
      <w:r>
        <w:rPr>
          <w:rFonts w:hint="eastAsia"/>
          <w:kern w:val="28"/>
        </w:rPr>
        <w:t>′</w:t>
      </w:r>
      <w:r>
        <w:rPr>
          <w:rFonts w:hint="eastAsia"/>
          <w:kern w:val="28"/>
        </w:rPr>
        <w:t>06</w:t>
      </w:r>
      <w:r>
        <w:rPr>
          <w:rFonts w:hint="eastAsia"/>
          <w:kern w:val="28"/>
        </w:rPr>
        <w:t>″</w:t>
      </w:r>
      <w:r>
        <w:rPr>
          <w:rFonts w:hint="eastAsia"/>
          <w:kern w:val="28"/>
        </w:rPr>
        <w:t>~31</w:t>
      </w:r>
      <w:r>
        <w:rPr>
          <w:rFonts w:hint="eastAsia"/>
          <w:kern w:val="28"/>
        </w:rPr>
        <w:t>°</w:t>
      </w:r>
      <w:r>
        <w:rPr>
          <w:rFonts w:hint="eastAsia"/>
          <w:kern w:val="28"/>
        </w:rPr>
        <w:t>28</w:t>
      </w:r>
      <w:r>
        <w:rPr>
          <w:rFonts w:hint="eastAsia"/>
          <w:kern w:val="28"/>
        </w:rPr>
        <w:t>′</w:t>
      </w:r>
      <w:r>
        <w:rPr>
          <w:rFonts w:hint="eastAsia"/>
          <w:kern w:val="28"/>
        </w:rPr>
        <w:t>12</w:t>
      </w:r>
      <w:r>
        <w:rPr>
          <w:rFonts w:hint="eastAsia"/>
          <w:kern w:val="28"/>
        </w:rPr>
        <w:t>″。本项目东侧、南侧和西侧均有规划道路，北面为山体。地理位置优越，交通极为便利。</w:t>
      </w:r>
    </w:p>
    <w:p w:rsidR="00F44F7B" w:rsidRDefault="00730D49">
      <w:pPr>
        <w:pStyle w:val="2"/>
      </w:pPr>
      <w:bookmarkStart w:id="56" w:name="_Toc11647"/>
      <w:bookmarkStart w:id="57" w:name="_Toc371412986"/>
      <w:bookmarkStart w:id="58" w:name="_Toc62144054"/>
      <w:bookmarkStart w:id="59" w:name="_Toc13249"/>
      <w:bookmarkStart w:id="60" w:name="_Toc22594"/>
      <w:r>
        <w:t>2.2</w:t>
      </w:r>
      <w:r>
        <w:t>自然环境概况</w:t>
      </w:r>
      <w:bookmarkEnd w:id="56"/>
      <w:bookmarkEnd w:id="57"/>
      <w:bookmarkEnd w:id="58"/>
      <w:bookmarkEnd w:id="59"/>
      <w:bookmarkEnd w:id="60"/>
    </w:p>
    <w:p w:rsidR="00F44F7B" w:rsidRDefault="00730D49">
      <w:pPr>
        <w:pStyle w:val="3"/>
      </w:pPr>
      <w:bookmarkStart w:id="61" w:name="_Toc371412987"/>
      <w:r>
        <w:t>2.2.1</w:t>
      </w:r>
      <w:r>
        <w:t>地形、地貌、地质概况</w:t>
      </w:r>
      <w:bookmarkEnd w:id="61"/>
    </w:p>
    <w:p w:rsidR="00F44F7B" w:rsidRDefault="00730D49">
      <w:pPr>
        <w:spacing w:line="360" w:lineRule="auto"/>
        <w:ind w:firstLine="480"/>
        <w:rPr>
          <w:kern w:val="28"/>
        </w:rPr>
      </w:pPr>
      <w:r>
        <w:rPr>
          <w:kern w:val="28"/>
        </w:rPr>
        <w:t>一、地形</w:t>
      </w:r>
      <w:r>
        <w:rPr>
          <w:rFonts w:hint="eastAsia"/>
          <w:kern w:val="28"/>
        </w:rPr>
        <w:t>、地貌</w:t>
      </w:r>
    </w:p>
    <w:p w:rsidR="00F44F7B" w:rsidRDefault="00730D49">
      <w:pPr>
        <w:spacing w:line="360" w:lineRule="auto"/>
        <w:ind w:firstLine="480"/>
        <w:rPr>
          <w:kern w:val="28"/>
        </w:rPr>
      </w:pPr>
      <w:bookmarkStart w:id="62" w:name="_Toc371412988"/>
      <w:r>
        <w:rPr>
          <w:rFonts w:hint="eastAsia"/>
          <w:kern w:val="28"/>
        </w:rPr>
        <w:t>境内大部为深丘，地势略为西高东低、南高北低，地面高程一般在海拔</w:t>
      </w:r>
      <w:r>
        <w:rPr>
          <w:kern w:val="28"/>
        </w:rPr>
        <w:t>450</w:t>
      </w:r>
      <w:r>
        <w:rPr>
          <w:rFonts w:hint="eastAsia"/>
          <w:kern w:val="28"/>
        </w:rPr>
        <w:t>～</w:t>
      </w:r>
      <w:r>
        <w:rPr>
          <w:kern w:val="28"/>
        </w:rPr>
        <w:t>550</w:t>
      </w:r>
      <w:r>
        <w:rPr>
          <w:rFonts w:hint="eastAsia"/>
          <w:kern w:val="28"/>
        </w:rPr>
        <w:t>米，最高点迎春村摩天山顶海拔</w:t>
      </w:r>
      <w:r>
        <w:rPr>
          <w:kern w:val="28"/>
        </w:rPr>
        <w:t>650</w:t>
      </w:r>
      <w:r>
        <w:rPr>
          <w:rFonts w:hint="eastAsia"/>
          <w:kern w:val="28"/>
        </w:rPr>
        <w:t>米，最低点明灯村八角庙海拔</w:t>
      </w:r>
      <w:r>
        <w:rPr>
          <w:kern w:val="28"/>
        </w:rPr>
        <w:t>450</w:t>
      </w:r>
      <w:r>
        <w:rPr>
          <w:rFonts w:hint="eastAsia"/>
          <w:kern w:val="28"/>
        </w:rPr>
        <w:t>米。</w:t>
      </w:r>
      <w:r>
        <w:rPr>
          <w:rFonts w:hint="eastAsia"/>
          <w:kern w:val="28"/>
        </w:rPr>
        <w:t xml:space="preserve"> </w:t>
      </w:r>
    </w:p>
    <w:p w:rsidR="00F44F7B" w:rsidRDefault="00730D49">
      <w:pPr>
        <w:spacing w:line="360" w:lineRule="auto"/>
        <w:ind w:firstLine="480"/>
        <w:rPr>
          <w:kern w:val="28"/>
        </w:rPr>
      </w:pPr>
      <w:r>
        <w:rPr>
          <w:rFonts w:hint="eastAsia"/>
          <w:kern w:val="28"/>
        </w:rPr>
        <w:lastRenderedPageBreak/>
        <w:t>二</w:t>
      </w:r>
      <w:r>
        <w:rPr>
          <w:kern w:val="28"/>
        </w:rPr>
        <w:t>、地质构造</w:t>
      </w:r>
    </w:p>
    <w:p w:rsidR="00F44F7B" w:rsidRDefault="00730D49">
      <w:pPr>
        <w:spacing w:line="360" w:lineRule="auto"/>
        <w:ind w:firstLine="480"/>
        <w:rPr>
          <w:kern w:val="28"/>
        </w:rPr>
      </w:pPr>
      <w:r>
        <w:rPr>
          <w:rFonts w:hint="eastAsia"/>
          <w:kern w:val="28"/>
        </w:rPr>
        <w:t>工程区地层主要为不同成因第四系松散堆积层；基岩埋藏于第四系松散堆积层之下或零星出露于地表。在拟建场地勘探深度范围内的地层主要由第四系人工填土层（</w:t>
      </w:r>
      <w:r>
        <w:rPr>
          <w:rFonts w:hint="eastAsia"/>
          <w:kern w:val="28"/>
        </w:rPr>
        <w:t>Q4ml</w:t>
      </w:r>
      <w:r>
        <w:rPr>
          <w:rFonts w:hint="eastAsia"/>
          <w:kern w:val="28"/>
        </w:rPr>
        <w:t>）、第四系全新统冲</w:t>
      </w:r>
      <w:r>
        <w:rPr>
          <w:rFonts w:hint="eastAsia"/>
          <w:kern w:val="28"/>
        </w:rPr>
        <w:t>洪积层（</w:t>
      </w:r>
      <w:r>
        <w:rPr>
          <w:rFonts w:hint="eastAsia"/>
          <w:kern w:val="28"/>
        </w:rPr>
        <w:t xml:space="preserve">Q4al+dl </w:t>
      </w:r>
      <w:r>
        <w:rPr>
          <w:rFonts w:hint="eastAsia"/>
          <w:kern w:val="28"/>
        </w:rPr>
        <w:t>）、第四系全新统坡残积堆积层（</w:t>
      </w:r>
      <w:r>
        <w:rPr>
          <w:rFonts w:hint="eastAsia"/>
          <w:kern w:val="28"/>
        </w:rPr>
        <w:t>Q4dl+el</w:t>
      </w:r>
      <w:r>
        <w:rPr>
          <w:rFonts w:hint="eastAsia"/>
          <w:kern w:val="28"/>
        </w:rPr>
        <w:t>）、白垩系下统城墙岩群（</w:t>
      </w:r>
      <w:r>
        <w:rPr>
          <w:rFonts w:hint="eastAsia"/>
          <w:kern w:val="28"/>
        </w:rPr>
        <w:t>K1ch</w:t>
      </w:r>
      <w:r>
        <w:rPr>
          <w:rFonts w:hint="eastAsia"/>
          <w:kern w:val="28"/>
        </w:rPr>
        <w:t>）、侏罗系上统蓬莱镇组（</w:t>
      </w:r>
      <w:r>
        <w:rPr>
          <w:rFonts w:hint="eastAsia"/>
          <w:kern w:val="28"/>
        </w:rPr>
        <w:t>J3P</w:t>
      </w:r>
      <w:r>
        <w:rPr>
          <w:rFonts w:hint="eastAsia"/>
          <w:kern w:val="28"/>
        </w:rPr>
        <w:t>）组成。</w:t>
      </w:r>
    </w:p>
    <w:p w:rsidR="00F44F7B" w:rsidRDefault="00730D49">
      <w:pPr>
        <w:spacing w:line="360" w:lineRule="auto"/>
        <w:ind w:firstLine="480"/>
        <w:rPr>
          <w:kern w:val="28"/>
        </w:rPr>
      </w:pPr>
      <w:r>
        <w:rPr>
          <w:rFonts w:hint="eastAsia"/>
          <w:kern w:val="28"/>
        </w:rPr>
        <w:t>三</w:t>
      </w:r>
      <w:r>
        <w:rPr>
          <w:kern w:val="28"/>
        </w:rPr>
        <w:t>、地震烈度</w:t>
      </w:r>
    </w:p>
    <w:p w:rsidR="00F44F7B" w:rsidRDefault="00730D49">
      <w:pPr>
        <w:spacing w:line="360" w:lineRule="auto"/>
        <w:ind w:firstLine="480"/>
        <w:rPr>
          <w:kern w:val="28"/>
        </w:rPr>
      </w:pPr>
      <w:r>
        <w:rPr>
          <w:rFonts w:hint="eastAsia"/>
          <w:kern w:val="28"/>
        </w:rPr>
        <w:t>仪陇县在地质构造上位于新华夏系四川沉降带川北台坳内，巴中</w:t>
      </w:r>
      <w:r>
        <w:rPr>
          <w:rFonts w:hint="eastAsia"/>
          <w:kern w:val="28"/>
        </w:rPr>
        <w:t>-</w:t>
      </w:r>
      <w:r>
        <w:rPr>
          <w:rFonts w:hint="eastAsia"/>
          <w:kern w:val="28"/>
        </w:rPr>
        <w:t>龙泉山断裂带与华蓥山断裂带之间，该两条断裂带呈北东</w:t>
      </w:r>
      <w:r>
        <w:rPr>
          <w:rFonts w:hint="eastAsia"/>
          <w:kern w:val="28"/>
        </w:rPr>
        <w:t>-</w:t>
      </w:r>
      <w:r>
        <w:rPr>
          <w:rFonts w:hint="eastAsia"/>
          <w:kern w:val="28"/>
        </w:rPr>
        <w:t>南西走向，延伸较长。工程区内构造变动微弱，岩层产状平缓，近于水平，区内晚近期构造活动微弱，无深大断裂与褶皱构造存在，区内构造简单，构造裂隙不发育，主要受外围地震波及的影响，影响烈度较小，未见破坏性地震。</w:t>
      </w:r>
    </w:p>
    <w:p w:rsidR="00F44F7B" w:rsidRDefault="00730D49">
      <w:pPr>
        <w:spacing w:line="360" w:lineRule="auto"/>
        <w:ind w:firstLine="480"/>
        <w:rPr>
          <w:kern w:val="28"/>
        </w:rPr>
      </w:pPr>
      <w:r>
        <w:rPr>
          <w:rFonts w:hint="eastAsia"/>
          <w:kern w:val="28"/>
        </w:rPr>
        <w:t>根据《中国地震动参数区划图》</w:t>
      </w:r>
      <w:r>
        <w:rPr>
          <w:rFonts w:hint="eastAsia"/>
          <w:kern w:val="28"/>
        </w:rPr>
        <w:t>(GB18306</w:t>
      </w:r>
      <w:r>
        <w:rPr>
          <w:rFonts w:hint="eastAsia"/>
          <w:kern w:val="28"/>
        </w:rPr>
        <w:t>-2015)</w:t>
      </w:r>
      <w:r>
        <w:rPr>
          <w:rFonts w:hint="eastAsia"/>
          <w:kern w:val="28"/>
        </w:rPr>
        <w:t>，工程区地震动峰值加速度为</w:t>
      </w:r>
      <w:r>
        <w:rPr>
          <w:rFonts w:hint="eastAsia"/>
          <w:kern w:val="28"/>
        </w:rPr>
        <w:t>0.05g</w:t>
      </w:r>
      <w:r>
        <w:rPr>
          <w:rFonts w:hint="eastAsia"/>
          <w:kern w:val="28"/>
        </w:rPr>
        <w:t>，地震动反应谱特征周期为</w:t>
      </w:r>
      <w:r>
        <w:rPr>
          <w:rFonts w:hint="eastAsia"/>
          <w:kern w:val="28"/>
        </w:rPr>
        <w:t>0.35s</w:t>
      </w:r>
      <w:r>
        <w:rPr>
          <w:rFonts w:hint="eastAsia"/>
          <w:kern w:val="28"/>
        </w:rPr>
        <w:t>，地震基本烈度为Ⅵ度，场地稳定性较好，适宜本工程的建设。</w:t>
      </w:r>
    </w:p>
    <w:p w:rsidR="00F44F7B" w:rsidRDefault="00730D49">
      <w:pPr>
        <w:pStyle w:val="3"/>
      </w:pPr>
      <w:r>
        <w:t>2.2.2</w:t>
      </w:r>
      <w:r>
        <w:t>气象</w:t>
      </w:r>
      <w:bookmarkEnd w:id="62"/>
    </w:p>
    <w:p w:rsidR="00F44F7B" w:rsidRDefault="00730D49">
      <w:pPr>
        <w:spacing w:line="360" w:lineRule="auto"/>
        <w:ind w:firstLine="480"/>
        <w:rPr>
          <w:kern w:val="28"/>
        </w:rPr>
      </w:pPr>
      <w:bookmarkStart w:id="63" w:name="_Toc371412989"/>
      <w:r>
        <w:rPr>
          <w:rFonts w:hint="eastAsia"/>
          <w:kern w:val="28"/>
        </w:rPr>
        <w:t>仪陇属亚热带湿润季风气候，夏热冬温，无霜期长，阴雾天多，年平均气温</w:t>
      </w:r>
      <w:r>
        <w:rPr>
          <w:rFonts w:hint="eastAsia"/>
          <w:kern w:val="28"/>
        </w:rPr>
        <w:t>16</w:t>
      </w:r>
      <w:r>
        <w:rPr>
          <w:rFonts w:hint="eastAsia"/>
          <w:kern w:val="28"/>
        </w:rPr>
        <w:t>℃左右，年降水量</w:t>
      </w:r>
      <w:r>
        <w:rPr>
          <w:rFonts w:hint="eastAsia"/>
          <w:kern w:val="28"/>
        </w:rPr>
        <w:t>1173.8mm</w:t>
      </w:r>
      <w:r>
        <w:rPr>
          <w:rFonts w:hint="eastAsia"/>
          <w:kern w:val="28"/>
        </w:rPr>
        <w:t>，干旱日趋严重。受四川盆地地形影响，仪陇多秋雨天气，云量大、日照少，加之冬季多雾，多年平均日照时数仅</w:t>
      </w:r>
      <w:r>
        <w:rPr>
          <w:rFonts w:hint="eastAsia"/>
          <w:kern w:val="28"/>
        </w:rPr>
        <w:t>1200</w:t>
      </w:r>
      <w:r>
        <w:rPr>
          <w:rFonts w:hint="eastAsia"/>
          <w:kern w:val="28"/>
        </w:rPr>
        <w:t>～</w:t>
      </w:r>
      <w:r>
        <w:rPr>
          <w:rFonts w:hint="eastAsia"/>
          <w:kern w:val="28"/>
        </w:rPr>
        <w:t>1500</w:t>
      </w:r>
      <w:r>
        <w:rPr>
          <w:rFonts w:hint="eastAsia"/>
          <w:kern w:val="28"/>
        </w:rPr>
        <w:t>小时，日照率为</w:t>
      </w:r>
      <w:r>
        <w:rPr>
          <w:rFonts w:hint="eastAsia"/>
          <w:kern w:val="28"/>
        </w:rPr>
        <w:t>27%</w:t>
      </w:r>
      <w:r>
        <w:rPr>
          <w:rFonts w:hint="eastAsia"/>
          <w:kern w:val="28"/>
        </w:rPr>
        <w:t>～</w:t>
      </w:r>
      <w:r>
        <w:rPr>
          <w:rFonts w:hint="eastAsia"/>
          <w:kern w:val="28"/>
        </w:rPr>
        <w:t>35%</w:t>
      </w:r>
      <w:r>
        <w:rPr>
          <w:rFonts w:hint="eastAsia"/>
          <w:kern w:val="28"/>
        </w:rPr>
        <w:t>，是全省日照较少的地区。降雨时空分布不均，降雨量集中在五至九月。全年有霜期甚短，一般在</w:t>
      </w:r>
      <w:r>
        <w:rPr>
          <w:rFonts w:hint="eastAsia"/>
          <w:kern w:val="28"/>
        </w:rPr>
        <w:t>60</w:t>
      </w:r>
      <w:r>
        <w:rPr>
          <w:rFonts w:hint="eastAsia"/>
          <w:kern w:val="28"/>
        </w:rPr>
        <w:t>天左右。春季花明，</w:t>
      </w:r>
      <w:r>
        <w:rPr>
          <w:rFonts w:hint="eastAsia"/>
          <w:kern w:val="28"/>
        </w:rPr>
        <w:t>夏日风清，秋熟香溢，冬至温润，空气湿度大，阴天多。</w:t>
      </w:r>
    </w:p>
    <w:p w:rsidR="00F44F7B" w:rsidRDefault="00730D49">
      <w:pPr>
        <w:pStyle w:val="3"/>
      </w:pPr>
      <w:r>
        <w:t>2.2.3</w:t>
      </w:r>
      <w:r>
        <w:t>水文</w:t>
      </w:r>
      <w:bookmarkEnd w:id="63"/>
    </w:p>
    <w:p w:rsidR="00F44F7B" w:rsidRDefault="00730D49">
      <w:pPr>
        <w:spacing w:line="360" w:lineRule="auto"/>
        <w:ind w:firstLine="480"/>
        <w:rPr>
          <w:kern w:val="28"/>
        </w:rPr>
      </w:pPr>
      <w:bookmarkStart w:id="64" w:name="_Toc371412990"/>
      <w:r>
        <w:rPr>
          <w:kern w:val="28"/>
        </w:rPr>
        <w:t>仪陇县的水系简单，四条河流（</w:t>
      </w:r>
      <w:r>
        <w:rPr>
          <w:rFonts w:hint="eastAsia"/>
          <w:kern w:val="28"/>
        </w:rPr>
        <w:t>流江</w:t>
      </w:r>
      <w:r>
        <w:rPr>
          <w:kern w:val="28"/>
        </w:rPr>
        <w:t>河、</w:t>
      </w:r>
      <w:r>
        <w:rPr>
          <w:rFonts w:hint="eastAsia"/>
          <w:kern w:val="28"/>
        </w:rPr>
        <w:t>绿水</w:t>
      </w:r>
      <w:r>
        <w:rPr>
          <w:kern w:val="28"/>
        </w:rPr>
        <w:t>河、</w:t>
      </w:r>
      <w:r>
        <w:rPr>
          <w:rFonts w:hint="eastAsia"/>
          <w:kern w:val="28"/>
        </w:rPr>
        <w:t>思凤溪</w:t>
      </w:r>
      <w:r>
        <w:rPr>
          <w:kern w:val="28"/>
        </w:rPr>
        <w:t>、</w:t>
      </w:r>
      <w:r>
        <w:rPr>
          <w:rFonts w:hint="eastAsia"/>
          <w:kern w:val="28"/>
        </w:rPr>
        <w:t>环山</w:t>
      </w:r>
      <w:r>
        <w:rPr>
          <w:kern w:val="28"/>
        </w:rPr>
        <w:t>河）纵贯全境，以渠江水系为主，其面积占幅员面积的</w:t>
      </w:r>
      <w:r>
        <w:rPr>
          <w:kern w:val="28"/>
        </w:rPr>
        <w:t xml:space="preserve"> 90%</w:t>
      </w:r>
      <w:r>
        <w:rPr>
          <w:kern w:val="28"/>
        </w:rPr>
        <w:t>。渠江水系的河流有</w:t>
      </w:r>
      <w:r>
        <w:rPr>
          <w:rFonts w:hint="eastAsia"/>
          <w:kern w:val="28"/>
        </w:rPr>
        <w:t>流江</w:t>
      </w:r>
      <w:r>
        <w:rPr>
          <w:kern w:val="28"/>
        </w:rPr>
        <w:t>河、</w:t>
      </w:r>
      <w:r>
        <w:rPr>
          <w:rFonts w:hint="eastAsia"/>
          <w:kern w:val="28"/>
        </w:rPr>
        <w:t>绿水</w:t>
      </w:r>
      <w:r>
        <w:rPr>
          <w:kern w:val="28"/>
        </w:rPr>
        <w:t>河、</w:t>
      </w:r>
      <w:r>
        <w:rPr>
          <w:rFonts w:hint="eastAsia"/>
          <w:kern w:val="28"/>
        </w:rPr>
        <w:t>思凤溪</w:t>
      </w:r>
      <w:r>
        <w:rPr>
          <w:kern w:val="28"/>
        </w:rPr>
        <w:t>，其中</w:t>
      </w:r>
      <w:r>
        <w:rPr>
          <w:rFonts w:hint="eastAsia"/>
          <w:kern w:val="28"/>
        </w:rPr>
        <w:t>流江河</w:t>
      </w:r>
      <w:r>
        <w:rPr>
          <w:kern w:val="28"/>
        </w:rPr>
        <w:t>发源于仪陇与巴中县交界的檬垭，在仪陇县境又称绿水河，河源段又称中坝河。</w:t>
      </w:r>
      <w:r>
        <w:rPr>
          <w:rFonts w:hint="eastAsia"/>
          <w:kern w:val="28"/>
        </w:rPr>
        <w:t>流江河</w:t>
      </w:r>
      <w:r>
        <w:rPr>
          <w:kern w:val="28"/>
        </w:rPr>
        <w:t>东南流经日兴、绿水、新店、骆市、小桥等地，于黄渡与</w:t>
      </w:r>
      <w:r>
        <w:rPr>
          <w:rFonts w:hint="eastAsia"/>
          <w:kern w:val="28"/>
        </w:rPr>
        <w:t>思凤溪</w:t>
      </w:r>
      <w:r>
        <w:rPr>
          <w:kern w:val="28"/>
        </w:rPr>
        <w:t>汇合，流域面积</w:t>
      </w:r>
      <w:r>
        <w:rPr>
          <w:kern w:val="28"/>
        </w:rPr>
        <w:t xml:space="preserve"> 597 </w:t>
      </w:r>
      <w:r>
        <w:rPr>
          <w:kern w:val="28"/>
        </w:rPr>
        <w:t>平方公里，境内面积</w:t>
      </w:r>
      <w:r>
        <w:rPr>
          <w:kern w:val="28"/>
        </w:rPr>
        <w:t xml:space="preserve"> 543.9 </w:t>
      </w:r>
      <w:r>
        <w:rPr>
          <w:kern w:val="28"/>
        </w:rPr>
        <w:t>平方公里；</w:t>
      </w:r>
      <w:r>
        <w:rPr>
          <w:rFonts w:hint="eastAsia"/>
          <w:kern w:val="28"/>
        </w:rPr>
        <w:t>绿水河</w:t>
      </w:r>
      <w:r>
        <w:rPr>
          <w:kern w:val="28"/>
        </w:rPr>
        <w:t>流域面积</w:t>
      </w:r>
      <w:r>
        <w:rPr>
          <w:kern w:val="28"/>
        </w:rPr>
        <w:t xml:space="preserve">335.6 </w:t>
      </w:r>
      <w:r>
        <w:rPr>
          <w:kern w:val="28"/>
        </w:rPr>
        <w:t>平方公里；</w:t>
      </w:r>
      <w:r>
        <w:rPr>
          <w:rFonts w:hint="eastAsia"/>
          <w:kern w:val="28"/>
        </w:rPr>
        <w:t>思凤溪</w:t>
      </w:r>
      <w:r>
        <w:rPr>
          <w:kern w:val="28"/>
        </w:rPr>
        <w:t>发源于巴中县群乐乡大沙坪，在仪陇县境内又称梯子河，自北向南流，入仪陇县境后，至义路乡折向南流。穿思德水库，曲折南流。至行锋村，左纳玉</w:t>
      </w:r>
      <w:r>
        <w:rPr>
          <w:kern w:val="28"/>
        </w:rPr>
        <w:lastRenderedPageBreak/>
        <w:t>桥河，至龙桥乡，左纳龙桥河，至三河乡右纳骑龙河、灯塔河，过板桥乡出仪陇入营山县境。过三元、消水、二龙，于黄渡与西来的</w:t>
      </w:r>
      <w:r>
        <w:rPr>
          <w:rFonts w:hint="eastAsia"/>
          <w:kern w:val="28"/>
        </w:rPr>
        <w:t>流江河</w:t>
      </w:r>
      <w:r>
        <w:rPr>
          <w:kern w:val="28"/>
        </w:rPr>
        <w:t>汇合，流域面积</w:t>
      </w:r>
      <w:r>
        <w:rPr>
          <w:kern w:val="28"/>
        </w:rPr>
        <w:t xml:space="preserve">511.8 </w:t>
      </w:r>
      <w:r>
        <w:rPr>
          <w:kern w:val="28"/>
        </w:rPr>
        <w:t>平方公里，境内面积</w:t>
      </w:r>
      <w:r>
        <w:rPr>
          <w:kern w:val="28"/>
        </w:rPr>
        <w:t xml:space="preserve"> 457.1 </w:t>
      </w:r>
      <w:r>
        <w:rPr>
          <w:kern w:val="28"/>
        </w:rPr>
        <w:t>平方公里。嘉陵江水系的河流只有</w:t>
      </w:r>
      <w:r>
        <w:rPr>
          <w:rFonts w:hint="eastAsia"/>
          <w:kern w:val="28"/>
        </w:rPr>
        <w:t>环山河</w:t>
      </w:r>
      <w:r>
        <w:rPr>
          <w:kern w:val="28"/>
        </w:rPr>
        <w:t>，该河贯穿于新政镇，其流域面积</w:t>
      </w:r>
      <w:r>
        <w:rPr>
          <w:kern w:val="28"/>
        </w:rPr>
        <w:t xml:space="preserve"> 246.6 </w:t>
      </w:r>
      <w:r>
        <w:rPr>
          <w:kern w:val="28"/>
        </w:rPr>
        <w:t>平方公里。</w:t>
      </w:r>
    </w:p>
    <w:p w:rsidR="00F44F7B" w:rsidRDefault="00730D49">
      <w:pPr>
        <w:pStyle w:val="3"/>
      </w:pPr>
      <w:r>
        <w:t>2.2.4</w:t>
      </w:r>
      <w:r>
        <w:t>植被</w:t>
      </w:r>
      <w:bookmarkEnd w:id="64"/>
    </w:p>
    <w:p w:rsidR="00F44F7B" w:rsidRDefault="00730D49">
      <w:pPr>
        <w:spacing w:line="360" w:lineRule="auto"/>
        <w:ind w:firstLine="480"/>
        <w:rPr>
          <w:kern w:val="28"/>
        </w:rPr>
      </w:pPr>
      <w:bookmarkStart w:id="65" w:name="_Toc371412991"/>
      <w:r>
        <w:rPr>
          <w:rFonts w:hint="eastAsia"/>
          <w:kern w:val="28"/>
        </w:rPr>
        <w:t>仪陇县植被类型属于亚热带常绿阔叶林，</w:t>
      </w:r>
      <w:r>
        <w:rPr>
          <w:rFonts w:hint="eastAsia"/>
          <w:kern w:val="28"/>
        </w:rPr>
        <w:t xml:space="preserve">50 </w:t>
      </w:r>
      <w:r>
        <w:rPr>
          <w:rFonts w:hint="eastAsia"/>
          <w:kern w:val="28"/>
        </w:rPr>
        <w:t>年代初仪陇县人口稀少，山川秀美，林草覆盖率为</w:t>
      </w:r>
      <w:r>
        <w:rPr>
          <w:rFonts w:hint="eastAsia"/>
          <w:kern w:val="28"/>
        </w:rPr>
        <w:t xml:space="preserve"> 30</w:t>
      </w:r>
      <w:r>
        <w:rPr>
          <w:rFonts w:hint="eastAsia"/>
          <w:kern w:val="28"/>
        </w:rPr>
        <w:t>.3%</w:t>
      </w:r>
      <w:r>
        <w:rPr>
          <w:rFonts w:hint="eastAsia"/>
          <w:kern w:val="28"/>
        </w:rPr>
        <w:t>，三河、板桥、立山、茶房乡等地森林茂密，覆盖率达</w:t>
      </w:r>
      <w:r>
        <w:rPr>
          <w:rFonts w:hint="eastAsia"/>
          <w:kern w:val="28"/>
        </w:rPr>
        <w:t xml:space="preserve"> 40%</w:t>
      </w:r>
      <w:r>
        <w:rPr>
          <w:rFonts w:hint="eastAsia"/>
          <w:kern w:val="28"/>
        </w:rPr>
        <w:t>。</w:t>
      </w:r>
      <w:r>
        <w:rPr>
          <w:rFonts w:hint="eastAsia"/>
          <w:kern w:val="28"/>
        </w:rPr>
        <w:t xml:space="preserve"> </w:t>
      </w:r>
      <w:r>
        <w:rPr>
          <w:rFonts w:hint="eastAsia"/>
          <w:kern w:val="28"/>
        </w:rPr>
        <w:t>目前，仪陇县的林草覆盖率为</w:t>
      </w:r>
      <w:r>
        <w:rPr>
          <w:rFonts w:hint="eastAsia"/>
          <w:kern w:val="28"/>
        </w:rPr>
        <w:t xml:space="preserve"> 35%</w:t>
      </w:r>
      <w:r>
        <w:rPr>
          <w:rFonts w:hint="eastAsia"/>
          <w:kern w:val="28"/>
        </w:rPr>
        <w:t>左右，主要用材林树种有松、柏、桤、桉、槐、柳树等，灌木树种主要有黄荆、马桑等，东部立山区一带的植被较好。</w:t>
      </w:r>
    </w:p>
    <w:p w:rsidR="00F44F7B" w:rsidRDefault="00730D49">
      <w:pPr>
        <w:pStyle w:val="3"/>
      </w:pPr>
      <w:r>
        <w:t>2.2.5</w:t>
      </w:r>
      <w:r>
        <w:t>土壤</w:t>
      </w:r>
      <w:bookmarkEnd w:id="65"/>
    </w:p>
    <w:p w:rsidR="00F44F7B" w:rsidRDefault="00730D49">
      <w:pPr>
        <w:spacing w:line="360" w:lineRule="auto"/>
        <w:ind w:firstLine="480"/>
        <w:rPr>
          <w:kern w:val="28"/>
        </w:rPr>
      </w:pPr>
      <w:bookmarkStart w:id="66" w:name="_Toc7818"/>
      <w:bookmarkStart w:id="67" w:name="_Toc12564"/>
      <w:bookmarkStart w:id="68" w:name="_Toc371412992"/>
      <w:r>
        <w:rPr>
          <w:rFonts w:hint="eastAsia"/>
          <w:kern w:val="28"/>
        </w:rPr>
        <w:t>仪陇县境内土壤深受成土母岩影响。在特定的气候环境下，形成了以紫色土（石灰紫色土）、水稻土为主的土壤系列，紫色土约占全县耕地面积</w:t>
      </w:r>
      <w:r>
        <w:rPr>
          <w:rFonts w:hint="eastAsia"/>
          <w:kern w:val="28"/>
        </w:rPr>
        <w:t>50%</w:t>
      </w:r>
      <w:r>
        <w:rPr>
          <w:rFonts w:hint="eastAsia"/>
          <w:kern w:val="28"/>
        </w:rPr>
        <w:t>；水稻土约占全县耕地面积</w:t>
      </w:r>
      <w:r>
        <w:rPr>
          <w:rFonts w:hint="eastAsia"/>
          <w:kern w:val="28"/>
        </w:rPr>
        <w:t>49.24%</w:t>
      </w:r>
      <w:r>
        <w:rPr>
          <w:rFonts w:hint="eastAsia"/>
          <w:kern w:val="28"/>
        </w:rPr>
        <w:t>；潮土约占全县耕地面积</w:t>
      </w:r>
      <w:r>
        <w:rPr>
          <w:rFonts w:hint="eastAsia"/>
          <w:kern w:val="28"/>
        </w:rPr>
        <w:t>0.2%</w:t>
      </w:r>
      <w:r>
        <w:rPr>
          <w:rFonts w:hint="eastAsia"/>
          <w:kern w:val="28"/>
        </w:rPr>
        <w:t>；黄壤土约占全县耕地面积的</w:t>
      </w:r>
      <w:r>
        <w:rPr>
          <w:rFonts w:hint="eastAsia"/>
          <w:kern w:val="28"/>
        </w:rPr>
        <w:t>0.56%</w:t>
      </w:r>
      <w:r>
        <w:rPr>
          <w:rFonts w:hint="eastAsia"/>
          <w:kern w:val="28"/>
        </w:rPr>
        <w:t>。紫色土壤结构良好、疏松透气好、微生物多、宜种性广。</w:t>
      </w:r>
    </w:p>
    <w:p w:rsidR="00F44F7B" w:rsidRDefault="00730D49">
      <w:pPr>
        <w:pStyle w:val="2"/>
      </w:pPr>
      <w:bookmarkStart w:id="69" w:name="_Toc62144055"/>
      <w:bookmarkStart w:id="70" w:name="_Toc9246"/>
      <w:r>
        <w:t>2.3</w:t>
      </w:r>
      <w:r>
        <w:t>社会经济概况</w:t>
      </w:r>
      <w:bookmarkEnd w:id="66"/>
      <w:bookmarkEnd w:id="67"/>
      <w:bookmarkEnd w:id="68"/>
      <w:bookmarkEnd w:id="69"/>
      <w:bookmarkEnd w:id="70"/>
    </w:p>
    <w:p w:rsidR="00F44F7B" w:rsidRDefault="00730D49">
      <w:pPr>
        <w:spacing w:line="360" w:lineRule="auto"/>
        <w:ind w:firstLine="480"/>
        <w:rPr>
          <w:kern w:val="28"/>
        </w:rPr>
      </w:pPr>
      <w:r>
        <w:rPr>
          <w:rFonts w:hint="eastAsia"/>
          <w:kern w:val="28"/>
        </w:rPr>
        <w:t>仪陇县位于东经</w:t>
      </w:r>
      <w:r>
        <w:rPr>
          <w:kern w:val="28"/>
        </w:rPr>
        <w:t>106°13'</w:t>
      </w:r>
      <w:r>
        <w:rPr>
          <w:kern w:val="28"/>
        </w:rPr>
        <w:t>～</w:t>
      </w:r>
      <w:r>
        <w:rPr>
          <w:kern w:val="28"/>
        </w:rPr>
        <w:t>106°52'</w:t>
      </w:r>
      <w:r>
        <w:rPr>
          <w:kern w:val="28"/>
        </w:rPr>
        <w:t>，北纬</w:t>
      </w:r>
      <w:r>
        <w:rPr>
          <w:kern w:val="28"/>
        </w:rPr>
        <w:t>31°11'</w:t>
      </w:r>
      <w:r>
        <w:rPr>
          <w:kern w:val="28"/>
        </w:rPr>
        <w:t>～</w:t>
      </w:r>
      <w:r>
        <w:rPr>
          <w:kern w:val="28"/>
        </w:rPr>
        <w:t>31°39'</w:t>
      </w:r>
      <w:r>
        <w:rPr>
          <w:kern w:val="28"/>
        </w:rPr>
        <w:t>。地处四川省</w:t>
      </w:r>
      <w:r>
        <w:rPr>
          <w:rFonts w:hint="eastAsia"/>
          <w:kern w:val="28"/>
        </w:rPr>
        <w:t>南充市</w:t>
      </w:r>
      <w:r>
        <w:rPr>
          <w:kern w:val="28"/>
        </w:rPr>
        <w:t>东北部，东与平昌县为邻，南与营山县、蓬安县接壤，西连南部县、阆中市，北与巴中市巴州区毗连，南朝置县，</w:t>
      </w:r>
      <w:r>
        <w:rPr>
          <w:kern w:val="28"/>
        </w:rPr>
        <w:t>101</w:t>
      </w:r>
      <w:r>
        <w:rPr>
          <w:kern w:val="28"/>
        </w:rPr>
        <w:t>、</w:t>
      </w:r>
      <w:r>
        <w:rPr>
          <w:kern w:val="28"/>
        </w:rPr>
        <w:t>203</w:t>
      </w:r>
      <w:r>
        <w:rPr>
          <w:kern w:val="28"/>
        </w:rPr>
        <w:t>省道，</w:t>
      </w:r>
      <w:r>
        <w:rPr>
          <w:kern w:val="28"/>
        </w:rPr>
        <w:t>S2</w:t>
      </w:r>
      <w:hyperlink r:id="rId16" w:tgtFrame="https://baike.baidu.com/item/%E4%BB%AA%E9%99%87%E5%8E%BF/_blank" w:history="1">
        <w:r>
          <w:rPr>
            <w:kern w:val="28"/>
          </w:rPr>
          <w:t>成巴高速公路</w:t>
        </w:r>
      </w:hyperlink>
      <w:r>
        <w:rPr>
          <w:kern w:val="28"/>
        </w:rPr>
        <w:t>、</w:t>
      </w:r>
      <w:hyperlink r:id="rId17" w:tgtFrame="https://baike.baidu.com/item/%E4%BB%AA%E9%99%87%E5%8E%BF/_blank" w:history="1">
        <w:r>
          <w:rPr>
            <w:kern w:val="28"/>
          </w:rPr>
          <w:t>巴广渝高速公路</w:t>
        </w:r>
      </w:hyperlink>
      <w:r>
        <w:rPr>
          <w:kern w:val="28"/>
        </w:rPr>
        <w:t>和阆仪营高速公路贯穿仪陇县县境。县城距南充市区</w:t>
      </w:r>
      <w:r>
        <w:rPr>
          <w:kern w:val="28"/>
        </w:rPr>
        <w:t>69</w:t>
      </w:r>
      <w:r>
        <w:rPr>
          <w:kern w:val="28"/>
        </w:rPr>
        <w:t>公里，距省会成</w:t>
      </w:r>
      <w:r>
        <w:rPr>
          <w:kern w:val="28"/>
        </w:rPr>
        <w:t>都市区</w:t>
      </w:r>
      <w:r>
        <w:rPr>
          <w:kern w:val="28"/>
        </w:rPr>
        <w:t>269</w:t>
      </w:r>
      <w:r>
        <w:rPr>
          <w:kern w:val="28"/>
        </w:rPr>
        <w:t>公里。</w:t>
      </w:r>
      <w:r>
        <w:rPr>
          <w:rFonts w:hint="eastAsia"/>
          <w:kern w:val="28"/>
        </w:rPr>
        <w:t>2016</w:t>
      </w:r>
      <w:r>
        <w:rPr>
          <w:rFonts w:hint="eastAsia"/>
          <w:kern w:val="28"/>
        </w:rPr>
        <w:t>年年末全县总人口</w:t>
      </w:r>
      <w:r>
        <w:rPr>
          <w:rFonts w:hint="eastAsia"/>
          <w:kern w:val="28"/>
        </w:rPr>
        <w:t>1088665</w:t>
      </w:r>
      <w:r>
        <w:rPr>
          <w:rFonts w:hint="eastAsia"/>
          <w:kern w:val="28"/>
        </w:rPr>
        <w:t>人，其中城镇常住人口</w:t>
      </w:r>
      <w:r>
        <w:rPr>
          <w:rFonts w:hint="eastAsia"/>
          <w:kern w:val="28"/>
        </w:rPr>
        <w:t>35.92</w:t>
      </w:r>
      <w:r>
        <w:rPr>
          <w:rFonts w:hint="eastAsia"/>
          <w:kern w:val="28"/>
        </w:rPr>
        <w:t>万人，全年出生人口</w:t>
      </w:r>
      <w:r>
        <w:rPr>
          <w:rFonts w:hint="eastAsia"/>
          <w:kern w:val="28"/>
        </w:rPr>
        <w:t>10639</w:t>
      </w:r>
      <w:r>
        <w:rPr>
          <w:rFonts w:hint="eastAsia"/>
          <w:kern w:val="28"/>
        </w:rPr>
        <w:t>人，出生率为</w:t>
      </w:r>
      <w:r>
        <w:rPr>
          <w:rFonts w:hint="eastAsia"/>
          <w:kern w:val="28"/>
        </w:rPr>
        <w:t>9.67</w:t>
      </w:r>
      <w:r>
        <w:rPr>
          <w:rFonts w:hint="eastAsia"/>
          <w:kern w:val="28"/>
        </w:rPr>
        <w:t>‰，死亡率为</w:t>
      </w:r>
      <w:r>
        <w:rPr>
          <w:rFonts w:hint="eastAsia"/>
          <w:kern w:val="28"/>
        </w:rPr>
        <w:t>5.42</w:t>
      </w:r>
      <w:r>
        <w:rPr>
          <w:rFonts w:hint="eastAsia"/>
          <w:kern w:val="28"/>
        </w:rPr>
        <w:t>‰；自然生长率为</w:t>
      </w:r>
      <w:r>
        <w:rPr>
          <w:rFonts w:hint="eastAsia"/>
          <w:kern w:val="28"/>
        </w:rPr>
        <w:t>4.25</w:t>
      </w:r>
      <w:r>
        <w:rPr>
          <w:rFonts w:hint="eastAsia"/>
          <w:kern w:val="28"/>
        </w:rPr>
        <w:t>‰。</w:t>
      </w:r>
    </w:p>
    <w:p w:rsidR="00F44F7B" w:rsidRDefault="00730D49">
      <w:pPr>
        <w:pStyle w:val="2"/>
      </w:pPr>
      <w:bookmarkStart w:id="71" w:name="_Toc62144056"/>
      <w:bookmarkStart w:id="72" w:name="_Toc21322"/>
      <w:r>
        <w:t>2.4</w:t>
      </w:r>
      <w:r>
        <w:rPr>
          <w:rFonts w:hint="eastAsia"/>
        </w:rPr>
        <w:t>土地利用现状</w:t>
      </w:r>
      <w:bookmarkEnd w:id="71"/>
      <w:bookmarkEnd w:id="72"/>
    </w:p>
    <w:p w:rsidR="00F44F7B" w:rsidRDefault="00730D49">
      <w:pPr>
        <w:spacing w:line="360" w:lineRule="auto"/>
        <w:ind w:firstLine="480"/>
        <w:rPr>
          <w:kern w:val="28"/>
        </w:rPr>
      </w:pPr>
      <w:r>
        <w:rPr>
          <w:rFonts w:hint="eastAsia"/>
          <w:kern w:val="28"/>
        </w:rPr>
        <w:t>根据仪陇县</w:t>
      </w:r>
      <w:r>
        <w:rPr>
          <w:rFonts w:hint="eastAsia"/>
          <w:kern w:val="28"/>
        </w:rPr>
        <w:t xml:space="preserve"> 2014 </w:t>
      </w:r>
      <w:r>
        <w:rPr>
          <w:rFonts w:hint="eastAsia"/>
          <w:kern w:val="28"/>
        </w:rPr>
        <w:t>年土地利用变更成果资料，全县土地总面积为</w:t>
      </w:r>
      <w:r>
        <w:rPr>
          <w:rFonts w:hint="eastAsia"/>
          <w:kern w:val="28"/>
        </w:rPr>
        <w:t>179096.64  hm2</w:t>
      </w:r>
      <w:r>
        <w:rPr>
          <w:rFonts w:hint="eastAsia"/>
          <w:kern w:val="28"/>
        </w:rPr>
        <w:t>。其中：耕地面积</w:t>
      </w:r>
      <w:r>
        <w:rPr>
          <w:rFonts w:hint="eastAsia"/>
          <w:kern w:val="28"/>
        </w:rPr>
        <w:t xml:space="preserve"> 68894.04 hm2</w:t>
      </w:r>
      <w:r>
        <w:rPr>
          <w:rFonts w:hint="eastAsia"/>
          <w:kern w:val="28"/>
        </w:rPr>
        <w:t>，占土地总面积的</w:t>
      </w:r>
      <w:r>
        <w:rPr>
          <w:rFonts w:hint="eastAsia"/>
          <w:kern w:val="28"/>
        </w:rPr>
        <w:t>38.47%</w:t>
      </w:r>
      <w:r>
        <w:rPr>
          <w:rFonts w:hint="eastAsia"/>
          <w:kern w:val="28"/>
        </w:rPr>
        <w:t>；园地面积</w:t>
      </w:r>
      <w:r>
        <w:rPr>
          <w:rFonts w:hint="eastAsia"/>
          <w:kern w:val="28"/>
        </w:rPr>
        <w:t>10517.24  hm2</w:t>
      </w:r>
      <w:r>
        <w:rPr>
          <w:rFonts w:hint="eastAsia"/>
          <w:kern w:val="28"/>
        </w:rPr>
        <w:t>，占土地总面积的</w:t>
      </w:r>
      <w:r>
        <w:rPr>
          <w:rFonts w:hint="eastAsia"/>
          <w:kern w:val="28"/>
        </w:rPr>
        <w:t>5.87%</w:t>
      </w:r>
      <w:r>
        <w:rPr>
          <w:rFonts w:hint="eastAsia"/>
          <w:kern w:val="28"/>
        </w:rPr>
        <w:t>；林地面积</w:t>
      </w:r>
      <w:r>
        <w:rPr>
          <w:rFonts w:hint="eastAsia"/>
          <w:kern w:val="28"/>
        </w:rPr>
        <w:t>62066.75 hm2</w:t>
      </w:r>
      <w:r>
        <w:rPr>
          <w:rFonts w:hint="eastAsia"/>
          <w:kern w:val="28"/>
        </w:rPr>
        <w:t>，占土地总面积的</w:t>
      </w:r>
      <w:r>
        <w:rPr>
          <w:rFonts w:hint="eastAsia"/>
          <w:kern w:val="28"/>
        </w:rPr>
        <w:t>34.66%</w:t>
      </w:r>
      <w:r>
        <w:rPr>
          <w:rFonts w:hint="eastAsia"/>
          <w:kern w:val="28"/>
        </w:rPr>
        <w:t>；草地面积</w:t>
      </w:r>
      <w:r>
        <w:rPr>
          <w:rFonts w:hint="eastAsia"/>
          <w:kern w:val="28"/>
        </w:rPr>
        <w:t xml:space="preserve"> 438.18</w:t>
      </w:r>
      <w:r>
        <w:rPr>
          <w:rFonts w:hint="eastAsia"/>
          <w:kern w:val="28"/>
        </w:rPr>
        <w:t>hm2</w:t>
      </w:r>
      <w:r>
        <w:rPr>
          <w:rFonts w:hint="eastAsia"/>
          <w:kern w:val="28"/>
        </w:rPr>
        <w:t>，占土地总面积的</w:t>
      </w:r>
      <w:r>
        <w:rPr>
          <w:rFonts w:hint="eastAsia"/>
          <w:kern w:val="28"/>
        </w:rPr>
        <w:t xml:space="preserve"> 0.24%</w:t>
      </w:r>
      <w:r>
        <w:rPr>
          <w:rFonts w:hint="eastAsia"/>
          <w:kern w:val="28"/>
        </w:rPr>
        <w:t>；城镇村及工矿用地面积</w:t>
      </w:r>
      <w:r>
        <w:rPr>
          <w:rFonts w:hint="eastAsia"/>
          <w:kern w:val="28"/>
        </w:rPr>
        <w:t xml:space="preserve"> 14755.53hm2</w:t>
      </w:r>
      <w:r>
        <w:rPr>
          <w:rFonts w:hint="eastAsia"/>
          <w:kern w:val="28"/>
        </w:rPr>
        <w:t>，占土地总面积的</w:t>
      </w:r>
      <w:r>
        <w:rPr>
          <w:rFonts w:hint="eastAsia"/>
          <w:kern w:val="28"/>
        </w:rPr>
        <w:t>8.24%</w:t>
      </w:r>
      <w:r>
        <w:rPr>
          <w:rFonts w:hint="eastAsia"/>
          <w:kern w:val="28"/>
        </w:rPr>
        <w:t>；交通用地面积</w:t>
      </w:r>
      <w:r>
        <w:rPr>
          <w:rFonts w:hint="eastAsia"/>
          <w:kern w:val="28"/>
        </w:rPr>
        <w:t>2645.35 hm2</w:t>
      </w:r>
      <w:r>
        <w:rPr>
          <w:rFonts w:hint="eastAsia"/>
          <w:kern w:val="28"/>
        </w:rPr>
        <w:t>，占土地面积的</w:t>
      </w:r>
      <w:r>
        <w:rPr>
          <w:rFonts w:hint="eastAsia"/>
          <w:kern w:val="28"/>
        </w:rPr>
        <w:t>1.48%</w:t>
      </w:r>
      <w:r>
        <w:rPr>
          <w:rFonts w:hint="eastAsia"/>
          <w:kern w:val="28"/>
        </w:rPr>
        <w:t>；水域用地面积</w:t>
      </w:r>
      <w:r>
        <w:rPr>
          <w:rFonts w:hint="eastAsia"/>
          <w:kern w:val="28"/>
        </w:rPr>
        <w:t>4727.18 hm2</w:t>
      </w:r>
      <w:r>
        <w:rPr>
          <w:rFonts w:hint="eastAsia"/>
          <w:kern w:val="28"/>
        </w:rPr>
        <w:t>，占土地总面积的</w:t>
      </w:r>
      <w:r>
        <w:rPr>
          <w:rFonts w:hint="eastAsia"/>
          <w:kern w:val="28"/>
        </w:rPr>
        <w:t xml:space="preserve"> 2.64</w:t>
      </w:r>
      <w:r>
        <w:rPr>
          <w:rFonts w:hint="eastAsia"/>
          <w:kern w:val="28"/>
        </w:rPr>
        <w:t>％。其他土地</w:t>
      </w:r>
      <w:r>
        <w:rPr>
          <w:rFonts w:hint="eastAsia"/>
          <w:kern w:val="28"/>
        </w:rPr>
        <w:t>150.52 hm2</w:t>
      </w:r>
      <w:r>
        <w:rPr>
          <w:rFonts w:hint="eastAsia"/>
          <w:kern w:val="28"/>
        </w:rPr>
        <w:t>，占土地总面积的</w:t>
      </w:r>
      <w:r>
        <w:rPr>
          <w:rFonts w:hint="eastAsia"/>
          <w:kern w:val="28"/>
        </w:rPr>
        <w:t>8.40%</w:t>
      </w:r>
      <w:r>
        <w:rPr>
          <w:rFonts w:hint="eastAsia"/>
          <w:kern w:val="28"/>
        </w:rPr>
        <w:t>。</w:t>
      </w:r>
    </w:p>
    <w:p w:rsidR="00F44F7B" w:rsidRDefault="00730D49">
      <w:pPr>
        <w:pStyle w:val="af8"/>
        <w:ind w:left="480"/>
      </w:pPr>
      <w:r>
        <w:rPr>
          <w:rFonts w:hint="eastAsia"/>
        </w:rPr>
        <w:t>表</w:t>
      </w:r>
      <w:r>
        <w:rPr>
          <w:rFonts w:hint="eastAsia"/>
        </w:rPr>
        <w:t xml:space="preserve">2-1 </w:t>
      </w:r>
      <w:r>
        <w:rPr>
          <w:rFonts w:hint="eastAsia"/>
        </w:rPr>
        <w:t>土地利用现状表</w:t>
      </w:r>
      <w:r>
        <w:rPr>
          <w:rFonts w:hint="eastAsia"/>
        </w:rPr>
        <w:t xml:space="preserve">   </w:t>
      </w:r>
      <w:r>
        <w:rPr>
          <w:rFonts w:hint="eastAsia"/>
        </w:rPr>
        <w:t>单位：</w:t>
      </w:r>
      <w:r>
        <w:rPr>
          <w:rFonts w:hint="eastAsia"/>
        </w:rPr>
        <w:t>km</w:t>
      </w:r>
      <w:r>
        <w:rPr>
          <w:rFonts w:hint="eastAsia"/>
          <w:vertAlign w:val="superscript"/>
        </w:rPr>
        <w:t>2</w:t>
      </w:r>
    </w:p>
    <w:tbl>
      <w:tblPr>
        <w:tblStyle w:val="ab"/>
        <w:tblW w:w="0" w:type="auto"/>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949"/>
        <w:gridCol w:w="738"/>
        <w:gridCol w:w="744"/>
        <w:gridCol w:w="588"/>
        <w:gridCol w:w="768"/>
        <w:gridCol w:w="642"/>
        <w:gridCol w:w="663"/>
        <w:gridCol w:w="1695"/>
        <w:gridCol w:w="900"/>
        <w:gridCol w:w="832"/>
      </w:tblGrid>
      <w:tr w:rsidR="00F44F7B">
        <w:trPr>
          <w:trHeight w:val="340"/>
        </w:trPr>
        <w:tc>
          <w:tcPr>
            <w:tcW w:w="949" w:type="dxa"/>
            <w:tcBorders>
              <w:tl2br w:val="nil"/>
              <w:tr2bl w:val="nil"/>
            </w:tcBorders>
            <w:vAlign w:val="center"/>
          </w:tcPr>
          <w:p w:rsidR="00F44F7B" w:rsidRDefault="00730D49">
            <w:pPr>
              <w:pStyle w:val="af9"/>
              <w:rPr>
                <w:sz w:val="18"/>
                <w:szCs w:val="18"/>
              </w:rPr>
            </w:pPr>
            <w:r>
              <w:rPr>
                <w:rFonts w:hint="eastAsia"/>
                <w:sz w:val="18"/>
                <w:szCs w:val="18"/>
              </w:rPr>
              <w:lastRenderedPageBreak/>
              <w:t>名称</w:t>
            </w:r>
          </w:p>
        </w:tc>
        <w:tc>
          <w:tcPr>
            <w:tcW w:w="738" w:type="dxa"/>
            <w:tcBorders>
              <w:tl2br w:val="nil"/>
              <w:tr2bl w:val="nil"/>
            </w:tcBorders>
            <w:vAlign w:val="center"/>
          </w:tcPr>
          <w:p w:rsidR="00F44F7B" w:rsidRDefault="00730D49">
            <w:pPr>
              <w:pStyle w:val="af9"/>
              <w:rPr>
                <w:sz w:val="18"/>
                <w:szCs w:val="18"/>
              </w:rPr>
            </w:pPr>
            <w:r>
              <w:rPr>
                <w:rFonts w:hint="eastAsia"/>
                <w:sz w:val="18"/>
                <w:szCs w:val="18"/>
              </w:rPr>
              <w:t>耕地</w:t>
            </w:r>
          </w:p>
        </w:tc>
        <w:tc>
          <w:tcPr>
            <w:tcW w:w="744" w:type="dxa"/>
            <w:tcBorders>
              <w:tl2br w:val="nil"/>
              <w:tr2bl w:val="nil"/>
            </w:tcBorders>
            <w:vAlign w:val="center"/>
          </w:tcPr>
          <w:p w:rsidR="00F44F7B" w:rsidRDefault="00730D49">
            <w:pPr>
              <w:pStyle w:val="af9"/>
              <w:rPr>
                <w:sz w:val="18"/>
                <w:szCs w:val="18"/>
              </w:rPr>
            </w:pPr>
            <w:r>
              <w:rPr>
                <w:rFonts w:hint="eastAsia"/>
                <w:sz w:val="18"/>
                <w:szCs w:val="18"/>
              </w:rPr>
              <w:t>林地</w:t>
            </w:r>
          </w:p>
        </w:tc>
        <w:tc>
          <w:tcPr>
            <w:tcW w:w="588" w:type="dxa"/>
            <w:tcBorders>
              <w:tl2br w:val="nil"/>
              <w:tr2bl w:val="nil"/>
            </w:tcBorders>
            <w:vAlign w:val="center"/>
          </w:tcPr>
          <w:p w:rsidR="00F44F7B" w:rsidRDefault="00730D49">
            <w:pPr>
              <w:pStyle w:val="af9"/>
              <w:rPr>
                <w:sz w:val="18"/>
                <w:szCs w:val="18"/>
              </w:rPr>
            </w:pPr>
            <w:r>
              <w:rPr>
                <w:rFonts w:hint="eastAsia"/>
                <w:sz w:val="18"/>
                <w:szCs w:val="18"/>
              </w:rPr>
              <w:t>草地</w:t>
            </w:r>
          </w:p>
        </w:tc>
        <w:tc>
          <w:tcPr>
            <w:tcW w:w="768" w:type="dxa"/>
            <w:tcBorders>
              <w:tl2br w:val="nil"/>
              <w:tr2bl w:val="nil"/>
            </w:tcBorders>
            <w:vAlign w:val="center"/>
          </w:tcPr>
          <w:p w:rsidR="00F44F7B" w:rsidRDefault="00730D49">
            <w:pPr>
              <w:pStyle w:val="af9"/>
              <w:rPr>
                <w:sz w:val="18"/>
                <w:szCs w:val="18"/>
              </w:rPr>
            </w:pPr>
            <w:r>
              <w:rPr>
                <w:rFonts w:hint="eastAsia"/>
                <w:sz w:val="18"/>
                <w:szCs w:val="18"/>
              </w:rPr>
              <w:t>园地</w:t>
            </w:r>
          </w:p>
        </w:tc>
        <w:tc>
          <w:tcPr>
            <w:tcW w:w="642" w:type="dxa"/>
            <w:tcBorders>
              <w:tl2br w:val="nil"/>
              <w:tr2bl w:val="nil"/>
            </w:tcBorders>
            <w:vAlign w:val="center"/>
          </w:tcPr>
          <w:p w:rsidR="00F44F7B" w:rsidRDefault="00730D49">
            <w:pPr>
              <w:pStyle w:val="af9"/>
              <w:rPr>
                <w:sz w:val="18"/>
                <w:szCs w:val="18"/>
              </w:rPr>
            </w:pPr>
            <w:r>
              <w:rPr>
                <w:rFonts w:hint="eastAsia"/>
                <w:sz w:val="18"/>
                <w:szCs w:val="18"/>
              </w:rPr>
              <w:t>水域</w:t>
            </w:r>
          </w:p>
        </w:tc>
        <w:tc>
          <w:tcPr>
            <w:tcW w:w="663" w:type="dxa"/>
            <w:tcBorders>
              <w:tl2br w:val="nil"/>
              <w:tr2bl w:val="nil"/>
            </w:tcBorders>
            <w:vAlign w:val="center"/>
          </w:tcPr>
          <w:p w:rsidR="00F44F7B" w:rsidRDefault="00730D49">
            <w:pPr>
              <w:pStyle w:val="af9"/>
              <w:rPr>
                <w:sz w:val="18"/>
                <w:szCs w:val="18"/>
              </w:rPr>
            </w:pPr>
            <w:r>
              <w:rPr>
                <w:rFonts w:hint="eastAsia"/>
                <w:sz w:val="18"/>
                <w:szCs w:val="18"/>
              </w:rPr>
              <w:t>交通</w:t>
            </w:r>
          </w:p>
        </w:tc>
        <w:tc>
          <w:tcPr>
            <w:tcW w:w="1695" w:type="dxa"/>
            <w:tcBorders>
              <w:tl2br w:val="nil"/>
              <w:tr2bl w:val="nil"/>
            </w:tcBorders>
            <w:vAlign w:val="center"/>
          </w:tcPr>
          <w:p w:rsidR="00F44F7B" w:rsidRDefault="00730D49">
            <w:pPr>
              <w:pStyle w:val="af9"/>
              <w:rPr>
                <w:sz w:val="18"/>
                <w:szCs w:val="18"/>
              </w:rPr>
            </w:pPr>
            <w:r>
              <w:rPr>
                <w:rFonts w:hint="eastAsia"/>
                <w:sz w:val="18"/>
                <w:szCs w:val="18"/>
              </w:rPr>
              <w:t>城镇村及工矿用地</w:t>
            </w:r>
          </w:p>
        </w:tc>
        <w:tc>
          <w:tcPr>
            <w:tcW w:w="900" w:type="dxa"/>
            <w:tcBorders>
              <w:tl2br w:val="nil"/>
              <w:tr2bl w:val="nil"/>
            </w:tcBorders>
            <w:vAlign w:val="center"/>
          </w:tcPr>
          <w:p w:rsidR="00F44F7B" w:rsidRDefault="00730D49">
            <w:pPr>
              <w:pStyle w:val="af9"/>
              <w:rPr>
                <w:sz w:val="18"/>
                <w:szCs w:val="18"/>
              </w:rPr>
            </w:pPr>
            <w:r>
              <w:rPr>
                <w:rFonts w:hint="eastAsia"/>
                <w:sz w:val="18"/>
                <w:szCs w:val="18"/>
              </w:rPr>
              <w:t>其他</w:t>
            </w:r>
          </w:p>
          <w:p w:rsidR="00F44F7B" w:rsidRDefault="00730D49">
            <w:pPr>
              <w:pStyle w:val="af9"/>
              <w:rPr>
                <w:sz w:val="18"/>
                <w:szCs w:val="18"/>
              </w:rPr>
            </w:pPr>
            <w:r>
              <w:rPr>
                <w:rFonts w:hint="eastAsia"/>
                <w:sz w:val="18"/>
                <w:szCs w:val="18"/>
              </w:rPr>
              <w:t>土地</w:t>
            </w:r>
          </w:p>
        </w:tc>
        <w:tc>
          <w:tcPr>
            <w:tcW w:w="832" w:type="dxa"/>
            <w:tcBorders>
              <w:tl2br w:val="nil"/>
              <w:tr2bl w:val="nil"/>
            </w:tcBorders>
            <w:vAlign w:val="center"/>
          </w:tcPr>
          <w:p w:rsidR="00F44F7B" w:rsidRDefault="00730D49">
            <w:pPr>
              <w:pStyle w:val="af9"/>
              <w:rPr>
                <w:sz w:val="18"/>
                <w:szCs w:val="18"/>
              </w:rPr>
            </w:pPr>
            <w:r>
              <w:rPr>
                <w:rFonts w:hint="eastAsia"/>
                <w:sz w:val="18"/>
                <w:szCs w:val="18"/>
              </w:rPr>
              <w:t>合计</w:t>
            </w:r>
          </w:p>
        </w:tc>
      </w:tr>
      <w:tr w:rsidR="00F44F7B">
        <w:trPr>
          <w:trHeight w:val="340"/>
        </w:trPr>
        <w:tc>
          <w:tcPr>
            <w:tcW w:w="949" w:type="dxa"/>
            <w:tcBorders>
              <w:tl2br w:val="nil"/>
              <w:tr2bl w:val="nil"/>
            </w:tcBorders>
            <w:vAlign w:val="center"/>
          </w:tcPr>
          <w:p w:rsidR="00F44F7B" w:rsidRDefault="00730D49">
            <w:pPr>
              <w:pStyle w:val="af9"/>
              <w:rPr>
                <w:sz w:val="18"/>
                <w:szCs w:val="18"/>
              </w:rPr>
            </w:pPr>
            <w:r>
              <w:rPr>
                <w:rFonts w:hint="eastAsia"/>
                <w:sz w:val="18"/>
                <w:szCs w:val="18"/>
              </w:rPr>
              <w:t>仪陇县</w:t>
            </w:r>
          </w:p>
        </w:tc>
        <w:tc>
          <w:tcPr>
            <w:tcW w:w="738" w:type="dxa"/>
            <w:tcBorders>
              <w:tl2br w:val="nil"/>
              <w:tr2bl w:val="nil"/>
            </w:tcBorders>
            <w:vAlign w:val="center"/>
          </w:tcPr>
          <w:p w:rsidR="00F44F7B" w:rsidRDefault="00730D49">
            <w:pPr>
              <w:pStyle w:val="af9"/>
              <w:rPr>
                <w:sz w:val="18"/>
                <w:szCs w:val="18"/>
              </w:rPr>
            </w:pPr>
            <w:r>
              <w:rPr>
                <w:rFonts w:hint="eastAsia"/>
                <w:sz w:val="18"/>
                <w:szCs w:val="18"/>
              </w:rPr>
              <w:t>688.94</w:t>
            </w:r>
          </w:p>
        </w:tc>
        <w:tc>
          <w:tcPr>
            <w:tcW w:w="744" w:type="dxa"/>
            <w:tcBorders>
              <w:tl2br w:val="nil"/>
              <w:tr2bl w:val="nil"/>
            </w:tcBorders>
            <w:vAlign w:val="center"/>
          </w:tcPr>
          <w:p w:rsidR="00F44F7B" w:rsidRDefault="00730D49">
            <w:pPr>
              <w:pStyle w:val="af9"/>
              <w:rPr>
                <w:sz w:val="18"/>
                <w:szCs w:val="18"/>
              </w:rPr>
            </w:pPr>
            <w:r>
              <w:rPr>
                <w:rFonts w:hint="eastAsia"/>
                <w:sz w:val="18"/>
                <w:szCs w:val="18"/>
              </w:rPr>
              <w:t>620.67</w:t>
            </w:r>
          </w:p>
        </w:tc>
        <w:tc>
          <w:tcPr>
            <w:tcW w:w="588" w:type="dxa"/>
            <w:tcBorders>
              <w:tl2br w:val="nil"/>
              <w:tr2bl w:val="nil"/>
            </w:tcBorders>
            <w:vAlign w:val="center"/>
          </w:tcPr>
          <w:p w:rsidR="00F44F7B" w:rsidRDefault="00730D49">
            <w:pPr>
              <w:pStyle w:val="af9"/>
              <w:rPr>
                <w:sz w:val="18"/>
                <w:szCs w:val="18"/>
              </w:rPr>
            </w:pPr>
            <w:r>
              <w:rPr>
                <w:rFonts w:hint="eastAsia"/>
                <w:sz w:val="18"/>
                <w:szCs w:val="18"/>
              </w:rPr>
              <w:t>4.38</w:t>
            </w:r>
          </w:p>
        </w:tc>
        <w:tc>
          <w:tcPr>
            <w:tcW w:w="768" w:type="dxa"/>
            <w:tcBorders>
              <w:tl2br w:val="nil"/>
              <w:tr2bl w:val="nil"/>
            </w:tcBorders>
            <w:vAlign w:val="center"/>
          </w:tcPr>
          <w:p w:rsidR="00F44F7B" w:rsidRDefault="00730D49">
            <w:pPr>
              <w:pStyle w:val="af9"/>
              <w:rPr>
                <w:sz w:val="18"/>
                <w:szCs w:val="18"/>
              </w:rPr>
            </w:pPr>
            <w:r>
              <w:rPr>
                <w:rFonts w:hint="eastAsia"/>
                <w:sz w:val="18"/>
                <w:szCs w:val="18"/>
              </w:rPr>
              <w:t>105.17</w:t>
            </w:r>
          </w:p>
        </w:tc>
        <w:tc>
          <w:tcPr>
            <w:tcW w:w="642" w:type="dxa"/>
            <w:tcBorders>
              <w:tl2br w:val="nil"/>
              <w:tr2bl w:val="nil"/>
            </w:tcBorders>
            <w:vAlign w:val="center"/>
          </w:tcPr>
          <w:p w:rsidR="00F44F7B" w:rsidRDefault="00730D49">
            <w:pPr>
              <w:pStyle w:val="af9"/>
              <w:rPr>
                <w:sz w:val="18"/>
                <w:szCs w:val="18"/>
              </w:rPr>
            </w:pPr>
            <w:r>
              <w:rPr>
                <w:rFonts w:hint="eastAsia"/>
                <w:sz w:val="18"/>
                <w:szCs w:val="18"/>
              </w:rPr>
              <w:t>47.27</w:t>
            </w:r>
          </w:p>
        </w:tc>
        <w:tc>
          <w:tcPr>
            <w:tcW w:w="663" w:type="dxa"/>
            <w:tcBorders>
              <w:tl2br w:val="nil"/>
              <w:tr2bl w:val="nil"/>
            </w:tcBorders>
            <w:vAlign w:val="center"/>
          </w:tcPr>
          <w:p w:rsidR="00F44F7B" w:rsidRDefault="00730D49">
            <w:pPr>
              <w:pStyle w:val="af9"/>
              <w:rPr>
                <w:sz w:val="18"/>
                <w:szCs w:val="18"/>
              </w:rPr>
            </w:pPr>
            <w:r>
              <w:rPr>
                <w:rFonts w:hint="eastAsia"/>
                <w:sz w:val="18"/>
                <w:szCs w:val="18"/>
              </w:rPr>
              <w:t>26.45</w:t>
            </w:r>
          </w:p>
        </w:tc>
        <w:tc>
          <w:tcPr>
            <w:tcW w:w="1695" w:type="dxa"/>
            <w:tcBorders>
              <w:tl2br w:val="nil"/>
              <w:tr2bl w:val="nil"/>
            </w:tcBorders>
            <w:vAlign w:val="center"/>
          </w:tcPr>
          <w:p w:rsidR="00F44F7B" w:rsidRDefault="00730D49">
            <w:pPr>
              <w:pStyle w:val="af9"/>
              <w:rPr>
                <w:sz w:val="18"/>
                <w:szCs w:val="18"/>
              </w:rPr>
            </w:pPr>
            <w:r>
              <w:rPr>
                <w:rFonts w:hint="eastAsia"/>
                <w:sz w:val="18"/>
                <w:szCs w:val="18"/>
              </w:rPr>
              <w:t>147.56</w:t>
            </w:r>
          </w:p>
        </w:tc>
        <w:tc>
          <w:tcPr>
            <w:tcW w:w="900" w:type="dxa"/>
            <w:tcBorders>
              <w:tl2br w:val="nil"/>
              <w:tr2bl w:val="nil"/>
            </w:tcBorders>
            <w:vAlign w:val="center"/>
          </w:tcPr>
          <w:p w:rsidR="00F44F7B" w:rsidRDefault="00730D49">
            <w:pPr>
              <w:pStyle w:val="af9"/>
              <w:rPr>
                <w:sz w:val="18"/>
                <w:szCs w:val="18"/>
              </w:rPr>
            </w:pPr>
            <w:r>
              <w:rPr>
                <w:rFonts w:hint="eastAsia"/>
                <w:sz w:val="18"/>
                <w:szCs w:val="18"/>
              </w:rPr>
              <w:t>150.52</w:t>
            </w:r>
          </w:p>
        </w:tc>
        <w:tc>
          <w:tcPr>
            <w:tcW w:w="832" w:type="dxa"/>
            <w:tcBorders>
              <w:tl2br w:val="nil"/>
              <w:tr2bl w:val="nil"/>
            </w:tcBorders>
            <w:vAlign w:val="center"/>
          </w:tcPr>
          <w:p w:rsidR="00F44F7B" w:rsidRDefault="00730D49">
            <w:pPr>
              <w:pStyle w:val="af9"/>
              <w:rPr>
                <w:sz w:val="18"/>
                <w:szCs w:val="18"/>
              </w:rPr>
            </w:pPr>
            <w:r>
              <w:rPr>
                <w:rFonts w:hint="eastAsia"/>
                <w:sz w:val="18"/>
                <w:szCs w:val="18"/>
              </w:rPr>
              <w:t>1790.97</w:t>
            </w:r>
          </w:p>
        </w:tc>
      </w:tr>
      <w:tr w:rsidR="00F44F7B">
        <w:trPr>
          <w:trHeight w:val="340"/>
        </w:trPr>
        <w:tc>
          <w:tcPr>
            <w:tcW w:w="949" w:type="dxa"/>
            <w:tcBorders>
              <w:tl2br w:val="nil"/>
              <w:tr2bl w:val="nil"/>
            </w:tcBorders>
            <w:vAlign w:val="center"/>
          </w:tcPr>
          <w:p w:rsidR="00F44F7B" w:rsidRDefault="00730D49">
            <w:pPr>
              <w:pStyle w:val="af9"/>
              <w:rPr>
                <w:sz w:val="18"/>
                <w:szCs w:val="18"/>
              </w:rPr>
            </w:pPr>
            <w:r>
              <w:rPr>
                <w:rFonts w:hint="eastAsia"/>
                <w:sz w:val="18"/>
                <w:szCs w:val="18"/>
              </w:rPr>
              <w:t>占比（</w:t>
            </w:r>
            <w:r>
              <w:rPr>
                <w:rFonts w:hint="eastAsia"/>
                <w:sz w:val="18"/>
                <w:szCs w:val="18"/>
              </w:rPr>
              <w:t>%</w:t>
            </w:r>
            <w:r>
              <w:rPr>
                <w:rFonts w:hint="eastAsia"/>
                <w:sz w:val="18"/>
                <w:szCs w:val="18"/>
              </w:rPr>
              <w:t>）</w:t>
            </w:r>
          </w:p>
        </w:tc>
        <w:tc>
          <w:tcPr>
            <w:tcW w:w="738" w:type="dxa"/>
            <w:tcBorders>
              <w:tl2br w:val="nil"/>
              <w:tr2bl w:val="nil"/>
            </w:tcBorders>
            <w:vAlign w:val="center"/>
          </w:tcPr>
          <w:p w:rsidR="00F44F7B" w:rsidRDefault="00730D49">
            <w:pPr>
              <w:pStyle w:val="af9"/>
              <w:rPr>
                <w:sz w:val="18"/>
                <w:szCs w:val="18"/>
              </w:rPr>
            </w:pPr>
            <w:r>
              <w:rPr>
                <w:rFonts w:hint="eastAsia"/>
                <w:sz w:val="18"/>
                <w:szCs w:val="18"/>
              </w:rPr>
              <w:t>38.47</w:t>
            </w:r>
          </w:p>
        </w:tc>
        <w:tc>
          <w:tcPr>
            <w:tcW w:w="744" w:type="dxa"/>
            <w:tcBorders>
              <w:tl2br w:val="nil"/>
              <w:tr2bl w:val="nil"/>
            </w:tcBorders>
            <w:vAlign w:val="center"/>
          </w:tcPr>
          <w:p w:rsidR="00F44F7B" w:rsidRDefault="00730D49">
            <w:pPr>
              <w:pStyle w:val="af9"/>
              <w:rPr>
                <w:sz w:val="18"/>
                <w:szCs w:val="18"/>
              </w:rPr>
            </w:pPr>
            <w:r>
              <w:rPr>
                <w:rFonts w:hint="eastAsia"/>
                <w:sz w:val="18"/>
                <w:szCs w:val="18"/>
              </w:rPr>
              <w:t>34.66</w:t>
            </w:r>
          </w:p>
        </w:tc>
        <w:tc>
          <w:tcPr>
            <w:tcW w:w="588" w:type="dxa"/>
            <w:tcBorders>
              <w:tl2br w:val="nil"/>
              <w:tr2bl w:val="nil"/>
            </w:tcBorders>
            <w:vAlign w:val="center"/>
          </w:tcPr>
          <w:p w:rsidR="00F44F7B" w:rsidRDefault="00730D49">
            <w:pPr>
              <w:pStyle w:val="af9"/>
              <w:rPr>
                <w:sz w:val="18"/>
                <w:szCs w:val="18"/>
              </w:rPr>
            </w:pPr>
            <w:r>
              <w:rPr>
                <w:rFonts w:hint="eastAsia"/>
                <w:sz w:val="18"/>
                <w:szCs w:val="18"/>
              </w:rPr>
              <w:t>0.24</w:t>
            </w:r>
          </w:p>
        </w:tc>
        <w:tc>
          <w:tcPr>
            <w:tcW w:w="768" w:type="dxa"/>
            <w:tcBorders>
              <w:tl2br w:val="nil"/>
              <w:tr2bl w:val="nil"/>
            </w:tcBorders>
            <w:vAlign w:val="center"/>
          </w:tcPr>
          <w:p w:rsidR="00F44F7B" w:rsidRDefault="00730D49">
            <w:pPr>
              <w:pStyle w:val="af9"/>
              <w:rPr>
                <w:sz w:val="18"/>
                <w:szCs w:val="18"/>
              </w:rPr>
            </w:pPr>
            <w:r>
              <w:rPr>
                <w:rFonts w:hint="eastAsia"/>
                <w:sz w:val="18"/>
                <w:szCs w:val="18"/>
              </w:rPr>
              <w:t>5.87</w:t>
            </w:r>
          </w:p>
        </w:tc>
        <w:tc>
          <w:tcPr>
            <w:tcW w:w="642" w:type="dxa"/>
            <w:tcBorders>
              <w:tl2br w:val="nil"/>
              <w:tr2bl w:val="nil"/>
            </w:tcBorders>
            <w:vAlign w:val="center"/>
          </w:tcPr>
          <w:p w:rsidR="00F44F7B" w:rsidRDefault="00730D49">
            <w:pPr>
              <w:pStyle w:val="af9"/>
              <w:rPr>
                <w:sz w:val="18"/>
                <w:szCs w:val="18"/>
              </w:rPr>
            </w:pPr>
            <w:r>
              <w:rPr>
                <w:rFonts w:hint="eastAsia"/>
                <w:sz w:val="18"/>
                <w:szCs w:val="18"/>
              </w:rPr>
              <w:t>2.64</w:t>
            </w:r>
          </w:p>
        </w:tc>
        <w:tc>
          <w:tcPr>
            <w:tcW w:w="663" w:type="dxa"/>
            <w:tcBorders>
              <w:tl2br w:val="nil"/>
              <w:tr2bl w:val="nil"/>
            </w:tcBorders>
            <w:vAlign w:val="center"/>
          </w:tcPr>
          <w:p w:rsidR="00F44F7B" w:rsidRDefault="00730D49">
            <w:pPr>
              <w:pStyle w:val="af9"/>
              <w:rPr>
                <w:sz w:val="18"/>
                <w:szCs w:val="18"/>
              </w:rPr>
            </w:pPr>
            <w:r>
              <w:rPr>
                <w:rFonts w:hint="eastAsia"/>
                <w:sz w:val="18"/>
                <w:szCs w:val="18"/>
              </w:rPr>
              <w:t>1.48</w:t>
            </w:r>
          </w:p>
        </w:tc>
        <w:tc>
          <w:tcPr>
            <w:tcW w:w="1695" w:type="dxa"/>
            <w:tcBorders>
              <w:tl2br w:val="nil"/>
              <w:tr2bl w:val="nil"/>
            </w:tcBorders>
            <w:vAlign w:val="center"/>
          </w:tcPr>
          <w:p w:rsidR="00F44F7B" w:rsidRDefault="00730D49">
            <w:pPr>
              <w:pStyle w:val="af9"/>
              <w:rPr>
                <w:sz w:val="18"/>
                <w:szCs w:val="18"/>
              </w:rPr>
            </w:pPr>
            <w:r>
              <w:rPr>
                <w:rFonts w:hint="eastAsia"/>
                <w:sz w:val="18"/>
                <w:szCs w:val="18"/>
              </w:rPr>
              <w:t>8.24</w:t>
            </w:r>
          </w:p>
        </w:tc>
        <w:tc>
          <w:tcPr>
            <w:tcW w:w="900" w:type="dxa"/>
            <w:tcBorders>
              <w:tl2br w:val="nil"/>
              <w:tr2bl w:val="nil"/>
            </w:tcBorders>
            <w:vAlign w:val="center"/>
          </w:tcPr>
          <w:p w:rsidR="00F44F7B" w:rsidRDefault="00730D49">
            <w:pPr>
              <w:pStyle w:val="af9"/>
              <w:rPr>
                <w:sz w:val="18"/>
                <w:szCs w:val="18"/>
              </w:rPr>
            </w:pPr>
            <w:r>
              <w:rPr>
                <w:rFonts w:hint="eastAsia"/>
                <w:sz w:val="18"/>
                <w:szCs w:val="18"/>
              </w:rPr>
              <w:t>8.40</w:t>
            </w:r>
          </w:p>
        </w:tc>
        <w:tc>
          <w:tcPr>
            <w:tcW w:w="832" w:type="dxa"/>
            <w:tcBorders>
              <w:tl2br w:val="nil"/>
              <w:tr2bl w:val="nil"/>
            </w:tcBorders>
            <w:vAlign w:val="center"/>
          </w:tcPr>
          <w:p w:rsidR="00F44F7B" w:rsidRDefault="00730D49">
            <w:pPr>
              <w:pStyle w:val="af9"/>
              <w:rPr>
                <w:sz w:val="18"/>
                <w:szCs w:val="18"/>
              </w:rPr>
            </w:pPr>
            <w:r>
              <w:rPr>
                <w:rFonts w:hint="eastAsia"/>
                <w:sz w:val="18"/>
                <w:szCs w:val="18"/>
              </w:rPr>
              <w:t>100</w:t>
            </w:r>
          </w:p>
        </w:tc>
      </w:tr>
    </w:tbl>
    <w:p w:rsidR="00F44F7B" w:rsidRDefault="00730D49">
      <w:pPr>
        <w:pStyle w:val="2"/>
      </w:pPr>
      <w:bookmarkStart w:id="73" w:name="_Toc62144057"/>
      <w:bookmarkStart w:id="74" w:name="_Toc7450"/>
      <w:r>
        <w:t>2.5</w:t>
      </w:r>
      <w:r>
        <w:t>水土流失现状</w:t>
      </w:r>
      <w:bookmarkEnd w:id="73"/>
      <w:bookmarkEnd w:id="74"/>
    </w:p>
    <w:p w:rsidR="00F44F7B" w:rsidRDefault="00730D49">
      <w:pPr>
        <w:pStyle w:val="3"/>
      </w:pPr>
      <w:r>
        <w:rPr>
          <w:rFonts w:hint="eastAsia"/>
        </w:rPr>
        <w:t>2.5.1</w:t>
      </w:r>
      <w:r>
        <w:rPr>
          <w:rFonts w:hint="eastAsia"/>
        </w:rPr>
        <w:t>项目区水土流失现状</w:t>
      </w:r>
    </w:p>
    <w:p w:rsidR="00F44F7B" w:rsidRDefault="00730D49">
      <w:pPr>
        <w:spacing w:line="360" w:lineRule="auto"/>
        <w:ind w:firstLine="480"/>
        <w:rPr>
          <w:kern w:val="28"/>
        </w:rPr>
      </w:pPr>
      <w:r>
        <w:rPr>
          <w:rFonts w:hint="eastAsia"/>
          <w:kern w:val="28"/>
        </w:rPr>
        <w:t>1</w:t>
      </w:r>
      <w:r>
        <w:rPr>
          <w:rFonts w:hint="eastAsia"/>
          <w:kern w:val="28"/>
        </w:rPr>
        <w:t>、仪陇县水土流失现状</w:t>
      </w:r>
    </w:p>
    <w:p w:rsidR="00F44F7B" w:rsidRDefault="00730D49">
      <w:pPr>
        <w:spacing w:line="360" w:lineRule="auto"/>
        <w:ind w:firstLine="480"/>
        <w:rPr>
          <w:kern w:val="28"/>
        </w:rPr>
      </w:pPr>
      <w:r>
        <w:rPr>
          <w:kern w:val="28"/>
        </w:rPr>
        <w:t>根据《全国水土保持规划国家级水土流失重点预防区和重点治理区复核划分成果》（办水保</w:t>
      </w:r>
      <w:r>
        <w:rPr>
          <w:kern w:val="28"/>
        </w:rPr>
        <w:t>[2013]188</w:t>
      </w:r>
      <w:r>
        <w:rPr>
          <w:kern w:val="28"/>
        </w:rPr>
        <w:t>号）和《四川省水利厅关于印发四川省省级水土流失重点预防区和重点治理区划分成果的通知》（川水函</w:t>
      </w:r>
      <w:r>
        <w:rPr>
          <w:kern w:val="28"/>
        </w:rPr>
        <w:t>[2017]482</w:t>
      </w:r>
      <w:r>
        <w:rPr>
          <w:kern w:val="28"/>
        </w:rPr>
        <w:t>号）的规定，工程所在的</w:t>
      </w:r>
      <w:r>
        <w:rPr>
          <w:rFonts w:hint="eastAsia"/>
          <w:kern w:val="28"/>
        </w:rPr>
        <w:t>南充市仪陇县属于嘉陵江及沱江中下游国家级水土流失重点治理区</w:t>
      </w:r>
      <w:r>
        <w:rPr>
          <w:kern w:val="28"/>
        </w:rPr>
        <w:t>，</w:t>
      </w:r>
      <w:r>
        <w:rPr>
          <w:rFonts w:hint="eastAsia"/>
          <w:kern w:val="28"/>
        </w:rPr>
        <w:t>不属于</w:t>
      </w:r>
      <w:r>
        <w:rPr>
          <w:kern w:val="28"/>
        </w:rPr>
        <w:t>四川省省级水土流失重点预防区和重点治理区的范围内。水土流失主要以水力侵蚀为主，表现形式为面蚀、片蚀、沟蚀等，水土流失容许值为</w:t>
      </w:r>
      <w:r>
        <w:rPr>
          <w:kern w:val="28"/>
        </w:rPr>
        <w:t>500t/km²·a</w:t>
      </w:r>
      <w:r>
        <w:rPr>
          <w:kern w:val="28"/>
        </w:rPr>
        <w:t>。</w:t>
      </w:r>
    </w:p>
    <w:p w:rsidR="00F44F7B" w:rsidRDefault="00730D49">
      <w:pPr>
        <w:spacing w:line="360" w:lineRule="auto"/>
        <w:ind w:firstLine="480"/>
        <w:rPr>
          <w:kern w:val="28"/>
        </w:rPr>
      </w:pPr>
      <w:r>
        <w:rPr>
          <w:rFonts w:hint="eastAsia"/>
          <w:kern w:val="28"/>
        </w:rPr>
        <w:t>2</w:t>
      </w:r>
      <w:r>
        <w:rPr>
          <w:rFonts w:hint="eastAsia"/>
          <w:kern w:val="28"/>
        </w:rPr>
        <w:t>、仪陇县水土流失现状</w:t>
      </w:r>
    </w:p>
    <w:p w:rsidR="00F44F7B" w:rsidRDefault="00730D49">
      <w:pPr>
        <w:spacing w:line="360" w:lineRule="auto"/>
        <w:ind w:firstLine="480"/>
        <w:rPr>
          <w:kern w:val="28"/>
        </w:rPr>
      </w:pPr>
      <w:r>
        <w:rPr>
          <w:rFonts w:hint="eastAsia"/>
          <w:kern w:val="28"/>
        </w:rPr>
        <w:t>仪陇县的水土流失类型以水蚀中的面蚀和沟蚀为主，平均沟壑密度</w:t>
      </w:r>
      <w:r>
        <w:rPr>
          <w:rFonts w:hint="eastAsia"/>
          <w:kern w:val="28"/>
        </w:rPr>
        <w:t>1.2km/</w:t>
      </w:r>
      <w:r>
        <w:rPr>
          <w:rFonts w:hint="eastAsia"/>
          <w:kern w:val="28"/>
        </w:rPr>
        <w:t>平方公里，面蚀占流失面积的</w:t>
      </w:r>
      <w:r>
        <w:rPr>
          <w:rFonts w:hint="eastAsia"/>
          <w:kern w:val="28"/>
        </w:rPr>
        <w:t>89%</w:t>
      </w:r>
      <w:r>
        <w:rPr>
          <w:rFonts w:hint="eastAsia"/>
          <w:kern w:val="28"/>
        </w:rPr>
        <w:t>。水土流失面积为</w:t>
      </w:r>
      <w:r>
        <w:rPr>
          <w:rFonts w:hint="eastAsia"/>
          <w:kern w:val="28"/>
        </w:rPr>
        <w:t>865.85</w:t>
      </w:r>
      <w:r>
        <w:rPr>
          <w:rFonts w:hint="eastAsia"/>
          <w:kern w:val="28"/>
        </w:rPr>
        <w:t>平方公里，占土地总面积的</w:t>
      </w:r>
      <w:r>
        <w:rPr>
          <w:rFonts w:hint="eastAsia"/>
          <w:kern w:val="28"/>
        </w:rPr>
        <w:t>48.35%</w:t>
      </w:r>
      <w:r>
        <w:rPr>
          <w:rFonts w:hint="eastAsia"/>
          <w:kern w:val="28"/>
        </w:rPr>
        <w:t>。其中轻度侵蚀为</w:t>
      </w:r>
      <w:r>
        <w:rPr>
          <w:rFonts w:hint="eastAsia"/>
          <w:kern w:val="28"/>
        </w:rPr>
        <w:t>205.67</w:t>
      </w:r>
      <w:r>
        <w:rPr>
          <w:rFonts w:hint="eastAsia"/>
          <w:kern w:val="28"/>
        </w:rPr>
        <w:t>平方公里，占流失面积的</w:t>
      </w:r>
      <w:r>
        <w:rPr>
          <w:rFonts w:hint="eastAsia"/>
          <w:kern w:val="28"/>
        </w:rPr>
        <w:t>23.75%</w:t>
      </w:r>
      <w:r>
        <w:rPr>
          <w:rFonts w:hint="eastAsia"/>
          <w:kern w:val="28"/>
        </w:rPr>
        <w:t>，中度为</w:t>
      </w:r>
      <w:r>
        <w:rPr>
          <w:rFonts w:hint="eastAsia"/>
          <w:kern w:val="28"/>
        </w:rPr>
        <w:t>348.22</w:t>
      </w:r>
      <w:r>
        <w:rPr>
          <w:rFonts w:hint="eastAsia"/>
          <w:kern w:val="28"/>
        </w:rPr>
        <w:t>平方公里，占流失面积的</w:t>
      </w:r>
      <w:r>
        <w:rPr>
          <w:rFonts w:hint="eastAsia"/>
          <w:kern w:val="28"/>
        </w:rPr>
        <w:t>40.22%</w:t>
      </w:r>
      <w:r>
        <w:rPr>
          <w:rFonts w:hint="eastAsia"/>
          <w:kern w:val="28"/>
        </w:rPr>
        <w:t>，强度侵蚀为</w:t>
      </w:r>
      <w:r>
        <w:rPr>
          <w:rFonts w:hint="eastAsia"/>
          <w:kern w:val="28"/>
        </w:rPr>
        <w:t>180.75</w:t>
      </w:r>
      <w:r>
        <w:rPr>
          <w:rFonts w:hint="eastAsia"/>
          <w:kern w:val="28"/>
        </w:rPr>
        <w:t>平方公里，占流失面积的</w:t>
      </w:r>
      <w:r>
        <w:rPr>
          <w:rFonts w:hint="eastAsia"/>
          <w:kern w:val="28"/>
        </w:rPr>
        <w:t>20.87%</w:t>
      </w:r>
      <w:r>
        <w:rPr>
          <w:rFonts w:hint="eastAsia"/>
          <w:kern w:val="28"/>
        </w:rPr>
        <w:t>，极强烈侵蚀为</w:t>
      </w:r>
      <w:r>
        <w:rPr>
          <w:rFonts w:hint="eastAsia"/>
          <w:kern w:val="28"/>
        </w:rPr>
        <w:t>83.45</w:t>
      </w:r>
      <w:r>
        <w:rPr>
          <w:rFonts w:hint="eastAsia"/>
          <w:kern w:val="28"/>
        </w:rPr>
        <w:t>平方公里，仅占流失面积的</w:t>
      </w:r>
      <w:r>
        <w:rPr>
          <w:rFonts w:hint="eastAsia"/>
          <w:kern w:val="28"/>
        </w:rPr>
        <w:t>9.64%</w:t>
      </w:r>
      <w:r>
        <w:rPr>
          <w:rFonts w:hint="eastAsia"/>
          <w:kern w:val="28"/>
        </w:rPr>
        <w:t>，剧烈侵蚀为</w:t>
      </w:r>
      <w:r>
        <w:rPr>
          <w:rFonts w:hint="eastAsia"/>
          <w:kern w:val="28"/>
        </w:rPr>
        <w:t>47.76</w:t>
      </w:r>
      <w:r>
        <w:rPr>
          <w:rFonts w:hint="eastAsia"/>
          <w:kern w:val="28"/>
        </w:rPr>
        <w:t>平方公里，占流失面积的</w:t>
      </w:r>
      <w:r>
        <w:rPr>
          <w:rFonts w:hint="eastAsia"/>
          <w:kern w:val="28"/>
        </w:rPr>
        <w:t>5.52%</w:t>
      </w:r>
      <w:r>
        <w:rPr>
          <w:rFonts w:hint="eastAsia"/>
          <w:kern w:val="28"/>
        </w:rPr>
        <w:t>。</w:t>
      </w:r>
      <w:r>
        <w:rPr>
          <w:rFonts w:hint="eastAsia"/>
          <w:kern w:val="28"/>
        </w:rPr>
        <w:t xml:space="preserve"> </w:t>
      </w:r>
    </w:p>
    <w:p w:rsidR="00F44F7B" w:rsidRDefault="00730D49">
      <w:pPr>
        <w:pStyle w:val="af8"/>
        <w:ind w:left="480"/>
      </w:pPr>
      <w:r>
        <w:rPr>
          <w:rFonts w:hint="eastAsia"/>
        </w:rPr>
        <w:t>表</w:t>
      </w:r>
      <w:r>
        <w:rPr>
          <w:rFonts w:hint="eastAsia"/>
        </w:rPr>
        <w:t xml:space="preserve">2-2  </w:t>
      </w:r>
      <w:r>
        <w:rPr>
          <w:rFonts w:hint="eastAsia"/>
        </w:rPr>
        <w:t>水土流失现状表</w:t>
      </w:r>
      <w:r>
        <w:rPr>
          <w:rFonts w:hint="eastAsia"/>
        </w:rPr>
        <w:t xml:space="preserve">   </w:t>
      </w:r>
      <w:r>
        <w:rPr>
          <w:rFonts w:hint="eastAsia"/>
        </w:rPr>
        <w:t>单位：</w:t>
      </w:r>
      <w:r>
        <w:rPr>
          <w:rFonts w:hint="eastAsia"/>
        </w:rPr>
        <w:t>km</w:t>
      </w:r>
      <w:r>
        <w:rPr>
          <w:rFonts w:hint="eastAsia"/>
          <w:vertAlign w:val="superscript"/>
        </w:rPr>
        <w:t>2</w:t>
      </w:r>
      <w:r>
        <w:rPr>
          <w:rFonts w:hint="eastAsia"/>
        </w:rPr>
        <w:t>，</w:t>
      </w:r>
      <w:r>
        <w:rPr>
          <w:rFonts w:hint="eastAsia"/>
        </w:rPr>
        <w:t>%</w:t>
      </w:r>
    </w:p>
    <w:tbl>
      <w:tblPr>
        <w:tblStyle w:val="ab"/>
        <w:tblW w:w="4998" w:type="pct"/>
        <w:tblLook w:val="04A0" w:firstRow="1" w:lastRow="0" w:firstColumn="1" w:lastColumn="0" w:noHBand="0" w:noVBand="1"/>
      </w:tblPr>
      <w:tblGrid>
        <w:gridCol w:w="2192"/>
        <w:gridCol w:w="2192"/>
        <w:gridCol w:w="2195"/>
        <w:gridCol w:w="2195"/>
      </w:tblGrid>
      <w:tr w:rsidR="00F44F7B">
        <w:trPr>
          <w:trHeight w:val="340"/>
        </w:trPr>
        <w:tc>
          <w:tcPr>
            <w:tcW w:w="1249" w:type="pct"/>
            <w:tcBorders>
              <w:tl2br w:val="nil"/>
              <w:tr2bl w:val="nil"/>
            </w:tcBorders>
            <w:vAlign w:val="center"/>
          </w:tcPr>
          <w:p w:rsidR="00F44F7B" w:rsidRDefault="00730D49">
            <w:pPr>
              <w:pStyle w:val="af9"/>
              <w:ind w:firstLine="420"/>
            </w:pPr>
            <w:r>
              <w:rPr>
                <w:rFonts w:hint="eastAsia"/>
              </w:rPr>
              <w:t>侵蚀强度</w:t>
            </w:r>
          </w:p>
        </w:tc>
        <w:tc>
          <w:tcPr>
            <w:tcW w:w="1249" w:type="pct"/>
            <w:tcBorders>
              <w:tl2br w:val="nil"/>
              <w:tr2bl w:val="nil"/>
            </w:tcBorders>
            <w:vAlign w:val="center"/>
          </w:tcPr>
          <w:p w:rsidR="00F44F7B" w:rsidRDefault="00730D49">
            <w:pPr>
              <w:pStyle w:val="af9"/>
              <w:ind w:firstLine="420"/>
            </w:pPr>
            <w:r>
              <w:rPr>
                <w:rFonts w:hint="eastAsia"/>
              </w:rPr>
              <w:t>面积</w:t>
            </w:r>
          </w:p>
        </w:tc>
        <w:tc>
          <w:tcPr>
            <w:tcW w:w="1250" w:type="pct"/>
            <w:tcBorders>
              <w:tl2br w:val="nil"/>
              <w:tr2bl w:val="nil"/>
            </w:tcBorders>
            <w:vAlign w:val="center"/>
          </w:tcPr>
          <w:p w:rsidR="00F44F7B" w:rsidRDefault="00730D49">
            <w:pPr>
              <w:pStyle w:val="af9"/>
              <w:ind w:firstLine="420"/>
            </w:pPr>
            <w:r>
              <w:rPr>
                <w:rFonts w:hint="eastAsia"/>
              </w:rPr>
              <w:t>占流失面积比</w:t>
            </w:r>
          </w:p>
        </w:tc>
        <w:tc>
          <w:tcPr>
            <w:tcW w:w="1250" w:type="pct"/>
            <w:tcBorders>
              <w:tl2br w:val="nil"/>
              <w:tr2bl w:val="nil"/>
            </w:tcBorders>
            <w:vAlign w:val="center"/>
          </w:tcPr>
          <w:p w:rsidR="00F44F7B" w:rsidRDefault="00730D49">
            <w:pPr>
              <w:pStyle w:val="af9"/>
              <w:ind w:firstLine="420"/>
            </w:pPr>
            <w:r>
              <w:rPr>
                <w:rFonts w:hint="eastAsia"/>
              </w:rPr>
              <w:t>占土地面积比</w:t>
            </w:r>
          </w:p>
        </w:tc>
      </w:tr>
      <w:tr w:rsidR="00F44F7B">
        <w:trPr>
          <w:trHeight w:val="340"/>
        </w:trPr>
        <w:tc>
          <w:tcPr>
            <w:tcW w:w="1249" w:type="pct"/>
            <w:tcBorders>
              <w:tl2br w:val="nil"/>
              <w:tr2bl w:val="nil"/>
            </w:tcBorders>
            <w:vAlign w:val="center"/>
          </w:tcPr>
          <w:p w:rsidR="00F44F7B" w:rsidRDefault="00730D49">
            <w:pPr>
              <w:pStyle w:val="af9"/>
              <w:ind w:firstLine="420"/>
            </w:pPr>
            <w:r>
              <w:rPr>
                <w:rFonts w:hint="eastAsia"/>
              </w:rPr>
              <w:t>轻度</w:t>
            </w:r>
          </w:p>
        </w:tc>
        <w:tc>
          <w:tcPr>
            <w:tcW w:w="1249" w:type="pct"/>
            <w:tcBorders>
              <w:tl2br w:val="nil"/>
              <w:tr2bl w:val="nil"/>
            </w:tcBorders>
            <w:vAlign w:val="center"/>
          </w:tcPr>
          <w:p w:rsidR="00F44F7B" w:rsidRDefault="00730D49">
            <w:pPr>
              <w:pStyle w:val="af9"/>
              <w:ind w:firstLine="420"/>
            </w:pPr>
            <w:r>
              <w:rPr>
                <w:rFonts w:hint="eastAsia"/>
              </w:rPr>
              <w:t>205.67</w:t>
            </w:r>
          </w:p>
        </w:tc>
        <w:tc>
          <w:tcPr>
            <w:tcW w:w="1250" w:type="pct"/>
            <w:tcBorders>
              <w:tl2br w:val="nil"/>
              <w:tr2bl w:val="nil"/>
            </w:tcBorders>
            <w:vAlign w:val="center"/>
          </w:tcPr>
          <w:p w:rsidR="00F44F7B" w:rsidRDefault="00730D49">
            <w:pPr>
              <w:pStyle w:val="af9"/>
              <w:ind w:firstLine="420"/>
            </w:pPr>
            <w:r>
              <w:rPr>
                <w:rFonts w:hint="eastAsia"/>
              </w:rPr>
              <w:t>23.75</w:t>
            </w:r>
          </w:p>
        </w:tc>
        <w:tc>
          <w:tcPr>
            <w:tcW w:w="1250" w:type="pct"/>
            <w:tcBorders>
              <w:tl2br w:val="nil"/>
              <w:tr2bl w:val="nil"/>
            </w:tcBorders>
            <w:vAlign w:val="center"/>
          </w:tcPr>
          <w:p w:rsidR="00F44F7B" w:rsidRDefault="00730D49">
            <w:pPr>
              <w:pStyle w:val="af9"/>
              <w:ind w:firstLine="420"/>
            </w:pPr>
            <w:r>
              <w:rPr>
                <w:rFonts w:hint="eastAsia"/>
              </w:rPr>
              <w:t>11.48</w:t>
            </w:r>
          </w:p>
        </w:tc>
      </w:tr>
      <w:tr w:rsidR="00F44F7B">
        <w:trPr>
          <w:trHeight w:val="340"/>
        </w:trPr>
        <w:tc>
          <w:tcPr>
            <w:tcW w:w="1249" w:type="pct"/>
            <w:tcBorders>
              <w:tl2br w:val="nil"/>
              <w:tr2bl w:val="nil"/>
            </w:tcBorders>
            <w:vAlign w:val="center"/>
          </w:tcPr>
          <w:p w:rsidR="00F44F7B" w:rsidRDefault="00730D49">
            <w:pPr>
              <w:pStyle w:val="af9"/>
              <w:ind w:firstLine="420"/>
            </w:pPr>
            <w:r>
              <w:rPr>
                <w:rFonts w:hint="eastAsia"/>
              </w:rPr>
              <w:t>中度</w:t>
            </w:r>
          </w:p>
        </w:tc>
        <w:tc>
          <w:tcPr>
            <w:tcW w:w="1249" w:type="pct"/>
            <w:tcBorders>
              <w:tl2br w:val="nil"/>
              <w:tr2bl w:val="nil"/>
            </w:tcBorders>
            <w:vAlign w:val="center"/>
          </w:tcPr>
          <w:p w:rsidR="00F44F7B" w:rsidRDefault="00730D49">
            <w:pPr>
              <w:pStyle w:val="af9"/>
              <w:ind w:firstLine="420"/>
            </w:pPr>
            <w:r>
              <w:rPr>
                <w:rFonts w:hint="eastAsia"/>
              </w:rPr>
              <w:t>348.22</w:t>
            </w:r>
          </w:p>
        </w:tc>
        <w:tc>
          <w:tcPr>
            <w:tcW w:w="1250" w:type="pct"/>
            <w:tcBorders>
              <w:tl2br w:val="nil"/>
              <w:tr2bl w:val="nil"/>
            </w:tcBorders>
            <w:vAlign w:val="center"/>
          </w:tcPr>
          <w:p w:rsidR="00F44F7B" w:rsidRDefault="00730D49">
            <w:pPr>
              <w:pStyle w:val="af9"/>
              <w:ind w:firstLine="420"/>
            </w:pPr>
            <w:r>
              <w:rPr>
                <w:rFonts w:hint="eastAsia"/>
              </w:rPr>
              <w:t>40.22</w:t>
            </w:r>
          </w:p>
        </w:tc>
        <w:tc>
          <w:tcPr>
            <w:tcW w:w="1250" w:type="pct"/>
            <w:tcBorders>
              <w:tl2br w:val="nil"/>
              <w:tr2bl w:val="nil"/>
            </w:tcBorders>
            <w:vAlign w:val="center"/>
          </w:tcPr>
          <w:p w:rsidR="00F44F7B" w:rsidRDefault="00730D49">
            <w:pPr>
              <w:pStyle w:val="af9"/>
              <w:ind w:firstLine="420"/>
            </w:pPr>
            <w:r>
              <w:rPr>
                <w:rFonts w:hint="eastAsia"/>
              </w:rPr>
              <w:t>19.45</w:t>
            </w:r>
          </w:p>
        </w:tc>
      </w:tr>
      <w:tr w:rsidR="00F44F7B">
        <w:trPr>
          <w:trHeight w:val="340"/>
        </w:trPr>
        <w:tc>
          <w:tcPr>
            <w:tcW w:w="1249" w:type="pct"/>
            <w:tcBorders>
              <w:tl2br w:val="nil"/>
              <w:tr2bl w:val="nil"/>
            </w:tcBorders>
            <w:vAlign w:val="center"/>
          </w:tcPr>
          <w:p w:rsidR="00F44F7B" w:rsidRDefault="00730D49">
            <w:pPr>
              <w:pStyle w:val="af9"/>
              <w:ind w:firstLine="420"/>
            </w:pPr>
            <w:r>
              <w:rPr>
                <w:rFonts w:hint="eastAsia"/>
              </w:rPr>
              <w:t>强烈</w:t>
            </w:r>
          </w:p>
        </w:tc>
        <w:tc>
          <w:tcPr>
            <w:tcW w:w="1249" w:type="pct"/>
            <w:tcBorders>
              <w:tl2br w:val="nil"/>
              <w:tr2bl w:val="nil"/>
            </w:tcBorders>
            <w:vAlign w:val="center"/>
          </w:tcPr>
          <w:p w:rsidR="00F44F7B" w:rsidRDefault="00730D49">
            <w:pPr>
              <w:pStyle w:val="af9"/>
              <w:ind w:firstLine="420"/>
            </w:pPr>
            <w:r>
              <w:rPr>
                <w:rFonts w:hint="eastAsia"/>
              </w:rPr>
              <w:t>180.75</w:t>
            </w:r>
          </w:p>
        </w:tc>
        <w:tc>
          <w:tcPr>
            <w:tcW w:w="1250" w:type="pct"/>
            <w:tcBorders>
              <w:tl2br w:val="nil"/>
              <w:tr2bl w:val="nil"/>
            </w:tcBorders>
            <w:vAlign w:val="center"/>
          </w:tcPr>
          <w:p w:rsidR="00F44F7B" w:rsidRDefault="00730D49">
            <w:pPr>
              <w:pStyle w:val="af9"/>
              <w:ind w:firstLine="420"/>
            </w:pPr>
            <w:r>
              <w:rPr>
                <w:rFonts w:hint="eastAsia"/>
              </w:rPr>
              <w:t>20.87</w:t>
            </w:r>
          </w:p>
        </w:tc>
        <w:tc>
          <w:tcPr>
            <w:tcW w:w="1250" w:type="pct"/>
            <w:tcBorders>
              <w:tl2br w:val="nil"/>
              <w:tr2bl w:val="nil"/>
            </w:tcBorders>
            <w:vAlign w:val="center"/>
          </w:tcPr>
          <w:p w:rsidR="00F44F7B" w:rsidRDefault="00730D49">
            <w:pPr>
              <w:pStyle w:val="af9"/>
              <w:ind w:firstLine="420"/>
            </w:pPr>
            <w:r>
              <w:rPr>
                <w:rFonts w:hint="eastAsia"/>
              </w:rPr>
              <w:t>10.09</w:t>
            </w:r>
          </w:p>
        </w:tc>
      </w:tr>
      <w:tr w:rsidR="00F44F7B">
        <w:trPr>
          <w:trHeight w:val="340"/>
        </w:trPr>
        <w:tc>
          <w:tcPr>
            <w:tcW w:w="1249" w:type="pct"/>
            <w:tcBorders>
              <w:tl2br w:val="nil"/>
              <w:tr2bl w:val="nil"/>
            </w:tcBorders>
            <w:vAlign w:val="center"/>
          </w:tcPr>
          <w:p w:rsidR="00F44F7B" w:rsidRDefault="00730D49">
            <w:pPr>
              <w:pStyle w:val="af9"/>
              <w:ind w:firstLine="420"/>
            </w:pPr>
            <w:r>
              <w:rPr>
                <w:rFonts w:hint="eastAsia"/>
              </w:rPr>
              <w:t>极强烈</w:t>
            </w:r>
          </w:p>
        </w:tc>
        <w:tc>
          <w:tcPr>
            <w:tcW w:w="1249" w:type="pct"/>
            <w:tcBorders>
              <w:tl2br w:val="nil"/>
              <w:tr2bl w:val="nil"/>
            </w:tcBorders>
            <w:vAlign w:val="center"/>
          </w:tcPr>
          <w:p w:rsidR="00F44F7B" w:rsidRDefault="00730D49">
            <w:pPr>
              <w:pStyle w:val="af9"/>
              <w:ind w:firstLine="420"/>
            </w:pPr>
            <w:r>
              <w:rPr>
                <w:rFonts w:hint="eastAsia"/>
              </w:rPr>
              <w:t>83.45</w:t>
            </w:r>
          </w:p>
        </w:tc>
        <w:tc>
          <w:tcPr>
            <w:tcW w:w="1250" w:type="pct"/>
            <w:tcBorders>
              <w:tl2br w:val="nil"/>
              <w:tr2bl w:val="nil"/>
            </w:tcBorders>
            <w:vAlign w:val="center"/>
          </w:tcPr>
          <w:p w:rsidR="00F44F7B" w:rsidRDefault="00730D49">
            <w:pPr>
              <w:pStyle w:val="af9"/>
              <w:ind w:firstLine="420"/>
            </w:pPr>
            <w:r>
              <w:rPr>
                <w:rFonts w:hint="eastAsia"/>
              </w:rPr>
              <w:t>9.64</w:t>
            </w:r>
          </w:p>
        </w:tc>
        <w:tc>
          <w:tcPr>
            <w:tcW w:w="1250" w:type="pct"/>
            <w:tcBorders>
              <w:tl2br w:val="nil"/>
              <w:tr2bl w:val="nil"/>
            </w:tcBorders>
            <w:vAlign w:val="center"/>
          </w:tcPr>
          <w:p w:rsidR="00F44F7B" w:rsidRDefault="00730D49">
            <w:pPr>
              <w:pStyle w:val="af9"/>
              <w:ind w:firstLine="420"/>
            </w:pPr>
            <w:r>
              <w:rPr>
                <w:rFonts w:hint="eastAsia"/>
              </w:rPr>
              <w:t>4.66</w:t>
            </w:r>
          </w:p>
        </w:tc>
      </w:tr>
      <w:tr w:rsidR="00F44F7B">
        <w:trPr>
          <w:trHeight w:val="340"/>
        </w:trPr>
        <w:tc>
          <w:tcPr>
            <w:tcW w:w="1249" w:type="pct"/>
            <w:tcBorders>
              <w:tl2br w:val="nil"/>
              <w:tr2bl w:val="nil"/>
            </w:tcBorders>
            <w:vAlign w:val="center"/>
          </w:tcPr>
          <w:p w:rsidR="00F44F7B" w:rsidRDefault="00730D49">
            <w:pPr>
              <w:pStyle w:val="af9"/>
              <w:ind w:firstLine="420"/>
            </w:pPr>
            <w:r>
              <w:rPr>
                <w:rFonts w:hint="eastAsia"/>
              </w:rPr>
              <w:t>剧烈</w:t>
            </w:r>
          </w:p>
        </w:tc>
        <w:tc>
          <w:tcPr>
            <w:tcW w:w="1249" w:type="pct"/>
            <w:tcBorders>
              <w:tl2br w:val="nil"/>
              <w:tr2bl w:val="nil"/>
            </w:tcBorders>
            <w:vAlign w:val="center"/>
          </w:tcPr>
          <w:p w:rsidR="00F44F7B" w:rsidRDefault="00730D49">
            <w:pPr>
              <w:pStyle w:val="af9"/>
              <w:ind w:firstLine="420"/>
            </w:pPr>
            <w:r>
              <w:rPr>
                <w:rFonts w:hint="eastAsia"/>
              </w:rPr>
              <w:t>47.76</w:t>
            </w:r>
          </w:p>
        </w:tc>
        <w:tc>
          <w:tcPr>
            <w:tcW w:w="1250" w:type="pct"/>
            <w:tcBorders>
              <w:tl2br w:val="nil"/>
              <w:tr2bl w:val="nil"/>
            </w:tcBorders>
            <w:vAlign w:val="center"/>
          </w:tcPr>
          <w:p w:rsidR="00F44F7B" w:rsidRDefault="00730D49">
            <w:pPr>
              <w:pStyle w:val="af9"/>
              <w:ind w:firstLine="420"/>
            </w:pPr>
            <w:r>
              <w:rPr>
                <w:rFonts w:hint="eastAsia"/>
              </w:rPr>
              <w:t>5.52</w:t>
            </w:r>
          </w:p>
        </w:tc>
        <w:tc>
          <w:tcPr>
            <w:tcW w:w="1250" w:type="pct"/>
            <w:tcBorders>
              <w:tl2br w:val="nil"/>
              <w:tr2bl w:val="nil"/>
            </w:tcBorders>
            <w:vAlign w:val="center"/>
          </w:tcPr>
          <w:p w:rsidR="00F44F7B" w:rsidRDefault="00730D49">
            <w:pPr>
              <w:pStyle w:val="af9"/>
              <w:ind w:firstLine="420"/>
            </w:pPr>
            <w:r>
              <w:rPr>
                <w:rFonts w:hint="eastAsia"/>
              </w:rPr>
              <w:t>2.67</w:t>
            </w:r>
          </w:p>
        </w:tc>
      </w:tr>
      <w:tr w:rsidR="00F44F7B">
        <w:trPr>
          <w:trHeight w:val="340"/>
        </w:trPr>
        <w:tc>
          <w:tcPr>
            <w:tcW w:w="1249" w:type="pct"/>
            <w:tcBorders>
              <w:tl2br w:val="nil"/>
              <w:tr2bl w:val="nil"/>
            </w:tcBorders>
            <w:vAlign w:val="center"/>
          </w:tcPr>
          <w:p w:rsidR="00F44F7B" w:rsidRDefault="00730D49">
            <w:pPr>
              <w:pStyle w:val="af9"/>
              <w:ind w:firstLine="420"/>
            </w:pPr>
            <w:r>
              <w:rPr>
                <w:rFonts w:hint="eastAsia"/>
              </w:rPr>
              <w:t>合计</w:t>
            </w:r>
          </w:p>
        </w:tc>
        <w:tc>
          <w:tcPr>
            <w:tcW w:w="1249" w:type="pct"/>
            <w:tcBorders>
              <w:tl2br w:val="nil"/>
              <w:tr2bl w:val="nil"/>
            </w:tcBorders>
            <w:vAlign w:val="center"/>
          </w:tcPr>
          <w:p w:rsidR="00F44F7B" w:rsidRDefault="00730D49">
            <w:pPr>
              <w:pStyle w:val="af9"/>
              <w:ind w:firstLine="420"/>
            </w:pPr>
            <w:r>
              <w:rPr>
                <w:rFonts w:hint="eastAsia"/>
              </w:rPr>
              <w:t>865.85</w:t>
            </w:r>
          </w:p>
        </w:tc>
        <w:tc>
          <w:tcPr>
            <w:tcW w:w="1250" w:type="pct"/>
            <w:tcBorders>
              <w:tl2br w:val="nil"/>
              <w:tr2bl w:val="nil"/>
            </w:tcBorders>
            <w:vAlign w:val="center"/>
          </w:tcPr>
          <w:p w:rsidR="00F44F7B" w:rsidRDefault="00730D49">
            <w:pPr>
              <w:pStyle w:val="af9"/>
              <w:ind w:firstLine="420"/>
            </w:pPr>
            <w:r>
              <w:rPr>
                <w:rFonts w:hint="eastAsia"/>
              </w:rPr>
              <w:t>100</w:t>
            </w:r>
          </w:p>
        </w:tc>
        <w:tc>
          <w:tcPr>
            <w:tcW w:w="1250" w:type="pct"/>
            <w:tcBorders>
              <w:tl2br w:val="nil"/>
              <w:tr2bl w:val="nil"/>
            </w:tcBorders>
            <w:vAlign w:val="center"/>
          </w:tcPr>
          <w:p w:rsidR="00F44F7B" w:rsidRDefault="00730D49">
            <w:pPr>
              <w:pStyle w:val="af9"/>
              <w:ind w:firstLine="420"/>
            </w:pPr>
            <w:r>
              <w:rPr>
                <w:rFonts w:hint="eastAsia"/>
              </w:rPr>
              <w:t>48.35</w:t>
            </w:r>
          </w:p>
        </w:tc>
      </w:tr>
    </w:tbl>
    <w:p w:rsidR="00F44F7B" w:rsidRDefault="00730D49">
      <w:pPr>
        <w:pStyle w:val="3"/>
      </w:pPr>
      <w:r>
        <w:rPr>
          <w:rFonts w:hint="eastAsia"/>
        </w:rPr>
        <w:t>2.5.2</w:t>
      </w:r>
      <w:r>
        <w:rPr>
          <w:rFonts w:hint="eastAsia"/>
        </w:rPr>
        <w:t>工程区水土流失现状</w:t>
      </w:r>
    </w:p>
    <w:p w:rsidR="00F44F7B" w:rsidRDefault="00730D49">
      <w:pPr>
        <w:spacing w:line="360" w:lineRule="auto"/>
        <w:ind w:firstLine="480"/>
        <w:rPr>
          <w:color w:val="0000FF"/>
          <w:kern w:val="28"/>
        </w:rPr>
      </w:pPr>
      <w:r>
        <w:rPr>
          <w:color w:val="0000FF"/>
          <w:kern w:val="28"/>
        </w:rPr>
        <w:t>工程区水土流失类型主要为水力侵蚀。根据</w:t>
      </w:r>
      <w:r>
        <w:rPr>
          <w:rFonts w:hint="eastAsia"/>
          <w:color w:val="0000FF"/>
          <w:kern w:val="28"/>
        </w:rPr>
        <w:t>仪陇县</w:t>
      </w:r>
      <w:r>
        <w:rPr>
          <w:color w:val="0000FF"/>
          <w:kern w:val="28"/>
        </w:rPr>
        <w:t>土壤侵蚀遥感资料，结合现场踏勘调查工程区土地利用类型、面积、地形坡度和林草覆盖率等，同时结合项目区地貌、土壤和气候特征，参照《土壤侵蚀分类分级标准》（</w:t>
      </w:r>
      <w:r>
        <w:rPr>
          <w:color w:val="0000FF"/>
          <w:kern w:val="28"/>
        </w:rPr>
        <w:t>SL190-2007</w:t>
      </w:r>
      <w:r>
        <w:rPr>
          <w:color w:val="0000FF"/>
          <w:kern w:val="28"/>
        </w:rPr>
        <w:t>）确定各用地类型的土壤侵蚀强度及各扰动区域区土壤侵蚀模数背景值。经计算，项目区平均土壤侵</w:t>
      </w:r>
      <w:r>
        <w:rPr>
          <w:color w:val="0000FF"/>
          <w:kern w:val="28"/>
        </w:rPr>
        <w:lastRenderedPageBreak/>
        <w:t>蚀模数背景值为</w:t>
      </w:r>
      <w:r>
        <w:rPr>
          <w:rFonts w:hint="eastAsia"/>
          <w:color w:val="0000FF"/>
          <w:kern w:val="28"/>
        </w:rPr>
        <w:t>529</w:t>
      </w:r>
      <w:r>
        <w:rPr>
          <w:color w:val="0000FF"/>
          <w:kern w:val="28"/>
        </w:rPr>
        <w:t>t/km²•a</w:t>
      </w:r>
      <w:r>
        <w:rPr>
          <w:color w:val="0000FF"/>
          <w:kern w:val="28"/>
        </w:rPr>
        <w:t>，工程区的土壤侵蚀强度为轻度。</w:t>
      </w:r>
    </w:p>
    <w:p w:rsidR="00F44F7B" w:rsidRDefault="00730D49">
      <w:pPr>
        <w:pStyle w:val="2"/>
      </w:pPr>
      <w:bookmarkStart w:id="75" w:name="_Toc18527"/>
      <w:bookmarkStart w:id="76" w:name="_Toc61602703"/>
      <w:bookmarkStart w:id="77" w:name="_Toc61605690"/>
      <w:bookmarkStart w:id="78" w:name="_Toc61601206"/>
      <w:bookmarkEnd w:id="44"/>
      <w:r>
        <w:t>2.6</w:t>
      </w:r>
      <w:r>
        <w:t>项目区水土保持现状</w:t>
      </w:r>
      <w:bookmarkEnd w:id="75"/>
    </w:p>
    <w:p w:rsidR="00F44F7B" w:rsidRDefault="00730D49">
      <w:pPr>
        <w:pStyle w:val="BZDL1"/>
        <w:spacing w:beforeLines="0" w:before="0" w:afterLines="0" w:after="0" w:line="360" w:lineRule="auto"/>
        <w:ind w:firstLine="480"/>
        <w:rPr>
          <w:rFonts w:ascii="Times New Roman"/>
          <w:sz w:val="24"/>
          <w:szCs w:val="16"/>
        </w:rPr>
      </w:pPr>
      <w:bookmarkStart w:id="79" w:name="_Toc371412998"/>
      <w:r>
        <w:rPr>
          <w:rFonts w:ascii="Times New Roman" w:hint="eastAsia"/>
          <w:sz w:val="24"/>
          <w:szCs w:val="16"/>
        </w:rPr>
        <w:t>近年来，仪陇县水务局积极狠抓水土流失治理和水土保持预防监督，多措并举实施水土保持：结合各镇农村产业结构调整和退耕还林工</w:t>
      </w:r>
      <w:r>
        <w:rPr>
          <w:rFonts w:ascii="Times New Roman" w:hint="eastAsia"/>
          <w:sz w:val="24"/>
          <w:szCs w:val="16"/>
        </w:rPr>
        <w:t>程，建设水土保持防护林；采取修梯田、</w:t>
      </w:r>
      <w:r>
        <w:rPr>
          <w:rFonts w:ascii="Times New Roman"/>
          <w:sz w:val="24"/>
          <w:szCs w:val="16"/>
        </w:rPr>
        <w:t>“</w:t>
      </w:r>
      <w:r>
        <w:rPr>
          <w:rFonts w:ascii="Times New Roman" w:hint="eastAsia"/>
          <w:sz w:val="24"/>
          <w:szCs w:val="16"/>
        </w:rPr>
        <w:t>免耕法</w:t>
      </w:r>
      <w:r>
        <w:rPr>
          <w:rFonts w:ascii="Times New Roman"/>
          <w:sz w:val="24"/>
          <w:szCs w:val="16"/>
        </w:rPr>
        <w:t>”</w:t>
      </w:r>
      <w:r>
        <w:rPr>
          <w:rFonts w:ascii="Times New Roman" w:hint="eastAsia"/>
          <w:sz w:val="24"/>
          <w:szCs w:val="16"/>
        </w:rPr>
        <w:t>等措施推行保土耕作，减少丘陵坡耕地的水土流失；结合水利、水土保持工程建设，强化水系绿化，实施小流域综合治理，新修蓄水池</w:t>
      </w:r>
      <w:r>
        <w:rPr>
          <w:rFonts w:ascii="Times New Roman"/>
          <w:sz w:val="24"/>
          <w:szCs w:val="16"/>
        </w:rPr>
        <w:t>3000</w:t>
      </w:r>
      <w:r>
        <w:rPr>
          <w:rFonts w:ascii="Times New Roman" w:hint="eastAsia"/>
          <w:sz w:val="24"/>
          <w:szCs w:val="16"/>
        </w:rPr>
        <w:t>多座，堰塘</w:t>
      </w:r>
      <w:r>
        <w:rPr>
          <w:rFonts w:ascii="Times New Roman"/>
          <w:sz w:val="24"/>
          <w:szCs w:val="16"/>
        </w:rPr>
        <w:t>8000</w:t>
      </w:r>
      <w:r>
        <w:rPr>
          <w:rFonts w:ascii="Times New Roman" w:hint="eastAsia"/>
          <w:sz w:val="24"/>
          <w:szCs w:val="16"/>
        </w:rPr>
        <w:t>多座；加强生产开发建设项目水土流失防治和监管力度，控制和减少人为水土流失。</w:t>
      </w:r>
    </w:p>
    <w:p w:rsidR="00F44F7B" w:rsidRDefault="00730D49">
      <w:pPr>
        <w:pStyle w:val="BZDL1"/>
        <w:spacing w:beforeLines="0" w:before="0" w:afterLines="0" w:after="0" w:line="360" w:lineRule="auto"/>
        <w:ind w:firstLine="480"/>
        <w:rPr>
          <w:rFonts w:ascii="Times New Roman"/>
          <w:sz w:val="24"/>
          <w:szCs w:val="16"/>
        </w:rPr>
      </w:pPr>
      <w:r>
        <w:rPr>
          <w:rFonts w:ascii="Times New Roman" w:hint="eastAsia"/>
          <w:sz w:val="24"/>
          <w:szCs w:val="16"/>
        </w:rPr>
        <w:t>经实地勘查工程区附近已建和在建的类似工程，总结出常见的水土保持措施如下：</w:t>
      </w:r>
      <w:r>
        <w:rPr>
          <w:rFonts w:ascii="Times New Roman"/>
          <w:sz w:val="24"/>
          <w:szCs w:val="16"/>
        </w:rPr>
        <w:t xml:space="preserve"> </w:t>
      </w:r>
    </w:p>
    <w:p w:rsidR="00F44F7B" w:rsidRDefault="00730D49">
      <w:pPr>
        <w:pStyle w:val="BZDL1"/>
        <w:spacing w:beforeLines="0" w:before="0" w:afterLines="0" w:after="0" w:line="360" w:lineRule="auto"/>
        <w:ind w:firstLine="480"/>
        <w:rPr>
          <w:rFonts w:ascii="Times New Roman"/>
          <w:sz w:val="24"/>
          <w:szCs w:val="16"/>
        </w:rPr>
      </w:pPr>
      <w:r>
        <w:rPr>
          <w:rFonts w:ascii="Times New Roman"/>
          <w:sz w:val="24"/>
          <w:szCs w:val="16"/>
        </w:rPr>
        <w:t>1</w:t>
      </w:r>
      <w:r>
        <w:rPr>
          <w:rFonts w:ascii="Times New Roman" w:hint="eastAsia"/>
          <w:sz w:val="24"/>
          <w:szCs w:val="16"/>
        </w:rPr>
        <w:t>、工程措施</w:t>
      </w:r>
    </w:p>
    <w:p w:rsidR="00F44F7B" w:rsidRDefault="00730D49">
      <w:pPr>
        <w:pStyle w:val="BZDL1"/>
        <w:spacing w:beforeLines="0" w:before="0" w:afterLines="0" w:after="0" w:line="360" w:lineRule="auto"/>
        <w:ind w:firstLine="480"/>
        <w:rPr>
          <w:rFonts w:ascii="Times New Roman"/>
          <w:sz w:val="24"/>
          <w:szCs w:val="16"/>
        </w:rPr>
      </w:pPr>
      <w:r>
        <w:rPr>
          <w:rFonts w:ascii="Times New Roman" w:hint="eastAsia"/>
          <w:sz w:val="24"/>
          <w:szCs w:val="16"/>
        </w:rPr>
        <w:t>表土剥离：施工进场前、基础开挖前对临时占地区、建构筑物占地区进行表土剥离，并堆放于周围施工临时占地区域内。</w:t>
      </w:r>
    </w:p>
    <w:p w:rsidR="00F44F7B" w:rsidRDefault="00730D49">
      <w:pPr>
        <w:pStyle w:val="BZDL1"/>
        <w:spacing w:beforeLines="0" w:before="0" w:afterLines="0" w:after="0" w:line="360" w:lineRule="auto"/>
        <w:ind w:firstLine="480"/>
        <w:rPr>
          <w:rFonts w:ascii="Times New Roman"/>
          <w:sz w:val="24"/>
          <w:szCs w:val="16"/>
        </w:rPr>
      </w:pPr>
      <w:r>
        <w:rPr>
          <w:rFonts w:ascii="Times New Roman" w:hint="eastAsia"/>
          <w:sz w:val="24"/>
          <w:szCs w:val="16"/>
        </w:rPr>
        <w:t>排水工程：为保证工程地基稳定、防治冲刷和水毁，因</w:t>
      </w:r>
      <w:r>
        <w:rPr>
          <w:rFonts w:ascii="Times New Roman" w:hint="eastAsia"/>
          <w:sz w:val="24"/>
          <w:szCs w:val="16"/>
        </w:rPr>
        <w:t>地制宜地采取防洪排导措施，将降水及坡面水引出工程区范围，排入市政管网或附近河流。</w:t>
      </w:r>
    </w:p>
    <w:p w:rsidR="00F44F7B" w:rsidRDefault="00730D49">
      <w:pPr>
        <w:pStyle w:val="BZDL1"/>
        <w:spacing w:beforeLines="0" w:before="0" w:afterLines="0" w:after="0" w:line="360" w:lineRule="auto"/>
        <w:ind w:firstLine="480"/>
        <w:rPr>
          <w:rFonts w:ascii="Times New Roman"/>
          <w:sz w:val="24"/>
          <w:szCs w:val="16"/>
        </w:rPr>
      </w:pPr>
      <w:r>
        <w:rPr>
          <w:rFonts w:ascii="Times New Roman" w:hint="eastAsia"/>
          <w:sz w:val="24"/>
          <w:szCs w:val="16"/>
        </w:rPr>
        <w:t>拦渣工程：按照先拦后弃的原则，对弃渣场采取挡土墙挡护、排水沟排除坡面汇水等措施。</w:t>
      </w:r>
    </w:p>
    <w:p w:rsidR="00F44F7B" w:rsidRDefault="00730D49">
      <w:pPr>
        <w:pStyle w:val="BZDL1"/>
        <w:spacing w:beforeLines="0" w:before="0" w:afterLines="0" w:after="0" w:line="360" w:lineRule="auto"/>
        <w:ind w:firstLine="480"/>
        <w:rPr>
          <w:rFonts w:ascii="Times New Roman"/>
          <w:sz w:val="24"/>
          <w:szCs w:val="16"/>
        </w:rPr>
      </w:pPr>
      <w:r>
        <w:rPr>
          <w:rFonts w:ascii="Times New Roman"/>
          <w:sz w:val="24"/>
          <w:szCs w:val="16"/>
        </w:rPr>
        <w:t>2</w:t>
      </w:r>
      <w:r>
        <w:rPr>
          <w:rFonts w:ascii="Times New Roman" w:hint="eastAsia"/>
          <w:sz w:val="24"/>
          <w:szCs w:val="16"/>
        </w:rPr>
        <w:t>、植物措施</w:t>
      </w:r>
    </w:p>
    <w:p w:rsidR="00F44F7B" w:rsidRDefault="00730D49">
      <w:pPr>
        <w:pStyle w:val="BZDL1"/>
        <w:spacing w:beforeLines="0" w:before="0" w:afterLines="0" w:after="0" w:line="360" w:lineRule="auto"/>
        <w:ind w:firstLine="480"/>
        <w:rPr>
          <w:rFonts w:ascii="Times New Roman"/>
          <w:sz w:val="24"/>
          <w:szCs w:val="16"/>
        </w:rPr>
      </w:pPr>
      <w:r>
        <w:rPr>
          <w:rFonts w:ascii="Times New Roman" w:hint="eastAsia"/>
          <w:sz w:val="24"/>
          <w:szCs w:val="16"/>
        </w:rPr>
        <w:t>施工结束后，对临时占地区进行植被恢复，原为耕地的进行复垦，其余占地进行绿化。</w:t>
      </w:r>
    </w:p>
    <w:p w:rsidR="00F44F7B" w:rsidRDefault="00730D49">
      <w:pPr>
        <w:pStyle w:val="BZDL1"/>
        <w:spacing w:beforeLines="0" w:before="0" w:afterLines="0" w:after="0" w:line="360" w:lineRule="auto"/>
        <w:ind w:firstLine="480"/>
        <w:rPr>
          <w:rFonts w:ascii="Times New Roman"/>
          <w:sz w:val="24"/>
          <w:szCs w:val="16"/>
        </w:rPr>
      </w:pPr>
      <w:r>
        <w:rPr>
          <w:rFonts w:ascii="Times New Roman" w:hint="eastAsia"/>
          <w:sz w:val="24"/>
          <w:szCs w:val="16"/>
        </w:rPr>
        <w:t>弃渣堆放完成后，对其顶面及坡面进行绿化，防治水土流失。</w:t>
      </w:r>
    </w:p>
    <w:p w:rsidR="00F44F7B" w:rsidRDefault="00730D49">
      <w:pPr>
        <w:pStyle w:val="BZDL1"/>
        <w:spacing w:beforeLines="0" w:before="0" w:afterLines="0" w:after="0" w:line="360" w:lineRule="auto"/>
        <w:ind w:firstLine="480"/>
        <w:rPr>
          <w:rFonts w:ascii="Times New Roman"/>
          <w:sz w:val="24"/>
          <w:szCs w:val="16"/>
        </w:rPr>
      </w:pPr>
      <w:r>
        <w:rPr>
          <w:rFonts w:ascii="Times New Roman"/>
          <w:sz w:val="24"/>
          <w:szCs w:val="16"/>
        </w:rPr>
        <w:t>3</w:t>
      </w:r>
      <w:r>
        <w:rPr>
          <w:rFonts w:ascii="Times New Roman" w:hint="eastAsia"/>
          <w:sz w:val="24"/>
          <w:szCs w:val="16"/>
        </w:rPr>
        <w:t>、施工临时工程</w:t>
      </w:r>
    </w:p>
    <w:p w:rsidR="00F44F7B" w:rsidRDefault="00730D49">
      <w:pPr>
        <w:pStyle w:val="BZDL1"/>
        <w:spacing w:beforeLines="0" w:before="0" w:afterLines="0" w:after="0" w:line="360" w:lineRule="auto"/>
        <w:ind w:firstLine="480"/>
        <w:rPr>
          <w:rFonts w:ascii="Times New Roman"/>
          <w:sz w:val="24"/>
          <w:szCs w:val="16"/>
        </w:rPr>
      </w:pPr>
      <w:r>
        <w:rPr>
          <w:rFonts w:ascii="Times New Roman" w:hint="eastAsia"/>
          <w:sz w:val="24"/>
          <w:szCs w:val="16"/>
        </w:rPr>
        <w:t>裸露面临时遮盖：对施工开挖、填筑、堆置、土料运输等形成的裸露面，采用防雨布进行临时遮盖。</w:t>
      </w:r>
    </w:p>
    <w:p w:rsidR="00F44F7B" w:rsidRDefault="00730D49">
      <w:pPr>
        <w:pStyle w:val="BZDL1"/>
        <w:spacing w:beforeLines="0" w:before="0" w:afterLines="0" w:after="0" w:line="360" w:lineRule="auto"/>
        <w:ind w:firstLine="480"/>
        <w:rPr>
          <w:rFonts w:ascii="Times New Roman"/>
          <w:sz w:val="24"/>
          <w:szCs w:val="16"/>
        </w:rPr>
      </w:pPr>
      <w:r>
        <w:rPr>
          <w:rFonts w:ascii="Times New Roman" w:hint="eastAsia"/>
          <w:sz w:val="24"/>
          <w:szCs w:val="16"/>
        </w:rPr>
        <w:t>围墙或彩钢板围栏：对邻近城镇、居民点的施工区采用围墙或彩钢板围栏进行临时围护，实行封闭施工，</w:t>
      </w:r>
      <w:r>
        <w:rPr>
          <w:rFonts w:ascii="Times New Roman" w:hint="eastAsia"/>
          <w:sz w:val="24"/>
          <w:szCs w:val="16"/>
        </w:rPr>
        <w:t>既可达到水土保持目的，又能降低施工对附近居民的影响。</w:t>
      </w:r>
    </w:p>
    <w:p w:rsidR="00F44F7B" w:rsidRDefault="00730D49">
      <w:pPr>
        <w:pStyle w:val="BZDL1"/>
        <w:spacing w:beforeLines="0" w:before="0" w:afterLines="0" w:after="0" w:line="360" w:lineRule="auto"/>
        <w:ind w:firstLine="480"/>
        <w:rPr>
          <w:rFonts w:ascii="Times New Roman"/>
          <w:sz w:val="24"/>
          <w:szCs w:val="16"/>
        </w:rPr>
      </w:pPr>
      <w:r>
        <w:rPr>
          <w:rFonts w:ascii="Times New Roman" w:hint="eastAsia"/>
          <w:sz w:val="24"/>
          <w:szCs w:val="16"/>
        </w:rPr>
        <w:t>临时排水：在降水汇集区施工可修建临时截排水沟，减小地表径流对施工面的冲刷。</w:t>
      </w:r>
    </w:p>
    <w:p w:rsidR="00F44F7B" w:rsidRDefault="00730D49">
      <w:pPr>
        <w:pStyle w:val="BZDL1"/>
        <w:spacing w:beforeLines="0" w:before="0" w:afterLines="0" w:after="0" w:line="360" w:lineRule="auto"/>
        <w:ind w:firstLine="480"/>
        <w:rPr>
          <w:rFonts w:ascii="Times New Roman"/>
          <w:sz w:val="24"/>
          <w:szCs w:val="16"/>
        </w:rPr>
      </w:pPr>
      <w:r>
        <w:rPr>
          <w:rFonts w:ascii="Times New Roman"/>
          <w:sz w:val="24"/>
          <w:szCs w:val="16"/>
        </w:rPr>
        <w:t>4</w:t>
      </w:r>
      <w:r>
        <w:rPr>
          <w:rFonts w:ascii="Times New Roman" w:hint="eastAsia"/>
          <w:sz w:val="24"/>
          <w:szCs w:val="16"/>
        </w:rPr>
        <w:t>、施工管理</w:t>
      </w:r>
    </w:p>
    <w:p w:rsidR="00F44F7B" w:rsidRDefault="00730D49">
      <w:pPr>
        <w:pStyle w:val="BZDL1"/>
        <w:spacing w:beforeLines="0" w:before="0" w:afterLines="0" w:after="0" w:line="360" w:lineRule="auto"/>
        <w:ind w:firstLine="480"/>
        <w:rPr>
          <w:rFonts w:ascii="Times New Roman"/>
          <w:sz w:val="24"/>
          <w:szCs w:val="16"/>
        </w:rPr>
      </w:pPr>
      <w:r>
        <w:rPr>
          <w:rFonts w:ascii="Times New Roman" w:hint="eastAsia"/>
          <w:sz w:val="24"/>
          <w:szCs w:val="16"/>
        </w:rPr>
        <w:t>树立按</w:t>
      </w:r>
      <w:r>
        <w:rPr>
          <w:rFonts w:ascii="Times New Roman"/>
          <w:sz w:val="24"/>
          <w:szCs w:val="16"/>
        </w:rPr>
        <w:t>“</w:t>
      </w:r>
      <w:r>
        <w:rPr>
          <w:rFonts w:ascii="Times New Roman" w:hint="eastAsia"/>
          <w:sz w:val="24"/>
          <w:szCs w:val="16"/>
        </w:rPr>
        <w:t>规范</w:t>
      </w:r>
      <w:r>
        <w:rPr>
          <w:rFonts w:ascii="Times New Roman"/>
          <w:sz w:val="24"/>
          <w:szCs w:val="16"/>
        </w:rPr>
        <w:t>”</w:t>
      </w:r>
      <w:r>
        <w:rPr>
          <w:rFonts w:ascii="Times New Roman" w:hint="eastAsia"/>
          <w:sz w:val="24"/>
          <w:szCs w:val="16"/>
        </w:rPr>
        <w:t>和</w:t>
      </w:r>
      <w:r>
        <w:rPr>
          <w:rFonts w:ascii="Times New Roman"/>
          <w:sz w:val="24"/>
          <w:szCs w:val="16"/>
        </w:rPr>
        <w:t>“</w:t>
      </w:r>
      <w:r>
        <w:rPr>
          <w:rFonts w:ascii="Times New Roman" w:hint="eastAsia"/>
          <w:sz w:val="24"/>
          <w:szCs w:val="16"/>
        </w:rPr>
        <w:t>惯例</w:t>
      </w:r>
      <w:r>
        <w:rPr>
          <w:rFonts w:ascii="Times New Roman"/>
          <w:sz w:val="24"/>
          <w:szCs w:val="16"/>
        </w:rPr>
        <w:t>”</w:t>
      </w:r>
      <w:r>
        <w:rPr>
          <w:rFonts w:ascii="Times New Roman" w:hint="eastAsia"/>
          <w:sz w:val="24"/>
          <w:szCs w:val="16"/>
        </w:rPr>
        <w:t>运作的观念，建立</w:t>
      </w:r>
      <w:r>
        <w:rPr>
          <w:rFonts w:ascii="Times New Roman"/>
          <w:sz w:val="24"/>
          <w:szCs w:val="16"/>
        </w:rPr>
        <w:t>“</w:t>
      </w:r>
      <w:r>
        <w:rPr>
          <w:rFonts w:ascii="Times New Roman" w:hint="eastAsia"/>
          <w:sz w:val="24"/>
          <w:szCs w:val="16"/>
        </w:rPr>
        <w:t>工程监理制和业主代表驻地制相结合</w:t>
      </w:r>
      <w:r>
        <w:rPr>
          <w:rFonts w:ascii="Times New Roman"/>
          <w:sz w:val="24"/>
          <w:szCs w:val="16"/>
        </w:rPr>
        <w:t>”</w:t>
      </w:r>
      <w:r>
        <w:rPr>
          <w:rFonts w:ascii="Times New Roman" w:hint="eastAsia"/>
          <w:sz w:val="24"/>
          <w:szCs w:val="16"/>
        </w:rPr>
        <w:t>的管理模式。具体做法是：在施工阶段将做好水土保持工作明确写入施工合同中；利</w:t>
      </w:r>
      <w:r>
        <w:rPr>
          <w:rFonts w:ascii="Times New Roman" w:hint="eastAsia"/>
          <w:sz w:val="24"/>
          <w:szCs w:val="16"/>
        </w:rPr>
        <w:lastRenderedPageBreak/>
        <w:t>用各种奖惩措施促使施工单位采取科学、合理的施工工艺，保证工程区影响范围内的土体稳定性；搞好工程建设自身的水土保持工作，尽量减少扰动地表面积，从现场施工方面减少工程带来的水土流失影响。</w:t>
      </w:r>
    </w:p>
    <w:p w:rsidR="00F44F7B" w:rsidRDefault="00730D49">
      <w:pPr>
        <w:pStyle w:val="BZDL1"/>
        <w:spacing w:beforeLines="0" w:before="0" w:afterLines="0" w:after="0" w:line="360" w:lineRule="auto"/>
        <w:ind w:firstLine="480"/>
        <w:rPr>
          <w:rFonts w:ascii="Times New Roman"/>
          <w:sz w:val="24"/>
          <w:szCs w:val="16"/>
        </w:rPr>
      </w:pPr>
      <w:r>
        <w:rPr>
          <w:rFonts w:ascii="Times New Roman" w:hint="eastAsia"/>
          <w:sz w:val="24"/>
          <w:szCs w:val="16"/>
        </w:rPr>
        <w:t>通过上述水土保持措施的实施，可有效减少因工程建设新增的水土流失，其经验值得本项目借鉴。</w:t>
      </w:r>
    </w:p>
    <w:p w:rsidR="00F44F7B" w:rsidRDefault="00730D49">
      <w:pPr>
        <w:pStyle w:val="2"/>
      </w:pPr>
      <w:bookmarkStart w:id="80" w:name="_Toc23756"/>
      <w:bookmarkStart w:id="81" w:name="_Toc6356"/>
      <w:bookmarkStart w:id="82" w:name="_Toc16484"/>
      <w:r>
        <w:t>2.7</w:t>
      </w:r>
      <w:r>
        <w:t>水土流失防治经验</w:t>
      </w:r>
      <w:bookmarkEnd w:id="79"/>
      <w:bookmarkEnd w:id="80"/>
      <w:bookmarkEnd w:id="81"/>
      <w:bookmarkEnd w:id="82"/>
    </w:p>
    <w:p w:rsidR="00F44F7B" w:rsidRDefault="00730D49">
      <w:pPr>
        <w:pStyle w:val="BZDL1"/>
        <w:spacing w:beforeLines="0" w:before="0" w:afterLines="0" w:after="0" w:line="360" w:lineRule="auto"/>
        <w:ind w:firstLine="480"/>
        <w:rPr>
          <w:rFonts w:ascii="Times New Roman"/>
          <w:sz w:val="24"/>
          <w:szCs w:val="16"/>
        </w:rPr>
      </w:pPr>
      <w:r>
        <w:rPr>
          <w:rFonts w:ascii="Times New Roman" w:hint="eastAsia"/>
          <w:sz w:val="24"/>
          <w:szCs w:val="16"/>
        </w:rPr>
        <w:t>通过对当地相关技术人员的调查访问，并对工程区附近项目的实地踏勘，在当地工程建设中经常使用和成功的水土保持经验及采取的防护措施主要有：</w:t>
      </w:r>
    </w:p>
    <w:p w:rsidR="00F44F7B" w:rsidRDefault="00730D49">
      <w:pPr>
        <w:pStyle w:val="BZDL1"/>
        <w:spacing w:beforeLines="0" w:before="0" w:afterLines="0" w:after="0" w:line="360" w:lineRule="auto"/>
        <w:ind w:firstLine="480"/>
        <w:rPr>
          <w:rFonts w:ascii="Times New Roman"/>
          <w:sz w:val="24"/>
          <w:szCs w:val="16"/>
        </w:rPr>
      </w:pPr>
      <w:r>
        <w:rPr>
          <w:rFonts w:ascii="Times New Roman" w:hint="eastAsia"/>
          <w:sz w:val="24"/>
          <w:szCs w:val="16"/>
        </w:rPr>
        <w:t>经调查本项目区同类型项目的水土流失防治措施布设情况，项目由于其特性，其管线开挖部分回填完成后进行土地整治或硬化，项目实施完毕后项目建设区的水土流失能够有效的到治理；项目区域主要为绿化和建筑物覆盖，水土流失可以达到微度水平。经查阅相关资料及现场调查，项目采取的较为成功</w:t>
      </w:r>
      <w:r>
        <w:rPr>
          <w:rFonts w:ascii="Times New Roman" w:hint="eastAsia"/>
          <w:sz w:val="24"/>
          <w:szCs w:val="16"/>
        </w:rPr>
        <w:t>的水土保持经验及防护措施主要有排水工程、临时遮盖措施、临时排水措施、绿化措施等，该类措施能够有效防治项目建设期及林草恢复期的水土流失，其成功经验可供同类项目水土流失防治措施设置提供参考。</w:t>
      </w:r>
    </w:p>
    <w:p w:rsidR="00F44F7B" w:rsidRDefault="00730D49">
      <w:pPr>
        <w:pStyle w:val="BZDL1"/>
        <w:spacing w:beforeLines="0" w:before="0" w:afterLines="0" w:after="0" w:line="360" w:lineRule="auto"/>
        <w:ind w:firstLine="480"/>
        <w:rPr>
          <w:rFonts w:ascii="Times New Roman"/>
          <w:sz w:val="24"/>
          <w:szCs w:val="16"/>
        </w:rPr>
      </w:pPr>
      <w:r>
        <w:rPr>
          <w:rFonts w:ascii="Times New Roman" w:hint="eastAsia"/>
          <w:sz w:val="24"/>
          <w:szCs w:val="16"/>
        </w:rPr>
        <w:t>1</w:t>
      </w:r>
      <w:r>
        <w:rPr>
          <w:rFonts w:ascii="Times New Roman" w:hint="eastAsia"/>
          <w:sz w:val="24"/>
          <w:szCs w:val="16"/>
        </w:rPr>
        <w:t>、工程措施</w:t>
      </w:r>
    </w:p>
    <w:p w:rsidR="00F44F7B" w:rsidRDefault="00730D49">
      <w:pPr>
        <w:pStyle w:val="BZDL1"/>
        <w:spacing w:beforeLines="0" w:before="0" w:afterLines="0" w:after="0" w:line="360" w:lineRule="auto"/>
        <w:ind w:firstLine="480"/>
        <w:rPr>
          <w:rFonts w:ascii="Times New Roman"/>
          <w:sz w:val="24"/>
          <w:szCs w:val="16"/>
        </w:rPr>
      </w:pPr>
      <w:r>
        <w:rPr>
          <w:rFonts w:ascii="Times New Roman" w:hint="eastAsia"/>
          <w:sz w:val="24"/>
          <w:szCs w:val="16"/>
        </w:rPr>
        <w:t>为了保证工程地基稳定、防止冲刷和水毁，结合地形、地质、地形条件因地制宜地采取综合排水措施，能够有效排导场内汇水，避免漫流冲刷造成水土流失，为满足后期绿化需要及保护表土资源，对占用的耕地施工结束后进行土地整治等，主要有排水沟、表土剥离、表土回覆、土地整治等工程措施。</w:t>
      </w:r>
    </w:p>
    <w:p w:rsidR="00F44F7B" w:rsidRDefault="00730D49">
      <w:pPr>
        <w:pStyle w:val="BZDL1"/>
        <w:spacing w:beforeLines="0" w:before="0" w:afterLines="0" w:after="0" w:line="360" w:lineRule="auto"/>
        <w:ind w:firstLine="480"/>
        <w:rPr>
          <w:rFonts w:ascii="Times New Roman"/>
          <w:sz w:val="24"/>
          <w:szCs w:val="16"/>
        </w:rPr>
      </w:pPr>
      <w:r>
        <w:rPr>
          <w:rFonts w:ascii="Times New Roman" w:hint="eastAsia"/>
          <w:sz w:val="24"/>
          <w:szCs w:val="16"/>
        </w:rPr>
        <w:t>2</w:t>
      </w:r>
      <w:r>
        <w:rPr>
          <w:rFonts w:ascii="Times New Roman" w:hint="eastAsia"/>
          <w:sz w:val="24"/>
          <w:szCs w:val="16"/>
        </w:rPr>
        <w:t>、临时措施</w:t>
      </w:r>
    </w:p>
    <w:p w:rsidR="00F44F7B" w:rsidRDefault="00730D49">
      <w:pPr>
        <w:pStyle w:val="BZDL1"/>
        <w:spacing w:beforeLines="0" w:before="0" w:afterLines="0" w:after="0" w:line="360" w:lineRule="auto"/>
        <w:ind w:firstLine="480"/>
        <w:rPr>
          <w:rFonts w:ascii="Times New Roman"/>
          <w:sz w:val="24"/>
          <w:szCs w:val="16"/>
        </w:rPr>
      </w:pPr>
      <w:r>
        <w:rPr>
          <w:rFonts w:ascii="Times New Roman" w:hint="eastAsia"/>
          <w:sz w:val="24"/>
          <w:szCs w:val="16"/>
        </w:rPr>
        <w:t>临时挡护：在工程建设中存在临时</w:t>
      </w:r>
      <w:r>
        <w:rPr>
          <w:rFonts w:ascii="Times New Roman" w:hint="eastAsia"/>
          <w:sz w:val="24"/>
          <w:szCs w:val="16"/>
        </w:rPr>
        <w:t>堆土，根据区域同类项目实施经验调查，主要采取土堆坡脚临时挡护措施、临时堆料挡护措施等，施工结束后及时拆除编织土袋，用于场地回填利用，土袋挡护能够有效防治临时堆土堆料散落造成水土流失。临时遮盖：对施工开挖、填筑、堆置、土料运输等裸露面，利用防雨布进行临时压盖，能够有效防止降雨冲刷导致水土流失，同时防止风力作用扬尘污染空气，具有良好的水土保持效果。围墙或采钢板围栏措施：项目在施工过程中从安全角度考虑，整个施工场地均采取围墙或采钢板围栏措施进行围挡，实施封闭施工，该措施能够有效控制项目施工对周边地表的扰动，一定程</w:t>
      </w:r>
      <w:r>
        <w:rPr>
          <w:rFonts w:ascii="Times New Roman" w:hint="eastAsia"/>
          <w:sz w:val="24"/>
          <w:szCs w:val="16"/>
        </w:rPr>
        <w:t>度上达到水土保持的目的，但该类措施主要是从项目安全施工角度考虑设置。临时排水措施：施工期基坑周边及基坑内部设置临时排水沟</w:t>
      </w:r>
      <w:r>
        <w:rPr>
          <w:rFonts w:ascii="Times New Roman" w:hint="eastAsia"/>
          <w:sz w:val="24"/>
          <w:szCs w:val="16"/>
        </w:rPr>
        <w:lastRenderedPageBreak/>
        <w:t>及沉沙池，排导项目区的汇水，减轻汇水漫流冲刷，减轻水土流失，水土保持效果显著。</w:t>
      </w:r>
    </w:p>
    <w:p w:rsidR="00F44F7B" w:rsidRDefault="00730D49">
      <w:pPr>
        <w:pStyle w:val="BZDL1"/>
        <w:spacing w:beforeLines="0" w:before="0" w:afterLines="0" w:after="0" w:line="360" w:lineRule="auto"/>
        <w:ind w:firstLine="480"/>
        <w:rPr>
          <w:rFonts w:ascii="Times New Roman"/>
          <w:sz w:val="24"/>
          <w:szCs w:val="16"/>
        </w:rPr>
      </w:pPr>
      <w:r>
        <w:rPr>
          <w:rFonts w:ascii="Times New Roman" w:hint="eastAsia"/>
          <w:sz w:val="24"/>
          <w:szCs w:val="16"/>
        </w:rPr>
        <w:t>3</w:t>
      </w:r>
      <w:r>
        <w:rPr>
          <w:rFonts w:ascii="Times New Roman" w:hint="eastAsia"/>
          <w:sz w:val="24"/>
          <w:szCs w:val="16"/>
        </w:rPr>
        <w:t>、植物措施</w:t>
      </w:r>
    </w:p>
    <w:p w:rsidR="00F44F7B" w:rsidRDefault="00730D49">
      <w:pPr>
        <w:pStyle w:val="BZDL1"/>
        <w:spacing w:beforeLines="0" w:before="0" w:afterLines="0" w:after="0" w:line="360" w:lineRule="auto"/>
        <w:ind w:firstLine="480"/>
        <w:rPr>
          <w:rFonts w:ascii="Times New Roman"/>
          <w:sz w:val="24"/>
          <w:szCs w:val="16"/>
        </w:rPr>
      </w:pPr>
      <w:r>
        <w:rPr>
          <w:rFonts w:ascii="Times New Roman" w:hint="eastAsia"/>
          <w:sz w:val="24"/>
          <w:szCs w:val="16"/>
        </w:rPr>
        <w:t>项目及周边的同类型项目的绿化工程经验，对本项目及今后同类项目的建设都具有重要的借鉴作用，为工程开展水土保持工作提供了较好的借鉴经验。项目为提高项目品质，绿化和美化环境的要求，本着“舒适、美观、生态”的原则，根据项目区的立地条件和气候特点，选择适生能力强、速生优质、栽植和养护容易的优良树草种，对景观绿化区采用由灌、草、藤本植物为一体的立体绿化防护措施。区域绿化美化所选植物种类参见下表</w:t>
      </w:r>
      <w:r>
        <w:rPr>
          <w:rFonts w:ascii="Times New Roman" w:hint="eastAsia"/>
          <w:sz w:val="24"/>
          <w:szCs w:val="16"/>
        </w:rPr>
        <w:t>2-3</w:t>
      </w:r>
      <w:r>
        <w:rPr>
          <w:rFonts w:ascii="Times New Roman" w:hint="eastAsia"/>
          <w:sz w:val="24"/>
          <w:szCs w:val="16"/>
        </w:rPr>
        <w:t>。</w:t>
      </w:r>
    </w:p>
    <w:p w:rsidR="00F44F7B" w:rsidRDefault="00730D49">
      <w:pPr>
        <w:pStyle w:val="af8"/>
      </w:pPr>
      <w:r>
        <w:rPr>
          <w:rFonts w:hint="eastAsia"/>
        </w:rPr>
        <w:t>表</w:t>
      </w:r>
      <w:r>
        <w:rPr>
          <w:rFonts w:hint="eastAsia"/>
        </w:rPr>
        <w:t>2-</w:t>
      </w:r>
      <w:r>
        <w:rPr>
          <w:rFonts w:hint="eastAsia"/>
        </w:rPr>
        <w:t>3</w:t>
      </w:r>
      <w:r>
        <w:rPr>
          <w:rFonts w:hint="eastAsia"/>
        </w:rPr>
        <w:t>项目区景观绿化植物配置参考表</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916"/>
        <w:gridCol w:w="1800"/>
        <w:gridCol w:w="5806"/>
      </w:tblGrid>
      <w:tr w:rsidR="00F44F7B">
        <w:trPr>
          <w:trHeight w:val="247"/>
          <w:tblHeader/>
          <w:jc w:val="center"/>
        </w:trPr>
        <w:tc>
          <w:tcPr>
            <w:tcW w:w="916" w:type="dxa"/>
            <w:tcBorders>
              <w:tl2br w:val="nil"/>
              <w:tr2bl w:val="nil"/>
            </w:tcBorders>
            <w:vAlign w:val="center"/>
          </w:tcPr>
          <w:p w:rsidR="00F44F7B" w:rsidRDefault="00730D49">
            <w:pPr>
              <w:pStyle w:val="af9"/>
            </w:pPr>
            <w:r>
              <w:rPr>
                <w:rFonts w:hint="eastAsia"/>
              </w:rPr>
              <w:t>树草种名称</w:t>
            </w:r>
          </w:p>
        </w:tc>
        <w:tc>
          <w:tcPr>
            <w:tcW w:w="1800" w:type="dxa"/>
            <w:tcBorders>
              <w:tl2br w:val="nil"/>
              <w:tr2bl w:val="nil"/>
            </w:tcBorders>
            <w:vAlign w:val="center"/>
          </w:tcPr>
          <w:p w:rsidR="00F44F7B" w:rsidRDefault="00730D49">
            <w:pPr>
              <w:pStyle w:val="af9"/>
            </w:pPr>
            <w:r>
              <w:rPr>
                <w:rFonts w:hint="eastAsia"/>
              </w:rPr>
              <w:t>拉丁名</w:t>
            </w:r>
          </w:p>
        </w:tc>
        <w:tc>
          <w:tcPr>
            <w:tcW w:w="5806" w:type="dxa"/>
            <w:tcBorders>
              <w:tl2br w:val="nil"/>
              <w:tr2bl w:val="nil"/>
            </w:tcBorders>
            <w:vAlign w:val="center"/>
          </w:tcPr>
          <w:p w:rsidR="00F44F7B" w:rsidRDefault="00730D49">
            <w:pPr>
              <w:pStyle w:val="af9"/>
            </w:pPr>
            <w:r>
              <w:rPr>
                <w:rFonts w:hint="eastAsia"/>
              </w:rPr>
              <w:t>树、草种特性及分布</w:t>
            </w:r>
          </w:p>
        </w:tc>
      </w:tr>
      <w:tr w:rsidR="00F44F7B">
        <w:trPr>
          <w:trHeight w:val="247"/>
          <w:jc w:val="center"/>
        </w:trPr>
        <w:tc>
          <w:tcPr>
            <w:tcW w:w="916" w:type="dxa"/>
            <w:tcBorders>
              <w:tl2br w:val="nil"/>
              <w:tr2bl w:val="nil"/>
            </w:tcBorders>
            <w:vAlign w:val="center"/>
          </w:tcPr>
          <w:p w:rsidR="00F44F7B" w:rsidRDefault="00730D49">
            <w:pPr>
              <w:pStyle w:val="af9"/>
            </w:pPr>
            <w:r>
              <w:rPr>
                <w:rFonts w:hint="eastAsia"/>
              </w:rPr>
              <w:t>水杉</w:t>
            </w:r>
          </w:p>
        </w:tc>
        <w:tc>
          <w:tcPr>
            <w:tcW w:w="1800" w:type="dxa"/>
            <w:tcBorders>
              <w:tl2br w:val="nil"/>
              <w:tr2bl w:val="nil"/>
            </w:tcBorders>
            <w:vAlign w:val="center"/>
          </w:tcPr>
          <w:p w:rsidR="00F44F7B" w:rsidRDefault="00730D49">
            <w:pPr>
              <w:pStyle w:val="af9"/>
            </w:pPr>
            <w:r>
              <w:t>Metasequoia glyp</w:t>
            </w:r>
            <w:r>
              <w:t>tostroboides Hu et Cheng</w:t>
            </w:r>
          </w:p>
        </w:tc>
        <w:tc>
          <w:tcPr>
            <w:tcW w:w="5806" w:type="dxa"/>
            <w:tcBorders>
              <w:tl2br w:val="nil"/>
              <w:tr2bl w:val="nil"/>
            </w:tcBorders>
            <w:vAlign w:val="center"/>
          </w:tcPr>
          <w:p w:rsidR="00F44F7B" w:rsidRDefault="00730D49">
            <w:pPr>
              <w:pStyle w:val="af9"/>
            </w:pPr>
            <w:r>
              <w:rPr>
                <w:rFonts w:hint="eastAsia"/>
              </w:rPr>
              <w:t>乔木，高达</w:t>
            </w:r>
            <w:r>
              <w:t>35</w:t>
            </w:r>
            <w:r>
              <w:rPr>
                <w:rFonts w:hint="eastAsia"/>
              </w:rPr>
              <w:t>米，胸径达</w:t>
            </w:r>
            <w:r>
              <w:t>2.5</w:t>
            </w:r>
            <w:r>
              <w:rPr>
                <w:rFonts w:hint="eastAsia"/>
              </w:rPr>
              <w:t>米；适应性强，喜光，稍耐阴。喜温暖湿润气候，稍耐寒。不耐干旱和瘠薄，根系发达。萌蘖、萌芽力均强，耐修剪。</w:t>
            </w:r>
          </w:p>
        </w:tc>
      </w:tr>
      <w:tr w:rsidR="00F44F7B">
        <w:trPr>
          <w:trHeight w:val="247"/>
          <w:jc w:val="center"/>
        </w:trPr>
        <w:tc>
          <w:tcPr>
            <w:tcW w:w="916" w:type="dxa"/>
            <w:tcBorders>
              <w:tl2br w:val="nil"/>
              <w:tr2bl w:val="nil"/>
            </w:tcBorders>
            <w:vAlign w:val="center"/>
          </w:tcPr>
          <w:p w:rsidR="00F44F7B" w:rsidRDefault="00730D49">
            <w:pPr>
              <w:pStyle w:val="af9"/>
            </w:pPr>
            <w:r>
              <w:rPr>
                <w:rFonts w:hint="eastAsia"/>
              </w:rPr>
              <w:t>桤木</w:t>
            </w:r>
          </w:p>
        </w:tc>
        <w:tc>
          <w:tcPr>
            <w:tcW w:w="1800" w:type="dxa"/>
            <w:tcBorders>
              <w:tl2br w:val="nil"/>
              <w:tr2bl w:val="nil"/>
            </w:tcBorders>
            <w:vAlign w:val="center"/>
          </w:tcPr>
          <w:p w:rsidR="00F44F7B" w:rsidRDefault="00730D49">
            <w:pPr>
              <w:pStyle w:val="af9"/>
            </w:pPr>
            <w:r>
              <w:t>Alnus cremastogyne Burk.</w:t>
            </w:r>
          </w:p>
        </w:tc>
        <w:tc>
          <w:tcPr>
            <w:tcW w:w="5806" w:type="dxa"/>
            <w:tcBorders>
              <w:tl2br w:val="nil"/>
              <w:tr2bl w:val="nil"/>
            </w:tcBorders>
            <w:vAlign w:val="center"/>
          </w:tcPr>
          <w:p w:rsidR="00F44F7B" w:rsidRDefault="00730D49">
            <w:pPr>
              <w:pStyle w:val="af9"/>
            </w:pPr>
            <w:r>
              <w:rPr>
                <w:rFonts w:hint="eastAsia"/>
              </w:rPr>
              <w:t>常绿乔木，喜光，稍耐水湿，侧方庇荫，侧根发达，喜温湿，耐寒性差，能在钙质土上生长，是紫色土页岩钙质土、石灰岩山地钙质土的主要针叶树种。</w:t>
            </w:r>
          </w:p>
        </w:tc>
      </w:tr>
      <w:tr w:rsidR="00F44F7B">
        <w:trPr>
          <w:trHeight w:val="247"/>
          <w:jc w:val="center"/>
        </w:trPr>
        <w:tc>
          <w:tcPr>
            <w:tcW w:w="916" w:type="dxa"/>
            <w:tcBorders>
              <w:tl2br w:val="nil"/>
              <w:tr2bl w:val="nil"/>
            </w:tcBorders>
            <w:vAlign w:val="center"/>
          </w:tcPr>
          <w:p w:rsidR="00F44F7B" w:rsidRDefault="00730D49">
            <w:pPr>
              <w:pStyle w:val="af9"/>
            </w:pPr>
            <w:r>
              <w:rPr>
                <w:rFonts w:hint="eastAsia"/>
              </w:rPr>
              <w:t>小叶榕</w:t>
            </w:r>
          </w:p>
        </w:tc>
        <w:tc>
          <w:tcPr>
            <w:tcW w:w="1800" w:type="dxa"/>
            <w:tcBorders>
              <w:tl2br w:val="nil"/>
              <w:tr2bl w:val="nil"/>
            </w:tcBorders>
            <w:vAlign w:val="center"/>
          </w:tcPr>
          <w:p w:rsidR="00F44F7B" w:rsidRDefault="00730D49">
            <w:pPr>
              <w:pStyle w:val="af9"/>
            </w:pPr>
            <w:r>
              <w:t>Ficus microcarpa var.pusillifolia</w:t>
            </w:r>
          </w:p>
        </w:tc>
        <w:tc>
          <w:tcPr>
            <w:tcW w:w="5806" w:type="dxa"/>
            <w:tcBorders>
              <w:tl2br w:val="nil"/>
              <w:tr2bl w:val="nil"/>
            </w:tcBorders>
            <w:vAlign w:val="center"/>
          </w:tcPr>
          <w:p w:rsidR="00F44F7B" w:rsidRDefault="00730D49">
            <w:pPr>
              <w:pStyle w:val="af9"/>
            </w:pPr>
            <w:r>
              <w:rPr>
                <w:rFonts w:hint="eastAsia"/>
              </w:rPr>
              <w:t>小叶榕是常绿小乔木。树冠伞形或圆形。高度</w:t>
            </w:r>
            <w:r>
              <w:t>×</w:t>
            </w:r>
            <w:r>
              <w:rPr>
                <w:rFonts w:hint="eastAsia"/>
              </w:rPr>
              <w:t>冠幅：榕树</w:t>
            </w:r>
            <w:r>
              <w:t>20m×15m</w:t>
            </w:r>
            <w:r>
              <w:rPr>
                <w:rFonts w:hint="eastAsia"/>
              </w:rPr>
              <w:t>。小叶榕</w:t>
            </w:r>
            <w:r>
              <w:t>6m×4m</w:t>
            </w:r>
            <w:r>
              <w:rPr>
                <w:rFonts w:hint="eastAsia"/>
              </w:rPr>
              <w:t>。质感：中色泽：叶色深绿。果实绿转淡红褐色。热带树种，生长中至见快。耐热、怕旱、耐湿、耐瘠、耐阴、耐风、抗污染、耐剪、易移植、寿命长。中国西南部广泛分布，主要作为景观绿化树种。</w:t>
            </w:r>
          </w:p>
        </w:tc>
      </w:tr>
      <w:tr w:rsidR="00F44F7B">
        <w:trPr>
          <w:trHeight w:val="247"/>
          <w:jc w:val="center"/>
        </w:trPr>
        <w:tc>
          <w:tcPr>
            <w:tcW w:w="916" w:type="dxa"/>
            <w:tcBorders>
              <w:tl2br w:val="nil"/>
              <w:tr2bl w:val="nil"/>
            </w:tcBorders>
            <w:vAlign w:val="center"/>
          </w:tcPr>
          <w:p w:rsidR="00F44F7B" w:rsidRDefault="00730D49">
            <w:pPr>
              <w:pStyle w:val="af9"/>
            </w:pPr>
            <w:r>
              <w:rPr>
                <w:rFonts w:hint="eastAsia"/>
              </w:rPr>
              <w:t>香樟</w:t>
            </w:r>
          </w:p>
        </w:tc>
        <w:tc>
          <w:tcPr>
            <w:tcW w:w="1800" w:type="dxa"/>
            <w:tcBorders>
              <w:tl2br w:val="nil"/>
              <w:tr2bl w:val="nil"/>
            </w:tcBorders>
            <w:vAlign w:val="center"/>
          </w:tcPr>
          <w:p w:rsidR="00F44F7B" w:rsidRDefault="00730D49">
            <w:pPr>
              <w:pStyle w:val="af9"/>
            </w:pPr>
            <w:r>
              <w:t>Cinnamomum camphora (L.) Presl.</w:t>
            </w:r>
          </w:p>
        </w:tc>
        <w:tc>
          <w:tcPr>
            <w:tcW w:w="5806" w:type="dxa"/>
            <w:tcBorders>
              <w:tl2br w:val="nil"/>
              <w:tr2bl w:val="nil"/>
            </w:tcBorders>
            <w:vAlign w:val="center"/>
          </w:tcPr>
          <w:p w:rsidR="00F44F7B" w:rsidRDefault="00730D49">
            <w:pPr>
              <w:pStyle w:val="af9"/>
            </w:pPr>
            <w:r>
              <w:rPr>
                <w:rFonts w:hint="eastAsia"/>
              </w:rPr>
              <w:t>喜光，稍耐荫；喜温暖湿润气候，耐寒性不强，对土壤要求不严，较耐水湿，但当移植时要注意保持土壤湿度，水涝容易导致烂根缺氧而死，但不耐干旱、瘠薄和盐碱土。主根发达，深根性，能抗风。萌芽力强，耐修剪。生长速度中等，树形巨大如伞，能遮阴避</w:t>
            </w:r>
            <w:r>
              <w:rPr>
                <w:rFonts w:hint="eastAsia"/>
              </w:rPr>
              <w:t>凉。存活期长，可以生长为成百上千年的参天古木，有很强的吸烟滞尘、涵养水源、固土防沙和美化环境的能力。此外抗海潮风及耐烟尘和抗有毒气体能力，并能吸收多种有毒气体，较能适应城市环境。</w:t>
            </w:r>
          </w:p>
        </w:tc>
      </w:tr>
      <w:tr w:rsidR="00F44F7B">
        <w:trPr>
          <w:trHeight w:val="247"/>
          <w:jc w:val="center"/>
        </w:trPr>
        <w:tc>
          <w:tcPr>
            <w:tcW w:w="916" w:type="dxa"/>
            <w:tcBorders>
              <w:tl2br w:val="nil"/>
              <w:tr2bl w:val="nil"/>
            </w:tcBorders>
            <w:vAlign w:val="center"/>
          </w:tcPr>
          <w:p w:rsidR="00F44F7B" w:rsidRDefault="00730D49">
            <w:pPr>
              <w:pStyle w:val="af9"/>
            </w:pPr>
            <w:r>
              <w:rPr>
                <w:rFonts w:hint="eastAsia"/>
              </w:rPr>
              <w:t>小叶</w:t>
            </w:r>
          </w:p>
          <w:p w:rsidR="00F44F7B" w:rsidRDefault="00730D49">
            <w:pPr>
              <w:pStyle w:val="af9"/>
            </w:pPr>
            <w:r>
              <w:rPr>
                <w:rFonts w:hint="eastAsia"/>
              </w:rPr>
              <w:t>女贞</w:t>
            </w:r>
          </w:p>
        </w:tc>
        <w:tc>
          <w:tcPr>
            <w:tcW w:w="1800" w:type="dxa"/>
            <w:tcBorders>
              <w:tl2br w:val="nil"/>
              <w:tr2bl w:val="nil"/>
            </w:tcBorders>
            <w:vAlign w:val="center"/>
          </w:tcPr>
          <w:p w:rsidR="00F44F7B" w:rsidRDefault="00730D49">
            <w:pPr>
              <w:pStyle w:val="af9"/>
            </w:pPr>
            <w:r>
              <w:t>Ligustrum quihoui Carr.</w:t>
            </w:r>
          </w:p>
        </w:tc>
        <w:tc>
          <w:tcPr>
            <w:tcW w:w="5806" w:type="dxa"/>
            <w:tcBorders>
              <w:tl2br w:val="nil"/>
              <w:tr2bl w:val="nil"/>
            </w:tcBorders>
            <w:vAlign w:val="center"/>
          </w:tcPr>
          <w:p w:rsidR="00F44F7B" w:rsidRDefault="00730D49">
            <w:pPr>
              <w:pStyle w:val="af9"/>
            </w:pPr>
            <w:r>
              <w:rPr>
                <w:rFonts w:hint="eastAsia"/>
              </w:rPr>
              <w:t>落叶或半常绿灌木，喜光，稍耐荫，较耐寒，性强健。西南地区及四川盆地均分布，常用于景观树种。</w:t>
            </w:r>
          </w:p>
        </w:tc>
      </w:tr>
      <w:tr w:rsidR="00F44F7B">
        <w:trPr>
          <w:trHeight w:val="1520"/>
          <w:jc w:val="center"/>
        </w:trPr>
        <w:tc>
          <w:tcPr>
            <w:tcW w:w="916" w:type="dxa"/>
            <w:tcBorders>
              <w:tl2br w:val="nil"/>
              <w:tr2bl w:val="nil"/>
            </w:tcBorders>
            <w:vAlign w:val="center"/>
          </w:tcPr>
          <w:p w:rsidR="00F44F7B" w:rsidRDefault="00730D49">
            <w:pPr>
              <w:pStyle w:val="af9"/>
            </w:pPr>
            <w:r>
              <w:rPr>
                <w:rFonts w:hint="eastAsia"/>
              </w:rPr>
              <w:t>小叶黄杨</w:t>
            </w:r>
          </w:p>
        </w:tc>
        <w:tc>
          <w:tcPr>
            <w:tcW w:w="1800" w:type="dxa"/>
            <w:tcBorders>
              <w:tl2br w:val="nil"/>
              <w:tr2bl w:val="nil"/>
            </w:tcBorders>
            <w:vAlign w:val="center"/>
          </w:tcPr>
          <w:p w:rsidR="00F44F7B" w:rsidRDefault="00730D49">
            <w:pPr>
              <w:pStyle w:val="af9"/>
            </w:pPr>
            <w:r>
              <w:t>Buxus sinica (Rehd. et Wils.) Cheng subsp. sinica var. parvifolia M. Cheng</w:t>
            </w:r>
          </w:p>
        </w:tc>
        <w:tc>
          <w:tcPr>
            <w:tcW w:w="5806" w:type="dxa"/>
            <w:tcBorders>
              <w:tl2br w:val="nil"/>
              <w:tr2bl w:val="nil"/>
            </w:tcBorders>
            <w:vAlign w:val="center"/>
          </w:tcPr>
          <w:p w:rsidR="00F44F7B" w:rsidRDefault="00730D49">
            <w:pPr>
              <w:pStyle w:val="af9"/>
            </w:pPr>
            <w:r>
              <w:rPr>
                <w:rFonts w:hint="eastAsia"/>
              </w:rPr>
              <w:t>常绿灌木，高</w:t>
            </w:r>
            <w:r>
              <w:t>2m</w:t>
            </w:r>
            <w:r>
              <w:rPr>
                <w:rFonts w:hint="eastAsia"/>
              </w:rPr>
              <w:t>。茎枝四楞，光滑，密集，小枝节间长</w:t>
            </w:r>
            <w:r>
              <w:t>3~5mm</w:t>
            </w:r>
            <w:r>
              <w:rPr>
                <w:rFonts w:hint="eastAsia"/>
              </w:rPr>
              <w:t>。性喜肥沃湿润土壤，忌酸性土壤。抗逆性强，耐水肥，抗污染，能吸收空气中的二氧化硫等有毒气体，有耐寒，耐盐碱、抗病虫害等许多特性。花期</w:t>
            </w:r>
            <w:r>
              <w:t>3~4</w:t>
            </w:r>
            <w:r>
              <w:rPr>
                <w:rFonts w:hint="eastAsia"/>
              </w:rPr>
              <w:t>月，果期</w:t>
            </w:r>
            <w:r>
              <w:t>8-9</w:t>
            </w:r>
            <w:r>
              <w:rPr>
                <w:rFonts w:hint="eastAsia"/>
              </w:rPr>
              <w:t>月。</w:t>
            </w:r>
          </w:p>
        </w:tc>
      </w:tr>
      <w:tr w:rsidR="00F44F7B">
        <w:trPr>
          <w:trHeight w:val="247"/>
          <w:jc w:val="center"/>
        </w:trPr>
        <w:tc>
          <w:tcPr>
            <w:tcW w:w="916" w:type="dxa"/>
            <w:tcBorders>
              <w:tl2br w:val="nil"/>
              <w:tr2bl w:val="nil"/>
            </w:tcBorders>
            <w:vAlign w:val="center"/>
          </w:tcPr>
          <w:p w:rsidR="00F44F7B" w:rsidRDefault="00730D49">
            <w:pPr>
              <w:pStyle w:val="af9"/>
            </w:pPr>
            <w:r>
              <w:rPr>
                <w:rFonts w:hint="eastAsia"/>
              </w:rPr>
              <w:t>红花继木</w:t>
            </w:r>
          </w:p>
        </w:tc>
        <w:tc>
          <w:tcPr>
            <w:tcW w:w="1800" w:type="dxa"/>
            <w:tcBorders>
              <w:tl2br w:val="nil"/>
              <w:tr2bl w:val="nil"/>
            </w:tcBorders>
            <w:vAlign w:val="center"/>
          </w:tcPr>
          <w:p w:rsidR="00F44F7B" w:rsidRDefault="00730D49">
            <w:pPr>
              <w:pStyle w:val="af9"/>
            </w:pPr>
            <w:r>
              <w:t>Loropetalum chinense var.rubrum</w:t>
            </w:r>
          </w:p>
        </w:tc>
        <w:tc>
          <w:tcPr>
            <w:tcW w:w="5806" w:type="dxa"/>
            <w:tcBorders>
              <w:tl2br w:val="nil"/>
              <w:tr2bl w:val="nil"/>
            </w:tcBorders>
            <w:vAlign w:val="center"/>
          </w:tcPr>
          <w:p w:rsidR="00F44F7B" w:rsidRDefault="00730D49">
            <w:pPr>
              <w:pStyle w:val="af9"/>
            </w:pPr>
            <w:r>
              <w:rPr>
                <w:rFonts w:hint="eastAsia"/>
              </w:rPr>
              <w:t>多年生半灌木，作一、二年生栽培，喜光，喜温暖湿润环境，对土壤要求不严，半耐寒或不耐寒。</w:t>
            </w:r>
          </w:p>
        </w:tc>
      </w:tr>
      <w:tr w:rsidR="00F44F7B">
        <w:trPr>
          <w:trHeight w:val="306"/>
          <w:jc w:val="center"/>
        </w:trPr>
        <w:tc>
          <w:tcPr>
            <w:tcW w:w="916" w:type="dxa"/>
            <w:tcBorders>
              <w:tl2br w:val="nil"/>
              <w:tr2bl w:val="nil"/>
            </w:tcBorders>
            <w:vAlign w:val="center"/>
          </w:tcPr>
          <w:p w:rsidR="00F44F7B" w:rsidRDefault="00730D49">
            <w:pPr>
              <w:pStyle w:val="af9"/>
            </w:pPr>
            <w:r>
              <w:rPr>
                <w:rFonts w:hint="eastAsia"/>
              </w:rPr>
              <w:t>麦冬草</w:t>
            </w:r>
          </w:p>
        </w:tc>
        <w:tc>
          <w:tcPr>
            <w:tcW w:w="1800" w:type="dxa"/>
            <w:tcBorders>
              <w:tl2br w:val="nil"/>
              <w:tr2bl w:val="nil"/>
            </w:tcBorders>
            <w:vAlign w:val="center"/>
          </w:tcPr>
          <w:p w:rsidR="00F44F7B" w:rsidRDefault="00730D49">
            <w:pPr>
              <w:pStyle w:val="af9"/>
            </w:pPr>
            <w:r>
              <w:t>Ophiopogogon japonicus</w:t>
            </w:r>
            <w:r>
              <w:rPr>
                <w:rFonts w:hint="eastAsia"/>
              </w:rPr>
              <w:lastRenderedPageBreak/>
              <w:t>（</w:t>
            </w:r>
            <w:r>
              <w:t>L</w:t>
            </w:r>
            <w:r>
              <w:rPr>
                <w:rFonts w:hint="eastAsia"/>
              </w:rPr>
              <w:t>．</w:t>
            </w:r>
            <w:r>
              <w:t>f</w:t>
            </w:r>
            <w:r>
              <w:rPr>
                <w:rFonts w:hint="eastAsia"/>
              </w:rPr>
              <w:t>．）</w:t>
            </w:r>
            <w:r>
              <w:t>Ker-Gawl</w:t>
            </w:r>
            <w:r>
              <w:rPr>
                <w:rFonts w:hint="eastAsia"/>
              </w:rPr>
              <w:t>．</w:t>
            </w:r>
          </w:p>
        </w:tc>
        <w:tc>
          <w:tcPr>
            <w:tcW w:w="5806" w:type="dxa"/>
            <w:tcBorders>
              <w:tl2br w:val="nil"/>
              <w:tr2bl w:val="nil"/>
            </w:tcBorders>
            <w:vAlign w:val="center"/>
          </w:tcPr>
          <w:p w:rsidR="00F44F7B" w:rsidRDefault="00730D49">
            <w:pPr>
              <w:pStyle w:val="af9"/>
            </w:pPr>
            <w:r>
              <w:rPr>
                <w:rFonts w:hint="eastAsia"/>
              </w:rPr>
              <w:lastRenderedPageBreak/>
              <w:t>麦冬喜温暖湿润、较荫蔽的环境。耐寒，忌强光和高温，</w:t>
            </w:r>
            <w:r>
              <w:t>7</w:t>
            </w:r>
            <w:r>
              <w:rPr>
                <w:rFonts w:hint="eastAsia"/>
              </w:rPr>
              <w:t>月见花时，地下块根开始形成，</w:t>
            </w:r>
            <w:r>
              <w:t>9</w:t>
            </w:r>
            <w:r>
              <w:rPr>
                <w:rFonts w:hint="eastAsia"/>
              </w:rPr>
              <w:t>－</w:t>
            </w:r>
            <w:r>
              <w:t>10</w:t>
            </w:r>
            <w:r>
              <w:rPr>
                <w:rFonts w:hint="eastAsia"/>
              </w:rPr>
              <w:t>月为发根盛期，储存种子，注意时间，长期存储会导致种子活性降低，播种不理</w:t>
            </w:r>
            <w:r>
              <w:rPr>
                <w:rFonts w:hint="eastAsia"/>
              </w:rPr>
              <w:lastRenderedPageBreak/>
              <w:t>想。麦冬草冬季常绿，全年不落叶，是重要的药材和绿化植物。</w:t>
            </w:r>
          </w:p>
        </w:tc>
      </w:tr>
      <w:tr w:rsidR="00F44F7B">
        <w:trPr>
          <w:trHeight w:val="306"/>
          <w:jc w:val="center"/>
        </w:trPr>
        <w:tc>
          <w:tcPr>
            <w:tcW w:w="916" w:type="dxa"/>
            <w:tcBorders>
              <w:tl2br w:val="nil"/>
              <w:tr2bl w:val="nil"/>
            </w:tcBorders>
            <w:vAlign w:val="center"/>
          </w:tcPr>
          <w:p w:rsidR="00F44F7B" w:rsidRDefault="00730D49">
            <w:pPr>
              <w:pStyle w:val="af9"/>
            </w:pPr>
            <w:r>
              <w:rPr>
                <w:rFonts w:hint="eastAsia"/>
              </w:rPr>
              <w:lastRenderedPageBreak/>
              <w:t>三叶草</w:t>
            </w:r>
          </w:p>
        </w:tc>
        <w:tc>
          <w:tcPr>
            <w:tcW w:w="1800" w:type="dxa"/>
            <w:tcBorders>
              <w:tl2br w:val="nil"/>
              <w:tr2bl w:val="nil"/>
            </w:tcBorders>
            <w:vAlign w:val="center"/>
          </w:tcPr>
          <w:p w:rsidR="00F44F7B" w:rsidRDefault="00730D49">
            <w:pPr>
              <w:pStyle w:val="af9"/>
            </w:pPr>
            <w:r>
              <w:t>Trifolium</w:t>
            </w:r>
          </w:p>
        </w:tc>
        <w:tc>
          <w:tcPr>
            <w:tcW w:w="5806" w:type="dxa"/>
            <w:tcBorders>
              <w:tl2br w:val="nil"/>
              <w:tr2bl w:val="nil"/>
            </w:tcBorders>
            <w:vAlign w:val="center"/>
          </w:tcPr>
          <w:p w:rsidR="00F44F7B" w:rsidRDefault="00730D49">
            <w:pPr>
              <w:pStyle w:val="af9"/>
            </w:pPr>
            <w:r>
              <w:rPr>
                <w:rFonts w:hint="eastAsia"/>
              </w:rPr>
              <w:t>小叶型、耐热、耐瘠、观赏优美，低矮、抗寒。种子活力强、深绿、新绿化草种。成坪快、固土能力强。西南地区及四川盆地均有不同面积的分布。</w:t>
            </w:r>
          </w:p>
        </w:tc>
      </w:tr>
    </w:tbl>
    <w:p w:rsidR="00F44F7B" w:rsidRDefault="00730D49">
      <w:pPr>
        <w:pStyle w:val="BZDL1"/>
        <w:spacing w:beforeLines="0" w:before="0" w:afterLines="0" w:after="0" w:line="360" w:lineRule="auto"/>
        <w:ind w:firstLine="480"/>
        <w:rPr>
          <w:rFonts w:ascii="Times New Roman"/>
          <w:sz w:val="24"/>
          <w:szCs w:val="16"/>
        </w:rPr>
      </w:pPr>
      <w:r>
        <w:rPr>
          <w:rFonts w:ascii="Times New Roman" w:hint="eastAsia"/>
          <w:sz w:val="24"/>
          <w:szCs w:val="16"/>
        </w:rPr>
        <w:t>4</w:t>
      </w:r>
      <w:r>
        <w:rPr>
          <w:rFonts w:ascii="Times New Roman" w:hint="eastAsia"/>
          <w:sz w:val="24"/>
          <w:szCs w:val="16"/>
        </w:rPr>
        <w:t>、施工管理措施</w:t>
      </w:r>
    </w:p>
    <w:p w:rsidR="00F44F7B" w:rsidRDefault="00730D49">
      <w:pPr>
        <w:pStyle w:val="BZDL1"/>
        <w:spacing w:beforeLines="0" w:before="0" w:afterLines="0" w:after="0" w:line="360" w:lineRule="auto"/>
        <w:ind w:firstLine="480"/>
        <w:rPr>
          <w:rFonts w:ascii="Times New Roman"/>
          <w:sz w:val="24"/>
          <w:szCs w:val="16"/>
        </w:rPr>
      </w:pPr>
      <w:r>
        <w:rPr>
          <w:rFonts w:ascii="Times New Roman" w:hint="eastAsia"/>
          <w:sz w:val="24"/>
          <w:szCs w:val="16"/>
        </w:rPr>
        <w:t>借鉴本项目及同类型项目建设成功的施工管理措施及经验，树立按</w:t>
      </w:r>
      <w:r>
        <w:rPr>
          <w:rFonts w:ascii="Times New Roman"/>
          <w:sz w:val="24"/>
          <w:szCs w:val="16"/>
        </w:rPr>
        <w:t>“</w:t>
      </w:r>
      <w:r>
        <w:rPr>
          <w:rFonts w:ascii="Times New Roman" w:hint="eastAsia"/>
          <w:sz w:val="24"/>
          <w:szCs w:val="16"/>
        </w:rPr>
        <w:t>规范</w:t>
      </w:r>
      <w:r>
        <w:rPr>
          <w:rFonts w:ascii="Times New Roman"/>
          <w:sz w:val="24"/>
          <w:szCs w:val="16"/>
        </w:rPr>
        <w:t>”</w:t>
      </w:r>
      <w:r>
        <w:rPr>
          <w:rFonts w:ascii="Times New Roman" w:hint="eastAsia"/>
          <w:sz w:val="24"/>
          <w:szCs w:val="16"/>
        </w:rPr>
        <w:t>和</w:t>
      </w:r>
      <w:r>
        <w:rPr>
          <w:rFonts w:ascii="Times New Roman"/>
          <w:sz w:val="24"/>
          <w:szCs w:val="16"/>
        </w:rPr>
        <w:t>“</w:t>
      </w:r>
      <w:r>
        <w:rPr>
          <w:rFonts w:ascii="Times New Roman" w:hint="eastAsia"/>
          <w:sz w:val="24"/>
          <w:szCs w:val="16"/>
        </w:rPr>
        <w:t>惯例</w:t>
      </w:r>
      <w:r>
        <w:rPr>
          <w:rFonts w:ascii="Times New Roman"/>
          <w:sz w:val="24"/>
          <w:szCs w:val="16"/>
        </w:rPr>
        <w:t>”</w:t>
      </w:r>
      <w:r>
        <w:rPr>
          <w:rFonts w:ascii="Times New Roman" w:hint="eastAsia"/>
          <w:sz w:val="24"/>
          <w:szCs w:val="16"/>
        </w:rPr>
        <w:t>运作的观念，建立</w:t>
      </w:r>
      <w:r>
        <w:rPr>
          <w:rFonts w:ascii="Times New Roman"/>
          <w:sz w:val="24"/>
          <w:szCs w:val="16"/>
        </w:rPr>
        <w:t>“</w:t>
      </w:r>
      <w:r>
        <w:rPr>
          <w:rFonts w:ascii="Times New Roman" w:hint="eastAsia"/>
          <w:sz w:val="24"/>
          <w:szCs w:val="16"/>
        </w:rPr>
        <w:t>工程监理制和业主代表驻地制相结合</w:t>
      </w:r>
      <w:r>
        <w:rPr>
          <w:rFonts w:ascii="Times New Roman"/>
          <w:sz w:val="24"/>
          <w:szCs w:val="16"/>
        </w:rPr>
        <w:t>”</w:t>
      </w:r>
      <w:r>
        <w:rPr>
          <w:rFonts w:ascii="Times New Roman" w:hint="eastAsia"/>
          <w:sz w:val="24"/>
          <w:szCs w:val="16"/>
        </w:rPr>
        <w:t>的管理模式。具体做法是：在施工阶段将作</w:t>
      </w:r>
      <w:r>
        <w:rPr>
          <w:rFonts w:ascii="Times New Roman" w:hint="eastAsia"/>
          <w:sz w:val="24"/>
          <w:szCs w:val="16"/>
        </w:rPr>
        <w:t>好水土保持工作明确写入施工合同中，利用各种奖惩措施促使施工单位采取科学、合理的施工工艺，保证项目建设影响范围内的土体稳定性，搞好项目建设自身的水土保持工作，尽量减少扰动地表面积，从现场施工尽量减少工程带来的水土流失影响。</w:t>
      </w:r>
    </w:p>
    <w:p w:rsidR="00F44F7B" w:rsidRDefault="00730D49">
      <w:pPr>
        <w:pStyle w:val="BZDL1"/>
        <w:spacing w:beforeLines="0" w:before="0" w:afterLines="0" w:after="0" w:line="360" w:lineRule="auto"/>
        <w:ind w:firstLine="480"/>
        <w:rPr>
          <w:rFonts w:ascii="Times New Roman"/>
          <w:sz w:val="24"/>
          <w:szCs w:val="16"/>
        </w:rPr>
      </w:pPr>
      <w:r>
        <w:rPr>
          <w:rFonts w:ascii="Times New Roman" w:hint="eastAsia"/>
          <w:sz w:val="24"/>
          <w:szCs w:val="16"/>
        </w:rPr>
        <w:t>以下为类似工程水土保持措施实景图片，对本项目具有借鉴意义。</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260"/>
        <w:gridCol w:w="4260"/>
      </w:tblGrid>
      <w:tr w:rsidR="00F44F7B">
        <w:trPr>
          <w:trHeight w:val="20"/>
        </w:trPr>
        <w:tc>
          <w:tcPr>
            <w:tcW w:w="4260" w:type="dxa"/>
            <w:tcBorders>
              <w:top w:val="single" w:sz="4" w:space="0" w:color="000000"/>
              <w:left w:val="single" w:sz="4" w:space="0" w:color="000000"/>
              <w:bottom w:val="single" w:sz="4" w:space="0" w:color="000000"/>
              <w:right w:val="single" w:sz="4" w:space="0" w:color="000000"/>
            </w:tcBorders>
          </w:tcPr>
          <w:p w:rsidR="00F44F7B" w:rsidRDefault="00730D49">
            <w:pPr>
              <w:widowControl/>
              <w:jc w:val="center"/>
              <w:rPr>
                <w:b/>
                <w:szCs w:val="24"/>
              </w:rPr>
            </w:pPr>
            <w:r>
              <w:rPr>
                <w:rFonts w:ascii="Calibri" w:eastAsia="宋体" w:hAnsi="Calibri"/>
                <w:noProof/>
                <w:sz w:val="21"/>
              </w:rPr>
              <w:drawing>
                <wp:inline distT="0" distB="0" distL="0" distR="0">
                  <wp:extent cx="2565400" cy="1955800"/>
                  <wp:effectExtent l="0" t="0" r="635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565400" cy="1955800"/>
                          </a:xfrm>
                          <a:prstGeom prst="rect">
                            <a:avLst/>
                          </a:prstGeom>
                          <a:noFill/>
                          <a:ln>
                            <a:noFill/>
                          </a:ln>
                        </pic:spPr>
                      </pic:pic>
                    </a:graphicData>
                  </a:graphic>
                </wp:inline>
              </w:drawing>
            </w:r>
            <w:r>
              <w:rPr>
                <w:rStyle w:val="Char5"/>
                <w:rFonts w:hint="eastAsia"/>
              </w:rPr>
              <w:t>图</w:t>
            </w:r>
            <w:r>
              <w:rPr>
                <w:rStyle w:val="Char5"/>
                <w:rFonts w:hint="eastAsia"/>
              </w:rPr>
              <w:t>2-</w:t>
            </w:r>
            <w:r>
              <w:rPr>
                <w:rStyle w:val="Char5"/>
              </w:rPr>
              <w:t xml:space="preserve">1  </w:t>
            </w:r>
            <w:r>
              <w:rPr>
                <w:rStyle w:val="Char5"/>
                <w:rFonts w:hint="eastAsia"/>
              </w:rPr>
              <w:t>密目网苫盖</w:t>
            </w:r>
          </w:p>
        </w:tc>
        <w:tc>
          <w:tcPr>
            <w:tcW w:w="4260" w:type="dxa"/>
            <w:tcBorders>
              <w:top w:val="single" w:sz="4" w:space="0" w:color="000000"/>
              <w:left w:val="single" w:sz="4" w:space="0" w:color="000000"/>
              <w:bottom w:val="single" w:sz="4" w:space="0" w:color="000000"/>
              <w:right w:val="single" w:sz="4" w:space="0" w:color="000000"/>
            </w:tcBorders>
          </w:tcPr>
          <w:p w:rsidR="00F44F7B" w:rsidRDefault="00730D49">
            <w:pPr>
              <w:widowControl/>
              <w:jc w:val="center"/>
              <w:rPr>
                <w:b/>
                <w:szCs w:val="24"/>
              </w:rPr>
            </w:pPr>
            <w:r>
              <w:rPr>
                <w:noProof/>
              </w:rPr>
              <w:drawing>
                <wp:inline distT="0" distB="0" distL="0" distR="0">
                  <wp:extent cx="2565400" cy="1955800"/>
                  <wp:effectExtent l="0" t="0" r="635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565400" cy="1955800"/>
                          </a:xfrm>
                          <a:prstGeom prst="rect">
                            <a:avLst/>
                          </a:prstGeom>
                          <a:noFill/>
                          <a:ln>
                            <a:noFill/>
                          </a:ln>
                        </pic:spPr>
                      </pic:pic>
                    </a:graphicData>
                  </a:graphic>
                </wp:inline>
              </w:drawing>
            </w:r>
            <w:r>
              <w:rPr>
                <w:rStyle w:val="Char5"/>
                <w:rFonts w:hint="eastAsia"/>
              </w:rPr>
              <w:t>图</w:t>
            </w:r>
            <w:r>
              <w:rPr>
                <w:rStyle w:val="Char5"/>
                <w:rFonts w:hint="eastAsia"/>
              </w:rPr>
              <w:t>2-</w:t>
            </w:r>
            <w:r>
              <w:rPr>
                <w:rStyle w:val="Char5"/>
              </w:rPr>
              <w:t xml:space="preserve">2  </w:t>
            </w:r>
            <w:r>
              <w:rPr>
                <w:rStyle w:val="Char5"/>
                <w:rFonts w:hint="eastAsia"/>
              </w:rPr>
              <w:t>防雨布苫盖及土袋拦挡</w:t>
            </w:r>
          </w:p>
        </w:tc>
      </w:tr>
      <w:tr w:rsidR="00F44F7B">
        <w:trPr>
          <w:trHeight w:val="20"/>
        </w:trPr>
        <w:tc>
          <w:tcPr>
            <w:tcW w:w="4260" w:type="dxa"/>
            <w:tcBorders>
              <w:top w:val="single" w:sz="4" w:space="0" w:color="000000"/>
              <w:left w:val="single" w:sz="4" w:space="0" w:color="000000"/>
              <w:bottom w:val="single" w:sz="4" w:space="0" w:color="000000"/>
              <w:right w:val="single" w:sz="4" w:space="0" w:color="000000"/>
            </w:tcBorders>
          </w:tcPr>
          <w:p w:rsidR="00F44F7B" w:rsidRDefault="00730D49">
            <w:pPr>
              <w:widowControl/>
              <w:jc w:val="center"/>
              <w:rPr>
                <w:b/>
                <w:szCs w:val="24"/>
              </w:rPr>
            </w:pPr>
            <w:r>
              <w:rPr>
                <w:b/>
                <w:noProof/>
                <w:szCs w:val="24"/>
              </w:rPr>
              <w:drawing>
                <wp:inline distT="0" distB="0" distL="0" distR="0">
                  <wp:extent cx="2565400" cy="1905000"/>
                  <wp:effectExtent l="0" t="0" r="6350" b="0"/>
                  <wp:docPr id="8" name="图片 8" descr="说明: Q1_~{RZPDX((EORS3C}@)M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说明: Q1_~{RZPDX((EORS3C}@)M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565400" cy="1905000"/>
                          </a:xfrm>
                          <a:prstGeom prst="rect">
                            <a:avLst/>
                          </a:prstGeom>
                          <a:noFill/>
                          <a:ln>
                            <a:noFill/>
                          </a:ln>
                        </pic:spPr>
                      </pic:pic>
                    </a:graphicData>
                  </a:graphic>
                </wp:inline>
              </w:drawing>
            </w:r>
            <w:r>
              <w:rPr>
                <w:rStyle w:val="Char5"/>
                <w:rFonts w:hint="eastAsia"/>
              </w:rPr>
              <w:t>图</w:t>
            </w:r>
            <w:r>
              <w:rPr>
                <w:rStyle w:val="Char5"/>
                <w:rFonts w:hint="eastAsia"/>
              </w:rPr>
              <w:t>2-</w:t>
            </w:r>
            <w:r>
              <w:rPr>
                <w:rStyle w:val="Char5"/>
              </w:rPr>
              <w:t xml:space="preserve">3  </w:t>
            </w:r>
            <w:r>
              <w:rPr>
                <w:rStyle w:val="Char5"/>
                <w:rFonts w:hint="eastAsia"/>
              </w:rPr>
              <w:t>集水坑</w:t>
            </w:r>
          </w:p>
        </w:tc>
        <w:tc>
          <w:tcPr>
            <w:tcW w:w="4260" w:type="dxa"/>
            <w:tcBorders>
              <w:top w:val="single" w:sz="4" w:space="0" w:color="000000"/>
              <w:left w:val="single" w:sz="4" w:space="0" w:color="000000"/>
              <w:bottom w:val="single" w:sz="4" w:space="0" w:color="000000"/>
              <w:right w:val="single" w:sz="4" w:space="0" w:color="000000"/>
            </w:tcBorders>
          </w:tcPr>
          <w:p w:rsidR="00F44F7B" w:rsidRDefault="00730D49">
            <w:pPr>
              <w:widowControl/>
              <w:jc w:val="center"/>
              <w:rPr>
                <w:b/>
                <w:szCs w:val="24"/>
              </w:rPr>
            </w:pPr>
            <w:r>
              <w:rPr>
                <w:b/>
                <w:noProof/>
                <w:szCs w:val="24"/>
              </w:rPr>
              <w:drawing>
                <wp:inline distT="0" distB="0" distL="0" distR="0">
                  <wp:extent cx="2565400" cy="1917700"/>
                  <wp:effectExtent l="0" t="0" r="6350" b="6350"/>
                  <wp:docPr id="7" name="图片 7" descr="说明: V%TWWO6{XM2Z6PAVC[I[3Z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说明: V%TWWO6{XM2Z6PAVC[I[3Z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565400" cy="1917700"/>
                          </a:xfrm>
                          <a:prstGeom prst="rect">
                            <a:avLst/>
                          </a:prstGeom>
                          <a:noFill/>
                          <a:ln>
                            <a:noFill/>
                          </a:ln>
                        </pic:spPr>
                      </pic:pic>
                    </a:graphicData>
                  </a:graphic>
                </wp:inline>
              </w:drawing>
            </w:r>
            <w:r>
              <w:rPr>
                <w:rStyle w:val="Char5"/>
                <w:rFonts w:hint="eastAsia"/>
              </w:rPr>
              <w:t>图</w:t>
            </w:r>
            <w:r>
              <w:rPr>
                <w:rStyle w:val="Char5"/>
                <w:rFonts w:hint="eastAsia"/>
              </w:rPr>
              <w:t>2-</w:t>
            </w:r>
            <w:r>
              <w:rPr>
                <w:rStyle w:val="Char5"/>
              </w:rPr>
              <w:t xml:space="preserve">4  </w:t>
            </w:r>
            <w:r>
              <w:rPr>
                <w:rStyle w:val="Char5"/>
                <w:rFonts w:hint="eastAsia"/>
              </w:rPr>
              <w:t>临时排水沟</w:t>
            </w:r>
          </w:p>
        </w:tc>
      </w:tr>
    </w:tbl>
    <w:p w:rsidR="00F44F7B" w:rsidRDefault="00F44F7B">
      <w:bookmarkStart w:id="83" w:name="_Toc61605697"/>
      <w:bookmarkStart w:id="84" w:name="_Toc3658"/>
      <w:bookmarkStart w:id="85" w:name="_Toc61601218"/>
      <w:bookmarkStart w:id="86" w:name="_Toc9130470"/>
      <w:bookmarkStart w:id="87" w:name="_Toc61602715"/>
      <w:bookmarkStart w:id="88" w:name="_Toc32712"/>
      <w:bookmarkStart w:id="89" w:name="_Toc15299"/>
      <w:bookmarkStart w:id="90" w:name="_Toc23123"/>
      <w:bookmarkStart w:id="91" w:name="_Toc8749"/>
      <w:bookmarkEnd w:id="76"/>
      <w:bookmarkEnd w:id="77"/>
      <w:bookmarkEnd w:id="78"/>
    </w:p>
    <w:p w:rsidR="00F44F7B" w:rsidRDefault="00730D49">
      <w:pPr>
        <w:pStyle w:val="1"/>
        <w:rPr>
          <w:szCs w:val="22"/>
        </w:rPr>
      </w:pPr>
      <w:bookmarkStart w:id="92" w:name="_Toc28428"/>
      <w:r>
        <w:rPr>
          <w:rFonts w:hint="eastAsia"/>
          <w:szCs w:val="22"/>
        </w:rPr>
        <w:t>3</w:t>
      </w:r>
      <w:r>
        <w:rPr>
          <w:rFonts w:hint="eastAsia"/>
          <w:szCs w:val="22"/>
        </w:rPr>
        <w:t>水土流失防治责任范围及防治分区</w:t>
      </w:r>
      <w:bookmarkEnd w:id="92"/>
    </w:p>
    <w:p w:rsidR="00F44F7B" w:rsidRDefault="00730D49">
      <w:pPr>
        <w:pStyle w:val="2"/>
        <w:rPr>
          <w:szCs w:val="30"/>
        </w:rPr>
      </w:pPr>
      <w:bookmarkStart w:id="93" w:name="_Toc61601207"/>
      <w:bookmarkStart w:id="94" w:name="_Toc61605691"/>
      <w:bookmarkStart w:id="95" w:name="_Toc61602704"/>
      <w:bookmarkStart w:id="96" w:name="_Toc21089"/>
      <w:r>
        <w:rPr>
          <w:rFonts w:hint="eastAsia"/>
          <w:szCs w:val="30"/>
        </w:rPr>
        <w:t>3</w:t>
      </w:r>
      <w:r>
        <w:rPr>
          <w:szCs w:val="30"/>
        </w:rPr>
        <w:t>.1</w:t>
      </w:r>
      <w:r>
        <w:rPr>
          <w:rFonts w:hint="eastAsia"/>
          <w:szCs w:val="30"/>
        </w:rPr>
        <w:t>水土流失防治责任范围</w:t>
      </w:r>
      <w:bookmarkEnd w:id="93"/>
      <w:bookmarkEnd w:id="94"/>
      <w:bookmarkEnd w:id="95"/>
      <w:bookmarkEnd w:id="96"/>
    </w:p>
    <w:p w:rsidR="00F44F7B" w:rsidRDefault="00730D49">
      <w:pPr>
        <w:pStyle w:val="af1"/>
        <w:ind w:firstLine="480"/>
        <w:rPr>
          <w:szCs w:val="16"/>
        </w:rPr>
      </w:pPr>
      <w:r>
        <w:rPr>
          <w:szCs w:val="16"/>
        </w:rPr>
        <w:lastRenderedPageBreak/>
        <w:t>项目水土流失防治责任范围主要包括项目永久占地、临时占地、租赁土地、管辖范围等土地权属明确需由建设单位对其区域内的水土流失进行预防或治理的范围。根据对本项目的布置、施工特点、水土流失特征分析，确定水土流失防治责任范围总面积</w:t>
      </w:r>
      <w:r>
        <w:rPr>
          <w:rFonts w:hint="eastAsia"/>
          <w:color w:val="0000FF"/>
          <w:szCs w:val="16"/>
        </w:rPr>
        <w:t>0.43h</w:t>
      </w:r>
      <w:r>
        <w:rPr>
          <w:color w:val="0000FF"/>
          <w:szCs w:val="16"/>
        </w:rPr>
        <w:t>m</w:t>
      </w:r>
      <w:r>
        <w:rPr>
          <w:color w:val="0000FF"/>
          <w:szCs w:val="16"/>
          <w:vertAlign w:val="superscript"/>
        </w:rPr>
        <w:t>2</w:t>
      </w:r>
      <w:r>
        <w:rPr>
          <w:color w:val="0000FF"/>
          <w:szCs w:val="16"/>
        </w:rPr>
        <w:t>。</w:t>
      </w:r>
    </w:p>
    <w:p w:rsidR="00F44F7B" w:rsidRDefault="00730D49">
      <w:pPr>
        <w:pStyle w:val="2"/>
        <w:rPr>
          <w:szCs w:val="30"/>
        </w:rPr>
      </w:pPr>
      <w:bookmarkStart w:id="97" w:name="_Toc61602705"/>
      <w:bookmarkStart w:id="98" w:name="_Toc61601208"/>
      <w:bookmarkStart w:id="99" w:name="_Toc61605692"/>
      <w:bookmarkStart w:id="100" w:name="_Toc41"/>
      <w:r>
        <w:rPr>
          <w:rFonts w:hint="eastAsia"/>
          <w:szCs w:val="30"/>
        </w:rPr>
        <w:t>3</w:t>
      </w:r>
      <w:r>
        <w:rPr>
          <w:szCs w:val="30"/>
        </w:rPr>
        <w:t>.</w:t>
      </w:r>
      <w:r>
        <w:rPr>
          <w:rFonts w:hint="eastAsia"/>
          <w:szCs w:val="30"/>
        </w:rPr>
        <w:t>2</w:t>
      </w:r>
      <w:r>
        <w:rPr>
          <w:rFonts w:hint="eastAsia"/>
          <w:szCs w:val="30"/>
        </w:rPr>
        <w:t>水土流失防治分区</w:t>
      </w:r>
      <w:bookmarkEnd w:id="97"/>
      <w:bookmarkEnd w:id="98"/>
      <w:bookmarkEnd w:id="99"/>
      <w:bookmarkEnd w:id="100"/>
    </w:p>
    <w:p w:rsidR="00F44F7B" w:rsidRDefault="00730D49">
      <w:pPr>
        <w:widowControl/>
        <w:autoSpaceDE w:val="0"/>
        <w:autoSpaceDN w:val="0"/>
        <w:adjustRightInd/>
        <w:snapToGrid/>
        <w:spacing w:line="360" w:lineRule="auto"/>
        <w:ind w:firstLineChars="200" w:firstLine="480"/>
        <w:rPr>
          <w:szCs w:val="16"/>
        </w:rPr>
      </w:pPr>
      <w:r>
        <w:rPr>
          <w:szCs w:val="16"/>
        </w:rPr>
        <w:t>根据上述分区原则与依据，结合本项目的特点，将本项目划分成</w:t>
      </w:r>
      <w:r>
        <w:rPr>
          <w:szCs w:val="16"/>
        </w:rPr>
        <w:t>2</w:t>
      </w:r>
      <w:r>
        <w:rPr>
          <w:szCs w:val="16"/>
        </w:rPr>
        <w:t>个水土流失一级防治区，</w:t>
      </w:r>
      <w:r>
        <w:rPr>
          <w:color w:val="0000FF"/>
          <w:szCs w:val="16"/>
        </w:rPr>
        <w:t>分别是</w:t>
      </w:r>
      <w:r>
        <w:rPr>
          <w:rFonts w:hint="eastAsia"/>
          <w:color w:val="0000FF"/>
          <w:szCs w:val="16"/>
        </w:rPr>
        <w:t>建构筑物区和配套设施区</w:t>
      </w:r>
      <w:r>
        <w:rPr>
          <w:szCs w:val="16"/>
        </w:rPr>
        <w:t>。根据现场调查，确定本项目水土保持防治责任范围，详见表</w:t>
      </w:r>
      <w:r>
        <w:rPr>
          <w:szCs w:val="16"/>
        </w:rPr>
        <w:t>3-</w:t>
      </w:r>
      <w:r>
        <w:rPr>
          <w:rFonts w:hint="eastAsia"/>
          <w:szCs w:val="16"/>
        </w:rPr>
        <w:t>1</w:t>
      </w:r>
      <w:r>
        <w:rPr>
          <w:szCs w:val="16"/>
        </w:rPr>
        <w:t>。</w:t>
      </w:r>
    </w:p>
    <w:p w:rsidR="00F44F7B" w:rsidRDefault="00730D49">
      <w:pPr>
        <w:pStyle w:val="08522"/>
        <w:jc w:val="center"/>
        <w:rPr>
          <w:b/>
          <w:sz w:val="22"/>
          <w:szCs w:val="22"/>
        </w:rPr>
      </w:pPr>
      <w:r>
        <w:rPr>
          <w:b/>
          <w:sz w:val="22"/>
          <w:szCs w:val="22"/>
        </w:rPr>
        <w:t>表</w:t>
      </w:r>
      <w:r>
        <w:rPr>
          <w:b/>
          <w:sz w:val="22"/>
          <w:szCs w:val="22"/>
        </w:rPr>
        <w:t>3-</w:t>
      </w:r>
      <w:r>
        <w:rPr>
          <w:rFonts w:hint="eastAsia"/>
          <w:b/>
          <w:sz w:val="22"/>
          <w:szCs w:val="22"/>
        </w:rPr>
        <w:t>1</w:t>
      </w:r>
      <w:r>
        <w:rPr>
          <w:b/>
          <w:sz w:val="22"/>
          <w:szCs w:val="22"/>
        </w:rPr>
        <w:t xml:space="preserve"> </w:t>
      </w:r>
      <w:r>
        <w:rPr>
          <w:b/>
          <w:sz w:val="22"/>
          <w:szCs w:val="22"/>
        </w:rPr>
        <w:t>项目建设区水土保持防治责任范围表</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63"/>
        <w:gridCol w:w="2167"/>
        <w:gridCol w:w="2274"/>
        <w:gridCol w:w="2169"/>
      </w:tblGrid>
      <w:tr w:rsidR="00F44F7B">
        <w:trPr>
          <w:trHeight w:hRule="exact" w:val="283"/>
          <w:jc w:val="center"/>
        </w:trPr>
        <w:tc>
          <w:tcPr>
            <w:tcW w:w="1248" w:type="pct"/>
            <w:vMerge w:val="restart"/>
            <w:tcBorders>
              <w:tl2br w:val="nil"/>
              <w:tr2bl w:val="nil"/>
            </w:tcBorders>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项目组成</w:t>
            </w:r>
          </w:p>
        </w:tc>
        <w:tc>
          <w:tcPr>
            <w:tcW w:w="1250" w:type="pct"/>
            <w:vMerge w:val="restart"/>
            <w:tcBorders>
              <w:tl2br w:val="nil"/>
              <w:tr2bl w:val="nil"/>
            </w:tcBorders>
            <w:noWrap/>
            <w:tcMar>
              <w:top w:w="15" w:type="dxa"/>
              <w:left w:w="15" w:type="dxa"/>
              <w:right w:w="15" w:type="dxa"/>
            </w:tcMar>
            <w:vAlign w:val="center"/>
          </w:tcPr>
          <w:p w:rsidR="00F44F7B" w:rsidRDefault="00730D49">
            <w:pPr>
              <w:widowControl/>
              <w:jc w:val="center"/>
              <w:textAlignment w:val="center"/>
              <w:rPr>
                <w:color w:val="0000FF"/>
                <w:kern w:val="0"/>
                <w:sz w:val="21"/>
                <w:szCs w:val="21"/>
                <w:lang w:bidi="ar"/>
              </w:rPr>
            </w:pPr>
            <w:r>
              <w:rPr>
                <w:color w:val="0000FF"/>
                <w:kern w:val="0"/>
                <w:sz w:val="21"/>
                <w:szCs w:val="21"/>
                <w:lang w:bidi="ar"/>
              </w:rPr>
              <w:t>小计</w:t>
            </w:r>
            <w:r>
              <w:rPr>
                <w:rFonts w:hint="eastAsia"/>
                <w:color w:val="0000FF"/>
                <w:kern w:val="0"/>
                <w:sz w:val="21"/>
                <w:szCs w:val="21"/>
                <w:lang w:bidi="ar"/>
              </w:rPr>
              <w:t>（</w:t>
            </w:r>
            <w:r>
              <w:rPr>
                <w:rFonts w:hint="eastAsia"/>
                <w:color w:val="0000FF"/>
                <w:kern w:val="0"/>
                <w:sz w:val="21"/>
                <w:szCs w:val="21"/>
                <w:lang w:bidi="ar"/>
              </w:rPr>
              <w:t>m</w:t>
            </w:r>
            <w:r>
              <w:rPr>
                <w:color w:val="0000FF"/>
                <w:kern w:val="0"/>
                <w:sz w:val="21"/>
                <w:szCs w:val="21"/>
                <w:vertAlign w:val="superscript"/>
                <w:lang w:bidi="ar"/>
              </w:rPr>
              <w:t>2</w:t>
            </w:r>
            <w:r>
              <w:rPr>
                <w:rFonts w:hint="eastAsia"/>
                <w:color w:val="0000FF"/>
                <w:kern w:val="0"/>
                <w:sz w:val="21"/>
                <w:szCs w:val="21"/>
                <w:lang w:bidi="ar"/>
              </w:rPr>
              <w:t>）</w:t>
            </w:r>
          </w:p>
        </w:tc>
        <w:tc>
          <w:tcPr>
            <w:tcW w:w="2501" w:type="pct"/>
            <w:gridSpan w:val="2"/>
            <w:tcBorders>
              <w:tl2br w:val="nil"/>
              <w:tr2bl w:val="nil"/>
            </w:tcBorders>
            <w:noWrap/>
            <w:tcMar>
              <w:top w:w="15" w:type="dxa"/>
              <w:left w:w="15" w:type="dxa"/>
              <w:right w:w="15" w:type="dxa"/>
            </w:tcMar>
            <w:vAlign w:val="center"/>
          </w:tcPr>
          <w:p w:rsidR="00F44F7B" w:rsidRDefault="00730D49">
            <w:pPr>
              <w:widowControl/>
              <w:jc w:val="center"/>
              <w:textAlignment w:val="center"/>
              <w:rPr>
                <w:color w:val="0000FF"/>
                <w:kern w:val="0"/>
                <w:sz w:val="21"/>
                <w:szCs w:val="21"/>
                <w:lang w:bidi="ar"/>
              </w:rPr>
            </w:pPr>
            <w:r>
              <w:rPr>
                <w:color w:val="0000FF"/>
                <w:kern w:val="0"/>
                <w:sz w:val="21"/>
                <w:szCs w:val="21"/>
                <w:lang w:bidi="ar"/>
              </w:rPr>
              <w:t>水土保持防治责任范围表</w:t>
            </w:r>
          </w:p>
        </w:tc>
      </w:tr>
      <w:tr w:rsidR="00F44F7B">
        <w:trPr>
          <w:trHeight w:hRule="exact" w:val="283"/>
          <w:jc w:val="center"/>
        </w:trPr>
        <w:tc>
          <w:tcPr>
            <w:tcW w:w="1248" w:type="pct"/>
            <w:vMerge/>
            <w:tcBorders>
              <w:tl2br w:val="nil"/>
              <w:tr2bl w:val="nil"/>
            </w:tcBorders>
            <w:noWrap/>
            <w:tcMar>
              <w:top w:w="15" w:type="dxa"/>
              <w:left w:w="15" w:type="dxa"/>
              <w:right w:w="15" w:type="dxa"/>
            </w:tcMar>
            <w:vAlign w:val="center"/>
          </w:tcPr>
          <w:p w:rsidR="00F44F7B" w:rsidRDefault="00F44F7B">
            <w:pPr>
              <w:widowControl/>
              <w:jc w:val="center"/>
              <w:textAlignment w:val="center"/>
              <w:rPr>
                <w:color w:val="0000FF"/>
                <w:sz w:val="21"/>
                <w:szCs w:val="21"/>
              </w:rPr>
            </w:pPr>
          </w:p>
        </w:tc>
        <w:tc>
          <w:tcPr>
            <w:tcW w:w="1250" w:type="pct"/>
            <w:vMerge/>
            <w:tcBorders>
              <w:tl2br w:val="nil"/>
              <w:tr2bl w:val="nil"/>
            </w:tcBorders>
            <w:noWrap/>
            <w:tcMar>
              <w:top w:w="15" w:type="dxa"/>
              <w:left w:w="15" w:type="dxa"/>
              <w:right w:w="15" w:type="dxa"/>
            </w:tcMar>
            <w:vAlign w:val="center"/>
          </w:tcPr>
          <w:p w:rsidR="00F44F7B" w:rsidRDefault="00F44F7B">
            <w:pPr>
              <w:widowControl/>
              <w:jc w:val="center"/>
              <w:textAlignment w:val="center"/>
              <w:rPr>
                <w:color w:val="0000FF"/>
                <w:kern w:val="0"/>
                <w:sz w:val="21"/>
                <w:szCs w:val="21"/>
                <w:lang w:bidi="ar"/>
              </w:rPr>
            </w:pPr>
          </w:p>
        </w:tc>
        <w:tc>
          <w:tcPr>
            <w:tcW w:w="1250" w:type="pct"/>
            <w:tcBorders>
              <w:tl2br w:val="nil"/>
              <w:tr2bl w:val="nil"/>
            </w:tcBorders>
            <w:noWrap/>
            <w:tcMar>
              <w:top w:w="15" w:type="dxa"/>
              <w:left w:w="15" w:type="dxa"/>
              <w:right w:w="15" w:type="dxa"/>
            </w:tcMar>
            <w:vAlign w:val="center"/>
          </w:tcPr>
          <w:p w:rsidR="00F44F7B" w:rsidRDefault="00730D49">
            <w:pPr>
              <w:widowControl/>
              <w:jc w:val="center"/>
              <w:textAlignment w:val="center"/>
              <w:rPr>
                <w:color w:val="0000FF"/>
                <w:kern w:val="0"/>
                <w:sz w:val="21"/>
                <w:szCs w:val="21"/>
                <w:lang w:bidi="ar"/>
              </w:rPr>
            </w:pPr>
            <w:r>
              <w:rPr>
                <w:color w:val="0000FF"/>
                <w:kern w:val="0"/>
                <w:sz w:val="21"/>
                <w:szCs w:val="21"/>
                <w:lang w:bidi="ar"/>
              </w:rPr>
              <w:t>项目建设区</w:t>
            </w:r>
          </w:p>
        </w:tc>
        <w:tc>
          <w:tcPr>
            <w:tcW w:w="1251" w:type="pct"/>
            <w:tcBorders>
              <w:tl2br w:val="nil"/>
              <w:tr2bl w:val="nil"/>
            </w:tcBorders>
            <w:noWrap/>
            <w:tcMar>
              <w:top w:w="15" w:type="dxa"/>
              <w:left w:w="15" w:type="dxa"/>
              <w:right w:w="15" w:type="dxa"/>
            </w:tcMar>
            <w:vAlign w:val="center"/>
          </w:tcPr>
          <w:p w:rsidR="00F44F7B" w:rsidRDefault="00730D49">
            <w:pPr>
              <w:widowControl/>
              <w:jc w:val="center"/>
              <w:textAlignment w:val="center"/>
              <w:rPr>
                <w:color w:val="0000FF"/>
                <w:kern w:val="0"/>
                <w:sz w:val="21"/>
                <w:szCs w:val="21"/>
                <w:lang w:bidi="ar"/>
              </w:rPr>
            </w:pPr>
            <w:r>
              <w:rPr>
                <w:color w:val="0000FF"/>
                <w:kern w:val="0"/>
                <w:sz w:val="21"/>
                <w:szCs w:val="21"/>
                <w:lang w:bidi="ar"/>
              </w:rPr>
              <w:t>直接影响区</w:t>
            </w:r>
          </w:p>
        </w:tc>
      </w:tr>
      <w:tr w:rsidR="00F44F7B">
        <w:trPr>
          <w:trHeight w:hRule="exact" w:val="283"/>
          <w:jc w:val="center"/>
        </w:trPr>
        <w:tc>
          <w:tcPr>
            <w:tcW w:w="1248" w:type="pct"/>
            <w:tcBorders>
              <w:tl2br w:val="nil"/>
              <w:tr2bl w:val="nil"/>
            </w:tcBorders>
            <w:noWrap/>
            <w:tcMar>
              <w:top w:w="15" w:type="dxa"/>
              <w:left w:w="15" w:type="dxa"/>
              <w:right w:w="15" w:type="dxa"/>
            </w:tcMar>
            <w:vAlign w:val="center"/>
          </w:tcPr>
          <w:p w:rsidR="00F44F7B" w:rsidRDefault="00730D49">
            <w:pPr>
              <w:widowControl/>
              <w:jc w:val="center"/>
              <w:textAlignment w:val="center"/>
              <w:rPr>
                <w:color w:val="0000FF"/>
                <w:sz w:val="21"/>
                <w:szCs w:val="21"/>
              </w:rPr>
            </w:pPr>
            <w:r>
              <w:rPr>
                <w:rFonts w:hint="eastAsia"/>
                <w:color w:val="0000FF"/>
                <w:kern w:val="0"/>
                <w:sz w:val="21"/>
                <w:szCs w:val="21"/>
                <w:lang w:bidi="ar"/>
              </w:rPr>
              <w:t>建构筑物</w:t>
            </w:r>
            <w:r>
              <w:rPr>
                <w:color w:val="0000FF"/>
                <w:kern w:val="0"/>
                <w:sz w:val="21"/>
                <w:szCs w:val="21"/>
                <w:lang w:bidi="ar"/>
              </w:rPr>
              <w:t>区</w:t>
            </w:r>
          </w:p>
        </w:tc>
        <w:tc>
          <w:tcPr>
            <w:tcW w:w="1250" w:type="pct"/>
            <w:tcBorders>
              <w:tl2br w:val="nil"/>
              <w:tr2bl w:val="nil"/>
            </w:tcBorders>
            <w:noWrap/>
            <w:tcMar>
              <w:top w:w="15" w:type="dxa"/>
              <w:left w:w="15" w:type="dxa"/>
              <w:right w:w="15" w:type="dxa"/>
            </w:tcMar>
            <w:vAlign w:val="center"/>
          </w:tcPr>
          <w:p w:rsidR="00F44F7B" w:rsidRDefault="00730D49">
            <w:pPr>
              <w:widowControl/>
              <w:jc w:val="center"/>
              <w:textAlignment w:val="center"/>
              <w:rPr>
                <w:bCs/>
                <w:color w:val="0000FF"/>
                <w:kern w:val="0"/>
                <w:sz w:val="21"/>
                <w:szCs w:val="21"/>
              </w:rPr>
            </w:pPr>
            <w:r>
              <w:rPr>
                <w:rFonts w:hint="eastAsia"/>
                <w:bCs/>
                <w:color w:val="0000FF"/>
                <w:kern w:val="0"/>
                <w:sz w:val="21"/>
                <w:szCs w:val="21"/>
              </w:rPr>
              <w:t>0.16</w:t>
            </w:r>
          </w:p>
        </w:tc>
        <w:tc>
          <w:tcPr>
            <w:tcW w:w="2274" w:type="dxa"/>
            <w:tcBorders>
              <w:tl2br w:val="nil"/>
              <w:tr2bl w:val="nil"/>
            </w:tcBorders>
            <w:noWrap/>
            <w:tcMar>
              <w:top w:w="15" w:type="dxa"/>
              <w:left w:w="15" w:type="dxa"/>
              <w:right w:w="15" w:type="dxa"/>
            </w:tcMar>
            <w:vAlign w:val="center"/>
          </w:tcPr>
          <w:p w:rsidR="00F44F7B" w:rsidRDefault="00730D49">
            <w:pPr>
              <w:widowControl/>
              <w:jc w:val="center"/>
              <w:textAlignment w:val="center"/>
              <w:rPr>
                <w:bCs/>
                <w:color w:val="0000FF"/>
                <w:kern w:val="0"/>
                <w:sz w:val="21"/>
                <w:szCs w:val="21"/>
              </w:rPr>
            </w:pPr>
            <w:r>
              <w:rPr>
                <w:rFonts w:hint="eastAsia"/>
                <w:bCs/>
                <w:color w:val="0000FF"/>
                <w:kern w:val="0"/>
                <w:sz w:val="21"/>
                <w:szCs w:val="21"/>
              </w:rPr>
              <w:t>0.16</w:t>
            </w:r>
          </w:p>
        </w:tc>
        <w:tc>
          <w:tcPr>
            <w:tcW w:w="1251" w:type="pct"/>
            <w:tcBorders>
              <w:tl2br w:val="nil"/>
              <w:tr2bl w:val="nil"/>
            </w:tcBorders>
            <w:noWrap/>
            <w:tcMar>
              <w:top w:w="15" w:type="dxa"/>
              <w:left w:w="15" w:type="dxa"/>
              <w:right w:w="15" w:type="dxa"/>
            </w:tcMar>
            <w:vAlign w:val="center"/>
          </w:tcPr>
          <w:p w:rsidR="00F44F7B" w:rsidRDefault="00730D49">
            <w:pPr>
              <w:widowControl/>
              <w:jc w:val="center"/>
              <w:textAlignment w:val="center"/>
              <w:rPr>
                <w:color w:val="0000FF"/>
                <w:kern w:val="0"/>
                <w:sz w:val="21"/>
                <w:szCs w:val="21"/>
                <w:lang w:bidi="ar"/>
              </w:rPr>
            </w:pPr>
            <w:r>
              <w:rPr>
                <w:color w:val="0000FF"/>
                <w:kern w:val="0"/>
                <w:sz w:val="21"/>
                <w:szCs w:val="21"/>
                <w:lang w:bidi="ar"/>
              </w:rPr>
              <w:t>-</w:t>
            </w:r>
          </w:p>
        </w:tc>
      </w:tr>
      <w:tr w:rsidR="00F44F7B">
        <w:trPr>
          <w:trHeight w:hRule="exact" w:val="283"/>
          <w:jc w:val="center"/>
        </w:trPr>
        <w:tc>
          <w:tcPr>
            <w:tcW w:w="1248" w:type="pct"/>
            <w:tcBorders>
              <w:tl2br w:val="nil"/>
              <w:tr2bl w:val="nil"/>
            </w:tcBorders>
            <w:noWrap/>
            <w:tcMar>
              <w:top w:w="15" w:type="dxa"/>
              <w:left w:w="15" w:type="dxa"/>
              <w:right w:w="15" w:type="dxa"/>
            </w:tcMar>
            <w:vAlign w:val="center"/>
          </w:tcPr>
          <w:p w:rsidR="00F44F7B" w:rsidRDefault="00730D49">
            <w:pPr>
              <w:widowControl/>
              <w:jc w:val="center"/>
              <w:textAlignment w:val="center"/>
              <w:rPr>
                <w:color w:val="0000FF"/>
                <w:sz w:val="21"/>
                <w:szCs w:val="21"/>
              </w:rPr>
            </w:pPr>
            <w:r>
              <w:rPr>
                <w:rFonts w:hint="eastAsia"/>
                <w:color w:val="0000FF"/>
                <w:kern w:val="0"/>
                <w:sz w:val="21"/>
                <w:szCs w:val="21"/>
                <w:lang w:bidi="ar"/>
              </w:rPr>
              <w:t>配套设施</w:t>
            </w:r>
            <w:r>
              <w:rPr>
                <w:color w:val="0000FF"/>
                <w:kern w:val="0"/>
                <w:sz w:val="21"/>
                <w:szCs w:val="21"/>
                <w:lang w:bidi="ar"/>
              </w:rPr>
              <w:t>区</w:t>
            </w:r>
          </w:p>
        </w:tc>
        <w:tc>
          <w:tcPr>
            <w:tcW w:w="1250" w:type="pct"/>
            <w:tcBorders>
              <w:tl2br w:val="nil"/>
              <w:tr2bl w:val="nil"/>
            </w:tcBorders>
            <w:noWrap/>
            <w:tcMar>
              <w:top w:w="15" w:type="dxa"/>
              <w:left w:w="15" w:type="dxa"/>
              <w:right w:w="15" w:type="dxa"/>
            </w:tcMar>
            <w:vAlign w:val="center"/>
          </w:tcPr>
          <w:p w:rsidR="00F44F7B" w:rsidRDefault="00730D49">
            <w:pPr>
              <w:widowControl/>
              <w:jc w:val="center"/>
              <w:textAlignment w:val="center"/>
              <w:rPr>
                <w:bCs/>
                <w:color w:val="0000FF"/>
                <w:kern w:val="0"/>
                <w:sz w:val="21"/>
                <w:szCs w:val="21"/>
              </w:rPr>
            </w:pPr>
            <w:r>
              <w:rPr>
                <w:rFonts w:hint="eastAsia"/>
                <w:color w:val="0000FF"/>
                <w:kern w:val="0"/>
                <w:sz w:val="21"/>
                <w:szCs w:val="21"/>
                <w:lang w:bidi="ar"/>
              </w:rPr>
              <w:t>0.27</w:t>
            </w:r>
          </w:p>
        </w:tc>
        <w:tc>
          <w:tcPr>
            <w:tcW w:w="2274" w:type="dxa"/>
            <w:tcBorders>
              <w:tl2br w:val="nil"/>
              <w:tr2bl w:val="nil"/>
            </w:tcBorders>
            <w:noWrap/>
            <w:tcMar>
              <w:top w:w="15" w:type="dxa"/>
              <w:left w:w="15" w:type="dxa"/>
              <w:right w:w="15" w:type="dxa"/>
            </w:tcMar>
            <w:vAlign w:val="center"/>
          </w:tcPr>
          <w:p w:rsidR="00F44F7B" w:rsidRDefault="00730D49">
            <w:pPr>
              <w:widowControl/>
              <w:jc w:val="center"/>
              <w:textAlignment w:val="center"/>
              <w:rPr>
                <w:bCs/>
                <w:color w:val="0000FF"/>
                <w:kern w:val="0"/>
                <w:sz w:val="21"/>
                <w:szCs w:val="21"/>
              </w:rPr>
            </w:pPr>
            <w:r>
              <w:rPr>
                <w:rFonts w:hint="eastAsia"/>
                <w:color w:val="0000FF"/>
                <w:kern w:val="0"/>
                <w:sz w:val="21"/>
                <w:szCs w:val="21"/>
                <w:lang w:bidi="ar"/>
              </w:rPr>
              <w:t>0.27</w:t>
            </w:r>
          </w:p>
        </w:tc>
        <w:tc>
          <w:tcPr>
            <w:tcW w:w="1251" w:type="pct"/>
            <w:tcBorders>
              <w:tl2br w:val="nil"/>
              <w:tr2bl w:val="nil"/>
            </w:tcBorders>
            <w:noWrap/>
            <w:tcMar>
              <w:top w:w="15" w:type="dxa"/>
              <w:left w:w="15" w:type="dxa"/>
              <w:right w:w="15" w:type="dxa"/>
            </w:tcMar>
            <w:vAlign w:val="center"/>
          </w:tcPr>
          <w:p w:rsidR="00F44F7B" w:rsidRDefault="00730D49">
            <w:pPr>
              <w:widowControl/>
              <w:jc w:val="center"/>
              <w:textAlignment w:val="center"/>
              <w:rPr>
                <w:color w:val="0000FF"/>
                <w:kern w:val="0"/>
                <w:sz w:val="21"/>
                <w:szCs w:val="21"/>
                <w:lang w:bidi="ar"/>
              </w:rPr>
            </w:pPr>
            <w:r>
              <w:rPr>
                <w:color w:val="0000FF"/>
                <w:kern w:val="0"/>
                <w:sz w:val="21"/>
                <w:szCs w:val="21"/>
                <w:lang w:bidi="ar"/>
              </w:rPr>
              <w:t>-</w:t>
            </w:r>
          </w:p>
        </w:tc>
      </w:tr>
      <w:tr w:rsidR="00F44F7B">
        <w:trPr>
          <w:trHeight w:hRule="exact" w:val="283"/>
          <w:jc w:val="center"/>
        </w:trPr>
        <w:tc>
          <w:tcPr>
            <w:tcW w:w="0" w:type="auto"/>
            <w:vAlign w:val="center"/>
          </w:tcPr>
          <w:p w:rsidR="00F44F7B" w:rsidRDefault="00730D49">
            <w:pPr>
              <w:widowControl/>
              <w:jc w:val="center"/>
              <w:textAlignment w:val="center"/>
              <w:rPr>
                <w:color w:val="0000FF"/>
                <w:sz w:val="21"/>
                <w:szCs w:val="21"/>
              </w:rPr>
            </w:pPr>
            <w:r>
              <w:rPr>
                <w:color w:val="0000FF"/>
                <w:sz w:val="21"/>
                <w:szCs w:val="21"/>
              </w:rPr>
              <w:t>合计</w:t>
            </w:r>
          </w:p>
        </w:tc>
        <w:tc>
          <w:tcPr>
            <w:tcW w:w="0" w:type="auto"/>
            <w:vAlign w:val="center"/>
          </w:tcPr>
          <w:p w:rsidR="00F44F7B" w:rsidRDefault="00730D49">
            <w:pPr>
              <w:widowControl/>
              <w:jc w:val="center"/>
              <w:textAlignment w:val="center"/>
              <w:rPr>
                <w:bCs/>
                <w:color w:val="0000FF"/>
                <w:kern w:val="0"/>
                <w:sz w:val="21"/>
                <w:szCs w:val="21"/>
              </w:rPr>
            </w:pPr>
            <w:r>
              <w:rPr>
                <w:rFonts w:hint="eastAsia"/>
                <w:bCs/>
                <w:color w:val="0000FF"/>
                <w:kern w:val="0"/>
                <w:sz w:val="21"/>
                <w:szCs w:val="21"/>
              </w:rPr>
              <w:t>0.43</w:t>
            </w:r>
          </w:p>
        </w:tc>
        <w:tc>
          <w:tcPr>
            <w:tcW w:w="2274" w:type="dxa"/>
            <w:vAlign w:val="center"/>
          </w:tcPr>
          <w:p w:rsidR="00F44F7B" w:rsidRDefault="00730D49">
            <w:pPr>
              <w:widowControl/>
              <w:jc w:val="center"/>
              <w:textAlignment w:val="center"/>
              <w:rPr>
                <w:bCs/>
                <w:color w:val="0000FF"/>
                <w:kern w:val="0"/>
                <w:sz w:val="21"/>
                <w:szCs w:val="21"/>
              </w:rPr>
            </w:pPr>
            <w:r>
              <w:rPr>
                <w:rFonts w:hint="eastAsia"/>
                <w:bCs/>
                <w:color w:val="0000FF"/>
                <w:kern w:val="0"/>
                <w:sz w:val="21"/>
                <w:szCs w:val="21"/>
              </w:rPr>
              <w:t>0.43</w:t>
            </w:r>
          </w:p>
        </w:tc>
        <w:tc>
          <w:tcPr>
            <w:tcW w:w="0" w:type="auto"/>
            <w:vAlign w:val="center"/>
          </w:tcPr>
          <w:p w:rsidR="00F44F7B" w:rsidRDefault="00730D49">
            <w:pPr>
              <w:widowControl/>
              <w:jc w:val="center"/>
              <w:textAlignment w:val="center"/>
              <w:rPr>
                <w:color w:val="0000FF"/>
                <w:kern w:val="0"/>
                <w:sz w:val="21"/>
                <w:szCs w:val="21"/>
                <w:lang w:bidi="ar"/>
              </w:rPr>
            </w:pPr>
            <w:r>
              <w:rPr>
                <w:color w:val="0000FF"/>
                <w:kern w:val="0"/>
                <w:sz w:val="21"/>
                <w:szCs w:val="21"/>
                <w:lang w:bidi="ar"/>
              </w:rPr>
              <w:t>-</w:t>
            </w:r>
          </w:p>
        </w:tc>
      </w:tr>
    </w:tbl>
    <w:p w:rsidR="00F44F7B" w:rsidRDefault="00730D49">
      <w:pPr>
        <w:pStyle w:val="1"/>
        <w:rPr>
          <w:szCs w:val="22"/>
        </w:rPr>
      </w:pPr>
      <w:bookmarkStart w:id="101" w:name="_Toc15979"/>
      <w:r>
        <w:rPr>
          <w:rFonts w:hint="eastAsia"/>
          <w:szCs w:val="22"/>
        </w:rPr>
        <w:t>4</w:t>
      </w:r>
      <w:r>
        <w:rPr>
          <w:rFonts w:hint="eastAsia"/>
          <w:szCs w:val="22"/>
        </w:rPr>
        <w:t>水土流失分析与调查</w:t>
      </w:r>
      <w:bookmarkEnd w:id="101"/>
    </w:p>
    <w:p w:rsidR="00F44F7B" w:rsidRDefault="00730D49">
      <w:pPr>
        <w:pStyle w:val="2"/>
      </w:pPr>
      <w:bookmarkStart w:id="102" w:name="_Toc240427341"/>
      <w:bookmarkStart w:id="103" w:name="_Toc226285116"/>
      <w:bookmarkStart w:id="104" w:name="_Toc224703215"/>
      <w:bookmarkStart w:id="105" w:name="_Toc226280566"/>
      <w:bookmarkStart w:id="106" w:name="_Toc30466"/>
      <w:bookmarkStart w:id="107" w:name="_Toc233456073"/>
      <w:bookmarkStart w:id="108" w:name="_Toc226213350"/>
      <w:bookmarkStart w:id="109" w:name="_Toc231528693"/>
      <w:bookmarkStart w:id="110" w:name="_Toc30329"/>
      <w:bookmarkStart w:id="111" w:name="_Toc218307290"/>
      <w:bookmarkStart w:id="112" w:name="_Toc228711929"/>
      <w:bookmarkStart w:id="113" w:name="_Toc512027068"/>
      <w:bookmarkStart w:id="114" w:name="_Toc233512525"/>
      <w:bookmarkStart w:id="115" w:name="_Toc228849326"/>
      <w:bookmarkStart w:id="116" w:name="_Toc231541071"/>
      <w:bookmarkStart w:id="117" w:name="_Toc3"/>
      <w:bookmarkStart w:id="118" w:name="_Toc227752792"/>
      <w:bookmarkStart w:id="119" w:name="_Toc12214"/>
      <w:r>
        <w:rPr>
          <w:rFonts w:hint="eastAsia"/>
        </w:rPr>
        <w:t>4</w:t>
      </w:r>
      <w:r>
        <w:t>.1</w:t>
      </w:r>
      <w:r>
        <w:t>水土流失现状</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rsidR="00F44F7B" w:rsidRDefault="00730D49">
      <w:pPr>
        <w:spacing w:line="360" w:lineRule="auto"/>
        <w:ind w:firstLineChars="200" w:firstLine="480"/>
      </w:pPr>
      <w:bookmarkStart w:id="120" w:name="_Toc23892"/>
      <w:r>
        <w:t>根据《全国水土保持规划国家级水土流失重点预防区和重点治理区复核划分成果》（办水保</w:t>
      </w:r>
      <w:r>
        <w:t>[2013]88</w:t>
      </w:r>
      <w:r>
        <w:t>号）、《四川省省级水土流失重点预防区和重点治理区划分成果》（川水函</w:t>
      </w:r>
      <w:r>
        <w:t>[2017]482</w:t>
      </w:r>
      <w:r>
        <w:t>号），仪陇县为嘉陵江及沱江中下游国家级水土流失重点治理区。土壤侵蚀类型区为水力侵蚀类型区的西南土石山区中的四川山地丘陵区，土壤容许流失量</w:t>
      </w:r>
      <w:r>
        <w:t>500t/km²·a</w:t>
      </w:r>
      <w:r>
        <w:t>。</w:t>
      </w:r>
      <w:r>
        <w:rPr>
          <w:color w:val="0000FF"/>
        </w:rPr>
        <w:t>项目区原地表土地表侵蚀模数为</w:t>
      </w:r>
      <w:r>
        <w:rPr>
          <w:rFonts w:hint="eastAsia"/>
          <w:color w:val="0000FF"/>
        </w:rPr>
        <w:t>529</w:t>
      </w:r>
      <w:r>
        <w:rPr>
          <w:color w:val="0000FF"/>
        </w:rPr>
        <w:t>t</w:t>
      </w:r>
      <w:r>
        <w:rPr>
          <w:rFonts w:hint="eastAsia"/>
          <w:color w:val="0000FF"/>
        </w:rPr>
        <w:t>/</w:t>
      </w:r>
      <w:r>
        <w:rPr>
          <w:color w:val="0000FF"/>
        </w:rPr>
        <w:t>km</w:t>
      </w:r>
      <w:r>
        <w:rPr>
          <w:color w:val="0000FF"/>
          <w:vertAlign w:val="superscript"/>
        </w:rPr>
        <w:t>2</w:t>
      </w:r>
      <w:r>
        <w:rPr>
          <w:color w:val="0000FF"/>
        </w:rPr>
        <w:t>.a</w:t>
      </w:r>
      <w:r>
        <w:rPr>
          <w:color w:val="0000FF"/>
        </w:rPr>
        <w:t>，属</w:t>
      </w:r>
      <w:r>
        <w:t>于</w:t>
      </w:r>
      <w:r>
        <w:rPr>
          <w:rFonts w:hint="eastAsia"/>
        </w:rPr>
        <w:t>轻</w:t>
      </w:r>
      <w:r>
        <w:t>度侵蚀</w:t>
      </w:r>
      <w:r>
        <w:rPr>
          <w:rFonts w:hint="eastAsia"/>
        </w:rPr>
        <w:t>。</w:t>
      </w:r>
    </w:p>
    <w:p w:rsidR="00F44F7B" w:rsidRDefault="00730D49">
      <w:pPr>
        <w:pStyle w:val="af4"/>
        <w:spacing w:before="156"/>
        <w:rPr>
          <w:rFonts w:ascii="Times New Roman" w:eastAsia="仿宋_GB2312"/>
          <w:sz w:val="22"/>
          <w:szCs w:val="18"/>
        </w:rPr>
      </w:pPr>
      <w:r>
        <w:rPr>
          <w:rFonts w:ascii="Times New Roman" w:eastAsia="仿宋_GB2312"/>
          <w:sz w:val="22"/>
          <w:szCs w:val="18"/>
        </w:rPr>
        <w:t>表</w:t>
      </w:r>
      <w:r>
        <w:rPr>
          <w:rFonts w:ascii="Times New Roman" w:eastAsia="仿宋_GB2312" w:hint="eastAsia"/>
          <w:sz w:val="22"/>
          <w:szCs w:val="18"/>
        </w:rPr>
        <w:t>4</w:t>
      </w:r>
      <w:r>
        <w:rPr>
          <w:rFonts w:ascii="Times New Roman" w:eastAsia="仿宋_GB2312"/>
          <w:sz w:val="22"/>
          <w:szCs w:val="18"/>
        </w:rPr>
        <w:t xml:space="preserve">-1   </w:t>
      </w:r>
      <w:r>
        <w:rPr>
          <w:rFonts w:ascii="Times New Roman" w:eastAsia="仿宋_GB2312" w:hint="eastAsia"/>
          <w:sz w:val="22"/>
          <w:szCs w:val="18"/>
        </w:rPr>
        <w:t>仪陇县</w:t>
      </w:r>
      <w:r>
        <w:rPr>
          <w:rFonts w:ascii="Times New Roman" w:eastAsia="仿宋_GB2312"/>
          <w:sz w:val="22"/>
          <w:szCs w:val="18"/>
        </w:rPr>
        <w:t>水土流失现状表</w:t>
      </w:r>
    </w:p>
    <w:tbl>
      <w:tblPr>
        <w:tblW w:w="9288"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322"/>
        <w:gridCol w:w="2322"/>
        <w:gridCol w:w="2322"/>
        <w:gridCol w:w="2322"/>
      </w:tblGrid>
      <w:tr w:rsidR="00F44F7B">
        <w:tc>
          <w:tcPr>
            <w:tcW w:w="2322" w:type="dxa"/>
          </w:tcPr>
          <w:p w:rsidR="00F44F7B" w:rsidRDefault="00730D49">
            <w:pPr>
              <w:jc w:val="center"/>
              <w:rPr>
                <w:sz w:val="21"/>
              </w:rPr>
            </w:pPr>
            <w:r>
              <w:rPr>
                <w:rFonts w:hint="eastAsia"/>
                <w:sz w:val="21"/>
              </w:rPr>
              <w:t>侵蚀强度</w:t>
            </w:r>
          </w:p>
        </w:tc>
        <w:tc>
          <w:tcPr>
            <w:tcW w:w="2322" w:type="dxa"/>
          </w:tcPr>
          <w:p w:rsidR="00F44F7B" w:rsidRDefault="00730D49">
            <w:pPr>
              <w:jc w:val="center"/>
              <w:rPr>
                <w:sz w:val="21"/>
              </w:rPr>
            </w:pPr>
            <w:r>
              <w:rPr>
                <w:rFonts w:hint="eastAsia"/>
                <w:sz w:val="21"/>
              </w:rPr>
              <w:t>面积</w:t>
            </w:r>
          </w:p>
        </w:tc>
        <w:tc>
          <w:tcPr>
            <w:tcW w:w="2322" w:type="dxa"/>
          </w:tcPr>
          <w:p w:rsidR="00F44F7B" w:rsidRDefault="00730D49">
            <w:pPr>
              <w:jc w:val="center"/>
              <w:rPr>
                <w:sz w:val="21"/>
              </w:rPr>
            </w:pPr>
            <w:r>
              <w:rPr>
                <w:rFonts w:hint="eastAsia"/>
                <w:sz w:val="21"/>
              </w:rPr>
              <w:t>占流失面积比</w:t>
            </w:r>
          </w:p>
        </w:tc>
        <w:tc>
          <w:tcPr>
            <w:tcW w:w="2322" w:type="dxa"/>
          </w:tcPr>
          <w:p w:rsidR="00F44F7B" w:rsidRDefault="00730D49">
            <w:pPr>
              <w:jc w:val="center"/>
              <w:rPr>
                <w:sz w:val="21"/>
              </w:rPr>
            </w:pPr>
            <w:r>
              <w:rPr>
                <w:rFonts w:hint="eastAsia"/>
                <w:sz w:val="21"/>
              </w:rPr>
              <w:t>占土地面积比</w:t>
            </w:r>
          </w:p>
        </w:tc>
      </w:tr>
      <w:tr w:rsidR="00F44F7B">
        <w:tc>
          <w:tcPr>
            <w:tcW w:w="2322" w:type="dxa"/>
          </w:tcPr>
          <w:p w:rsidR="00F44F7B" w:rsidRDefault="00730D49">
            <w:pPr>
              <w:jc w:val="center"/>
              <w:rPr>
                <w:sz w:val="21"/>
              </w:rPr>
            </w:pPr>
            <w:r>
              <w:rPr>
                <w:rFonts w:hint="eastAsia"/>
                <w:sz w:val="21"/>
              </w:rPr>
              <w:t>轻度</w:t>
            </w:r>
          </w:p>
        </w:tc>
        <w:tc>
          <w:tcPr>
            <w:tcW w:w="2322" w:type="dxa"/>
          </w:tcPr>
          <w:p w:rsidR="00F44F7B" w:rsidRDefault="00730D49">
            <w:pPr>
              <w:jc w:val="center"/>
              <w:rPr>
                <w:sz w:val="21"/>
              </w:rPr>
            </w:pPr>
            <w:r>
              <w:rPr>
                <w:rFonts w:hint="eastAsia"/>
                <w:sz w:val="21"/>
              </w:rPr>
              <w:t>205.67</w:t>
            </w:r>
          </w:p>
        </w:tc>
        <w:tc>
          <w:tcPr>
            <w:tcW w:w="2322" w:type="dxa"/>
          </w:tcPr>
          <w:p w:rsidR="00F44F7B" w:rsidRDefault="00730D49">
            <w:pPr>
              <w:jc w:val="center"/>
              <w:rPr>
                <w:sz w:val="21"/>
              </w:rPr>
            </w:pPr>
            <w:r>
              <w:rPr>
                <w:rFonts w:hint="eastAsia"/>
                <w:sz w:val="21"/>
              </w:rPr>
              <w:t>23.75</w:t>
            </w:r>
          </w:p>
        </w:tc>
        <w:tc>
          <w:tcPr>
            <w:tcW w:w="2322" w:type="dxa"/>
          </w:tcPr>
          <w:p w:rsidR="00F44F7B" w:rsidRDefault="00730D49">
            <w:pPr>
              <w:jc w:val="center"/>
              <w:rPr>
                <w:sz w:val="21"/>
              </w:rPr>
            </w:pPr>
            <w:r>
              <w:rPr>
                <w:rFonts w:hint="eastAsia"/>
                <w:sz w:val="21"/>
              </w:rPr>
              <w:t>11.48</w:t>
            </w:r>
          </w:p>
        </w:tc>
      </w:tr>
      <w:tr w:rsidR="00F44F7B">
        <w:tc>
          <w:tcPr>
            <w:tcW w:w="2322" w:type="dxa"/>
          </w:tcPr>
          <w:p w:rsidR="00F44F7B" w:rsidRDefault="00730D49">
            <w:pPr>
              <w:jc w:val="center"/>
              <w:rPr>
                <w:sz w:val="21"/>
              </w:rPr>
            </w:pPr>
            <w:r>
              <w:rPr>
                <w:rFonts w:hint="eastAsia"/>
                <w:sz w:val="21"/>
              </w:rPr>
              <w:t>中度</w:t>
            </w:r>
          </w:p>
        </w:tc>
        <w:tc>
          <w:tcPr>
            <w:tcW w:w="2322" w:type="dxa"/>
          </w:tcPr>
          <w:p w:rsidR="00F44F7B" w:rsidRDefault="00730D49">
            <w:pPr>
              <w:jc w:val="center"/>
              <w:rPr>
                <w:sz w:val="21"/>
              </w:rPr>
            </w:pPr>
            <w:r>
              <w:rPr>
                <w:rFonts w:hint="eastAsia"/>
                <w:sz w:val="21"/>
              </w:rPr>
              <w:t>348.22</w:t>
            </w:r>
          </w:p>
        </w:tc>
        <w:tc>
          <w:tcPr>
            <w:tcW w:w="2322" w:type="dxa"/>
          </w:tcPr>
          <w:p w:rsidR="00F44F7B" w:rsidRDefault="00730D49">
            <w:pPr>
              <w:jc w:val="center"/>
              <w:rPr>
                <w:sz w:val="21"/>
              </w:rPr>
            </w:pPr>
            <w:r>
              <w:rPr>
                <w:rFonts w:hint="eastAsia"/>
                <w:sz w:val="21"/>
              </w:rPr>
              <w:t>40.22</w:t>
            </w:r>
          </w:p>
        </w:tc>
        <w:tc>
          <w:tcPr>
            <w:tcW w:w="2322" w:type="dxa"/>
          </w:tcPr>
          <w:p w:rsidR="00F44F7B" w:rsidRDefault="00730D49">
            <w:pPr>
              <w:jc w:val="center"/>
              <w:rPr>
                <w:sz w:val="21"/>
              </w:rPr>
            </w:pPr>
            <w:r>
              <w:rPr>
                <w:rFonts w:hint="eastAsia"/>
                <w:sz w:val="21"/>
              </w:rPr>
              <w:t>19.45</w:t>
            </w:r>
          </w:p>
        </w:tc>
      </w:tr>
      <w:tr w:rsidR="00F44F7B">
        <w:tc>
          <w:tcPr>
            <w:tcW w:w="2322" w:type="dxa"/>
          </w:tcPr>
          <w:p w:rsidR="00F44F7B" w:rsidRDefault="00730D49">
            <w:pPr>
              <w:jc w:val="center"/>
              <w:rPr>
                <w:sz w:val="21"/>
              </w:rPr>
            </w:pPr>
            <w:r>
              <w:rPr>
                <w:rFonts w:hint="eastAsia"/>
                <w:sz w:val="21"/>
              </w:rPr>
              <w:t>强烈</w:t>
            </w:r>
          </w:p>
        </w:tc>
        <w:tc>
          <w:tcPr>
            <w:tcW w:w="2322" w:type="dxa"/>
          </w:tcPr>
          <w:p w:rsidR="00F44F7B" w:rsidRDefault="00730D49">
            <w:pPr>
              <w:jc w:val="center"/>
              <w:rPr>
                <w:sz w:val="21"/>
              </w:rPr>
            </w:pPr>
            <w:r>
              <w:rPr>
                <w:rFonts w:hint="eastAsia"/>
                <w:sz w:val="21"/>
              </w:rPr>
              <w:t>180.75</w:t>
            </w:r>
          </w:p>
        </w:tc>
        <w:tc>
          <w:tcPr>
            <w:tcW w:w="2322" w:type="dxa"/>
          </w:tcPr>
          <w:p w:rsidR="00F44F7B" w:rsidRDefault="00730D49">
            <w:pPr>
              <w:jc w:val="center"/>
              <w:rPr>
                <w:sz w:val="21"/>
              </w:rPr>
            </w:pPr>
            <w:r>
              <w:rPr>
                <w:rFonts w:hint="eastAsia"/>
                <w:sz w:val="21"/>
              </w:rPr>
              <w:t>20.87</w:t>
            </w:r>
          </w:p>
        </w:tc>
        <w:tc>
          <w:tcPr>
            <w:tcW w:w="2322" w:type="dxa"/>
          </w:tcPr>
          <w:p w:rsidR="00F44F7B" w:rsidRDefault="00730D49">
            <w:pPr>
              <w:jc w:val="center"/>
              <w:rPr>
                <w:sz w:val="21"/>
              </w:rPr>
            </w:pPr>
            <w:r>
              <w:rPr>
                <w:rFonts w:hint="eastAsia"/>
                <w:sz w:val="21"/>
              </w:rPr>
              <w:t>10.09</w:t>
            </w:r>
          </w:p>
        </w:tc>
      </w:tr>
      <w:tr w:rsidR="00F44F7B">
        <w:tc>
          <w:tcPr>
            <w:tcW w:w="2322" w:type="dxa"/>
          </w:tcPr>
          <w:p w:rsidR="00F44F7B" w:rsidRDefault="00730D49">
            <w:pPr>
              <w:jc w:val="center"/>
              <w:rPr>
                <w:sz w:val="21"/>
              </w:rPr>
            </w:pPr>
            <w:r>
              <w:rPr>
                <w:rFonts w:hint="eastAsia"/>
                <w:sz w:val="21"/>
              </w:rPr>
              <w:t>极强烈</w:t>
            </w:r>
          </w:p>
        </w:tc>
        <w:tc>
          <w:tcPr>
            <w:tcW w:w="2322" w:type="dxa"/>
          </w:tcPr>
          <w:p w:rsidR="00F44F7B" w:rsidRDefault="00730D49">
            <w:pPr>
              <w:jc w:val="center"/>
              <w:rPr>
                <w:sz w:val="21"/>
              </w:rPr>
            </w:pPr>
            <w:r>
              <w:rPr>
                <w:rFonts w:hint="eastAsia"/>
                <w:sz w:val="21"/>
              </w:rPr>
              <w:t>83.45</w:t>
            </w:r>
          </w:p>
        </w:tc>
        <w:tc>
          <w:tcPr>
            <w:tcW w:w="2322" w:type="dxa"/>
          </w:tcPr>
          <w:p w:rsidR="00F44F7B" w:rsidRDefault="00730D49">
            <w:pPr>
              <w:jc w:val="center"/>
              <w:rPr>
                <w:sz w:val="21"/>
              </w:rPr>
            </w:pPr>
            <w:r>
              <w:rPr>
                <w:rFonts w:hint="eastAsia"/>
                <w:sz w:val="21"/>
              </w:rPr>
              <w:t>9.64</w:t>
            </w:r>
          </w:p>
        </w:tc>
        <w:tc>
          <w:tcPr>
            <w:tcW w:w="2322" w:type="dxa"/>
          </w:tcPr>
          <w:p w:rsidR="00F44F7B" w:rsidRDefault="00730D49">
            <w:pPr>
              <w:jc w:val="center"/>
              <w:rPr>
                <w:sz w:val="21"/>
              </w:rPr>
            </w:pPr>
            <w:r>
              <w:rPr>
                <w:rFonts w:hint="eastAsia"/>
                <w:sz w:val="21"/>
              </w:rPr>
              <w:t>4.66</w:t>
            </w:r>
          </w:p>
        </w:tc>
      </w:tr>
      <w:tr w:rsidR="00F44F7B">
        <w:tc>
          <w:tcPr>
            <w:tcW w:w="2322" w:type="dxa"/>
          </w:tcPr>
          <w:p w:rsidR="00F44F7B" w:rsidRDefault="00730D49">
            <w:pPr>
              <w:jc w:val="center"/>
              <w:rPr>
                <w:sz w:val="21"/>
              </w:rPr>
            </w:pPr>
            <w:r>
              <w:rPr>
                <w:rFonts w:hint="eastAsia"/>
                <w:sz w:val="21"/>
              </w:rPr>
              <w:t>剧烈</w:t>
            </w:r>
          </w:p>
        </w:tc>
        <w:tc>
          <w:tcPr>
            <w:tcW w:w="2322" w:type="dxa"/>
          </w:tcPr>
          <w:p w:rsidR="00F44F7B" w:rsidRDefault="00730D49">
            <w:pPr>
              <w:jc w:val="center"/>
              <w:rPr>
                <w:sz w:val="21"/>
              </w:rPr>
            </w:pPr>
            <w:r>
              <w:rPr>
                <w:rFonts w:hint="eastAsia"/>
                <w:sz w:val="21"/>
              </w:rPr>
              <w:t>47.76</w:t>
            </w:r>
          </w:p>
        </w:tc>
        <w:tc>
          <w:tcPr>
            <w:tcW w:w="2322" w:type="dxa"/>
          </w:tcPr>
          <w:p w:rsidR="00F44F7B" w:rsidRDefault="00730D49">
            <w:pPr>
              <w:jc w:val="center"/>
              <w:rPr>
                <w:sz w:val="21"/>
              </w:rPr>
            </w:pPr>
            <w:r>
              <w:rPr>
                <w:rFonts w:hint="eastAsia"/>
                <w:sz w:val="21"/>
              </w:rPr>
              <w:t>5.52</w:t>
            </w:r>
          </w:p>
        </w:tc>
        <w:tc>
          <w:tcPr>
            <w:tcW w:w="2322" w:type="dxa"/>
          </w:tcPr>
          <w:p w:rsidR="00F44F7B" w:rsidRDefault="00730D49">
            <w:pPr>
              <w:jc w:val="center"/>
              <w:rPr>
                <w:sz w:val="21"/>
              </w:rPr>
            </w:pPr>
            <w:r>
              <w:rPr>
                <w:rFonts w:hint="eastAsia"/>
                <w:sz w:val="21"/>
              </w:rPr>
              <w:t>2.67</w:t>
            </w:r>
          </w:p>
        </w:tc>
      </w:tr>
      <w:tr w:rsidR="00F44F7B">
        <w:tc>
          <w:tcPr>
            <w:tcW w:w="2322" w:type="dxa"/>
          </w:tcPr>
          <w:p w:rsidR="00F44F7B" w:rsidRDefault="00730D49">
            <w:pPr>
              <w:jc w:val="center"/>
              <w:rPr>
                <w:sz w:val="21"/>
              </w:rPr>
            </w:pPr>
            <w:r>
              <w:rPr>
                <w:rFonts w:hint="eastAsia"/>
                <w:sz w:val="21"/>
              </w:rPr>
              <w:t>合计</w:t>
            </w:r>
          </w:p>
        </w:tc>
        <w:tc>
          <w:tcPr>
            <w:tcW w:w="2322" w:type="dxa"/>
          </w:tcPr>
          <w:p w:rsidR="00F44F7B" w:rsidRDefault="00730D49">
            <w:pPr>
              <w:jc w:val="center"/>
              <w:rPr>
                <w:sz w:val="21"/>
              </w:rPr>
            </w:pPr>
            <w:r>
              <w:rPr>
                <w:rFonts w:hint="eastAsia"/>
                <w:sz w:val="21"/>
              </w:rPr>
              <w:t xml:space="preserve">  865.85</w:t>
            </w:r>
          </w:p>
        </w:tc>
        <w:tc>
          <w:tcPr>
            <w:tcW w:w="2322" w:type="dxa"/>
          </w:tcPr>
          <w:p w:rsidR="00F44F7B" w:rsidRDefault="00730D49">
            <w:pPr>
              <w:jc w:val="center"/>
              <w:rPr>
                <w:sz w:val="21"/>
              </w:rPr>
            </w:pPr>
            <w:r>
              <w:rPr>
                <w:rFonts w:hint="eastAsia"/>
                <w:sz w:val="21"/>
              </w:rPr>
              <w:t>100</w:t>
            </w:r>
          </w:p>
        </w:tc>
        <w:tc>
          <w:tcPr>
            <w:tcW w:w="2322" w:type="dxa"/>
          </w:tcPr>
          <w:p w:rsidR="00F44F7B" w:rsidRDefault="00730D49">
            <w:pPr>
              <w:jc w:val="center"/>
              <w:rPr>
                <w:sz w:val="21"/>
              </w:rPr>
            </w:pPr>
            <w:r>
              <w:rPr>
                <w:rFonts w:hint="eastAsia"/>
                <w:sz w:val="21"/>
              </w:rPr>
              <w:t>48.35</w:t>
            </w:r>
          </w:p>
        </w:tc>
      </w:tr>
    </w:tbl>
    <w:p w:rsidR="00F44F7B" w:rsidRDefault="00730D49">
      <w:pPr>
        <w:spacing w:line="360" w:lineRule="auto"/>
        <w:rPr>
          <w:b/>
          <w:bCs/>
          <w:szCs w:val="22"/>
        </w:rPr>
      </w:pPr>
      <w:r>
        <w:rPr>
          <w:rFonts w:hint="eastAsia"/>
          <w:b/>
          <w:bCs/>
          <w:sz w:val="21"/>
        </w:rPr>
        <w:t>注：以上土地利用现状数据来源于《仪陇县水土保持规划》（</w:t>
      </w:r>
      <w:r>
        <w:rPr>
          <w:rFonts w:hint="eastAsia"/>
          <w:b/>
          <w:bCs/>
          <w:sz w:val="21"/>
        </w:rPr>
        <w:t xml:space="preserve">2015-2030 </w:t>
      </w:r>
      <w:r>
        <w:rPr>
          <w:rFonts w:hint="eastAsia"/>
          <w:b/>
          <w:bCs/>
          <w:sz w:val="21"/>
        </w:rPr>
        <w:t>年）</w:t>
      </w:r>
    </w:p>
    <w:p w:rsidR="00F44F7B" w:rsidRDefault="00730D49">
      <w:pPr>
        <w:pStyle w:val="2"/>
        <w:widowControl/>
        <w:spacing w:beforeLines="50" w:before="156"/>
        <w:rPr>
          <w:position w:val="4"/>
          <w:szCs w:val="30"/>
        </w:rPr>
      </w:pPr>
      <w:bookmarkStart w:id="121" w:name="_Toc9130462"/>
      <w:bookmarkStart w:id="122" w:name="_Toc24170"/>
      <w:bookmarkStart w:id="123" w:name="_Toc3216"/>
      <w:bookmarkStart w:id="124" w:name="_Toc26025"/>
      <w:bookmarkStart w:id="125" w:name="_Toc14438"/>
      <w:bookmarkStart w:id="126" w:name="_Toc11955"/>
      <w:bookmarkStart w:id="127" w:name="_Toc2514"/>
      <w:bookmarkStart w:id="128" w:name="_Toc30792"/>
      <w:bookmarkStart w:id="129" w:name="_Toc11964"/>
      <w:bookmarkStart w:id="130" w:name="_Toc20016"/>
      <w:bookmarkStart w:id="131" w:name="_Toc14065"/>
      <w:bookmarkEnd w:id="119"/>
      <w:bookmarkEnd w:id="120"/>
      <w:r>
        <w:rPr>
          <w:rFonts w:hint="eastAsia"/>
          <w:position w:val="4"/>
          <w:szCs w:val="30"/>
        </w:rPr>
        <w:t>4</w:t>
      </w:r>
      <w:r>
        <w:rPr>
          <w:position w:val="4"/>
          <w:szCs w:val="30"/>
        </w:rPr>
        <w:t>.2</w:t>
      </w:r>
      <w:r>
        <w:rPr>
          <w:position w:val="4"/>
          <w:szCs w:val="30"/>
        </w:rPr>
        <w:t>水土流失影响因素分析</w:t>
      </w:r>
      <w:bookmarkEnd w:id="121"/>
      <w:bookmarkEnd w:id="122"/>
      <w:bookmarkEnd w:id="123"/>
      <w:bookmarkEnd w:id="124"/>
      <w:bookmarkEnd w:id="125"/>
      <w:bookmarkEnd w:id="126"/>
      <w:bookmarkEnd w:id="127"/>
    </w:p>
    <w:p w:rsidR="00F44F7B" w:rsidRDefault="00730D49">
      <w:pPr>
        <w:pStyle w:val="3015"/>
        <w:adjustRightInd/>
        <w:snapToGrid/>
        <w:rPr>
          <w:rFonts w:eastAsia="仿宋_GB2312"/>
          <w:color w:val="auto"/>
          <w:szCs w:val="24"/>
        </w:rPr>
      </w:pPr>
      <w:r>
        <w:rPr>
          <w:rFonts w:eastAsia="仿宋_GB2312"/>
          <w:color w:val="auto"/>
          <w:szCs w:val="24"/>
        </w:rPr>
        <w:t>1</w:t>
      </w:r>
      <w:r>
        <w:rPr>
          <w:rFonts w:eastAsia="仿宋_GB2312"/>
          <w:color w:val="auto"/>
          <w:szCs w:val="24"/>
        </w:rPr>
        <w:t>、自然因素</w:t>
      </w:r>
    </w:p>
    <w:p w:rsidR="00F44F7B" w:rsidRDefault="00730D49">
      <w:pPr>
        <w:pStyle w:val="3015"/>
        <w:adjustRightInd/>
        <w:snapToGrid/>
        <w:rPr>
          <w:rFonts w:eastAsia="仿宋_GB2312"/>
          <w:color w:val="auto"/>
          <w:szCs w:val="24"/>
        </w:rPr>
      </w:pPr>
      <w:r>
        <w:rPr>
          <w:rFonts w:eastAsia="仿宋_GB2312" w:hint="eastAsia"/>
          <w:color w:val="auto"/>
          <w:szCs w:val="24"/>
        </w:rPr>
        <w:t>①</w:t>
      </w:r>
      <w:r>
        <w:rPr>
          <w:rFonts w:eastAsia="仿宋_GB2312"/>
          <w:color w:val="auto"/>
          <w:szCs w:val="24"/>
        </w:rPr>
        <w:t>降水集中分配，降雨强度大；</w:t>
      </w:r>
    </w:p>
    <w:p w:rsidR="00F44F7B" w:rsidRDefault="00730D49">
      <w:pPr>
        <w:pStyle w:val="3015"/>
        <w:adjustRightInd/>
        <w:snapToGrid/>
        <w:rPr>
          <w:rFonts w:eastAsia="仿宋_GB2312"/>
          <w:color w:val="auto"/>
          <w:szCs w:val="24"/>
        </w:rPr>
      </w:pPr>
      <w:r>
        <w:rPr>
          <w:rFonts w:eastAsia="仿宋_GB2312" w:hint="eastAsia"/>
          <w:color w:val="auto"/>
          <w:szCs w:val="24"/>
        </w:rPr>
        <w:t>②</w:t>
      </w:r>
      <w:r>
        <w:rPr>
          <w:rFonts w:eastAsia="仿宋_GB2312"/>
          <w:color w:val="auto"/>
          <w:szCs w:val="24"/>
        </w:rPr>
        <w:t>岩性松散易风化；</w:t>
      </w:r>
    </w:p>
    <w:p w:rsidR="00F44F7B" w:rsidRDefault="00730D49">
      <w:pPr>
        <w:pStyle w:val="3015"/>
        <w:adjustRightInd/>
        <w:snapToGrid/>
        <w:rPr>
          <w:rFonts w:eastAsia="仿宋_GB2312"/>
          <w:color w:val="auto"/>
          <w:szCs w:val="24"/>
        </w:rPr>
      </w:pPr>
      <w:r>
        <w:rPr>
          <w:rFonts w:eastAsia="仿宋_GB2312" w:hint="eastAsia"/>
          <w:color w:val="auto"/>
          <w:szCs w:val="24"/>
        </w:rPr>
        <w:lastRenderedPageBreak/>
        <w:t>③土层浅薄抗侵蚀力低。</w:t>
      </w:r>
    </w:p>
    <w:p w:rsidR="00F44F7B" w:rsidRDefault="00730D49">
      <w:pPr>
        <w:pStyle w:val="3015"/>
        <w:adjustRightInd/>
        <w:snapToGrid/>
        <w:rPr>
          <w:rFonts w:eastAsia="仿宋_GB2312"/>
          <w:color w:val="auto"/>
          <w:szCs w:val="24"/>
        </w:rPr>
      </w:pPr>
      <w:r>
        <w:rPr>
          <w:rFonts w:eastAsia="仿宋_GB2312" w:hint="eastAsia"/>
          <w:color w:val="auto"/>
          <w:szCs w:val="24"/>
        </w:rPr>
        <w:t>2</w:t>
      </w:r>
      <w:r>
        <w:rPr>
          <w:rFonts w:eastAsia="仿宋_GB2312" w:hint="eastAsia"/>
          <w:color w:val="auto"/>
          <w:szCs w:val="24"/>
        </w:rPr>
        <w:t>、人为因素</w:t>
      </w:r>
    </w:p>
    <w:p w:rsidR="00F44F7B" w:rsidRDefault="00730D49">
      <w:pPr>
        <w:pStyle w:val="3015"/>
        <w:adjustRightInd/>
        <w:snapToGrid/>
        <w:rPr>
          <w:rFonts w:eastAsia="仿宋_GB2312"/>
          <w:color w:val="auto"/>
          <w:szCs w:val="24"/>
        </w:rPr>
      </w:pPr>
      <w:r>
        <w:rPr>
          <w:rFonts w:eastAsia="仿宋_GB2312" w:hint="eastAsia"/>
          <w:color w:val="auto"/>
          <w:szCs w:val="24"/>
        </w:rPr>
        <w:t>①</w:t>
      </w:r>
      <w:r>
        <w:rPr>
          <w:rFonts w:eastAsia="仿宋_GB2312" w:hint="eastAsia"/>
          <w:color w:val="auto"/>
          <w:szCs w:val="24"/>
        </w:rPr>
        <w:t>工程</w:t>
      </w:r>
      <w:r>
        <w:rPr>
          <w:rFonts w:eastAsia="仿宋_GB2312" w:hint="eastAsia"/>
          <w:color w:val="auto"/>
          <w:szCs w:val="24"/>
        </w:rPr>
        <w:t>的修建，造成大量的土石方开挖和填筑等活动，造成土质松散，易造成水土流失；</w:t>
      </w:r>
    </w:p>
    <w:p w:rsidR="00F44F7B" w:rsidRDefault="00730D49">
      <w:pPr>
        <w:pStyle w:val="3015"/>
        <w:adjustRightInd/>
        <w:snapToGrid/>
        <w:rPr>
          <w:rFonts w:eastAsia="仿宋_GB2312"/>
          <w:color w:val="auto"/>
          <w:szCs w:val="24"/>
        </w:rPr>
      </w:pPr>
      <w:r>
        <w:rPr>
          <w:rFonts w:eastAsia="仿宋_GB2312" w:hint="eastAsia"/>
          <w:color w:val="auto"/>
          <w:szCs w:val="24"/>
        </w:rPr>
        <w:t>②工程工期较长，历经了完整的雨季，若在工程施工过程中不采取有效的防护措施，则因为人类生产活动造成的水土流失将会加大。</w:t>
      </w:r>
    </w:p>
    <w:p w:rsidR="00F44F7B" w:rsidRDefault="00730D49">
      <w:pPr>
        <w:pStyle w:val="3015"/>
        <w:adjustRightInd/>
        <w:snapToGrid/>
        <w:rPr>
          <w:rFonts w:eastAsia="仿宋_GB2312"/>
          <w:color w:val="auto"/>
          <w:szCs w:val="24"/>
        </w:rPr>
      </w:pPr>
      <w:r>
        <w:rPr>
          <w:rFonts w:eastAsia="仿宋_GB2312" w:hint="eastAsia"/>
          <w:color w:val="auto"/>
          <w:szCs w:val="24"/>
        </w:rPr>
        <w:t>综上所述，自然因素的存在为人水土流失形成了内因素，而人为活动进一步改变、加剧了内因素，形成了水土流失的推动力，因此，减少人为活动和采取必要的水土保持措施是减少水土流失的重要方法。</w:t>
      </w:r>
    </w:p>
    <w:p w:rsidR="00F44F7B" w:rsidRDefault="00730D49">
      <w:pPr>
        <w:pStyle w:val="2"/>
        <w:rPr>
          <w:color w:val="0000FF"/>
        </w:rPr>
      </w:pPr>
      <w:bookmarkStart w:id="132" w:name="_Toc24479"/>
      <w:r>
        <w:rPr>
          <w:rFonts w:hint="eastAsia"/>
          <w:color w:val="0000FF"/>
        </w:rPr>
        <w:t>4</w:t>
      </w:r>
      <w:r>
        <w:rPr>
          <w:color w:val="0000FF"/>
        </w:rPr>
        <w:t>.3</w:t>
      </w:r>
      <w:r>
        <w:rPr>
          <w:color w:val="0000FF"/>
        </w:rPr>
        <w:t>土壤流失量</w:t>
      </w:r>
      <w:bookmarkEnd w:id="128"/>
      <w:bookmarkEnd w:id="129"/>
      <w:bookmarkEnd w:id="130"/>
      <w:bookmarkEnd w:id="131"/>
      <w:r>
        <w:rPr>
          <w:rFonts w:hint="eastAsia"/>
          <w:color w:val="0000FF"/>
        </w:rPr>
        <w:t>调查</w:t>
      </w:r>
      <w:bookmarkEnd w:id="132"/>
    </w:p>
    <w:p w:rsidR="00F44F7B" w:rsidRDefault="00730D49">
      <w:pPr>
        <w:pStyle w:val="3"/>
        <w:widowControl/>
        <w:rPr>
          <w:color w:val="0000FF"/>
          <w:szCs w:val="28"/>
          <w:lang w:val="zh-CN"/>
        </w:rPr>
      </w:pPr>
      <w:bookmarkStart w:id="133" w:name="_Toc27024"/>
      <w:bookmarkStart w:id="134" w:name="_Toc330159438"/>
      <w:bookmarkStart w:id="135" w:name="_Toc318898270"/>
      <w:bookmarkStart w:id="136" w:name="_Toc200340541"/>
      <w:bookmarkStart w:id="137" w:name="_Toc317148115"/>
      <w:bookmarkStart w:id="138" w:name="_Toc14563"/>
      <w:bookmarkStart w:id="139" w:name="_Toc329789225"/>
      <w:bookmarkStart w:id="140" w:name="_Toc320028819"/>
      <w:bookmarkStart w:id="141" w:name="_Toc329513677"/>
      <w:r>
        <w:rPr>
          <w:rFonts w:hint="eastAsia"/>
          <w:color w:val="0000FF"/>
          <w:szCs w:val="28"/>
        </w:rPr>
        <w:t>4</w:t>
      </w:r>
      <w:r>
        <w:rPr>
          <w:color w:val="0000FF"/>
          <w:szCs w:val="28"/>
        </w:rPr>
        <w:t>.3.</w:t>
      </w:r>
      <w:r>
        <w:rPr>
          <w:rFonts w:hint="eastAsia"/>
          <w:color w:val="0000FF"/>
          <w:szCs w:val="28"/>
        </w:rPr>
        <w:t>1</w:t>
      </w:r>
      <w:r>
        <w:rPr>
          <w:rFonts w:hint="eastAsia"/>
          <w:color w:val="0000FF"/>
          <w:szCs w:val="28"/>
          <w:lang w:val="zh-CN"/>
        </w:rPr>
        <w:t>调查</w:t>
      </w:r>
      <w:r>
        <w:rPr>
          <w:color w:val="0000FF"/>
          <w:szCs w:val="28"/>
          <w:lang w:val="zh-CN"/>
        </w:rPr>
        <w:t>时段</w:t>
      </w:r>
      <w:bookmarkEnd w:id="133"/>
      <w:bookmarkEnd w:id="134"/>
      <w:bookmarkEnd w:id="135"/>
      <w:bookmarkEnd w:id="136"/>
      <w:bookmarkEnd w:id="137"/>
      <w:bookmarkEnd w:id="138"/>
      <w:bookmarkEnd w:id="139"/>
      <w:bookmarkEnd w:id="140"/>
      <w:bookmarkEnd w:id="141"/>
    </w:p>
    <w:p w:rsidR="00F44F7B" w:rsidRDefault="00730D49">
      <w:pPr>
        <w:pStyle w:val="13"/>
        <w:ind w:firstLine="480"/>
        <w:rPr>
          <w:color w:val="0000FF"/>
        </w:rPr>
      </w:pPr>
      <w:bookmarkStart w:id="142" w:name="_Toc329789227"/>
      <w:bookmarkStart w:id="143" w:name="_Toc330159440"/>
      <w:bookmarkStart w:id="144" w:name="_Toc318898272"/>
      <w:bookmarkStart w:id="145" w:name="_Toc12580"/>
      <w:bookmarkStart w:id="146" w:name="_Toc240292462"/>
      <w:bookmarkStart w:id="147" w:name="_Toc317148117"/>
      <w:bookmarkStart w:id="148" w:name="_Toc329513679"/>
      <w:bookmarkStart w:id="149" w:name="_Toc320028821"/>
      <w:bookmarkStart w:id="150" w:name="_Toc31451"/>
      <w:r>
        <w:rPr>
          <w:color w:val="0000FF"/>
        </w:rPr>
        <w:t>本项目建设期水土流失</w:t>
      </w:r>
      <w:r>
        <w:rPr>
          <w:rFonts w:hint="eastAsia"/>
          <w:color w:val="0000FF"/>
        </w:rPr>
        <w:t>调查</w:t>
      </w:r>
      <w:r>
        <w:rPr>
          <w:color w:val="0000FF"/>
        </w:rPr>
        <w:t>是在对区域范围内影响水土流失的自然因素和工程建设中的人为因素分析基础上确定的。水土流失</w:t>
      </w:r>
      <w:r>
        <w:rPr>
          <w:rFonts w:hint="eastAsia"/>
          <w:color w:val="0000FF"/>
        </w:rPr>
        <w:t>调查</w:t>
      </w:r>
      <w:r>
        <w:rPr>
          <w:color w:val="0000FF"/>
        </w:rPr>
        <w:t>时段包括施工准备期、</w:t>
      </w:r>
      <w:r>
        <w:rPr>
          <w:rFonts w:hint="eastAsia"/>
          <w:color w:val="0000FF"/>
        </w:rPr>
        <w:t>施工</w:t>
      </w:r>
      <w:r>
        <w:rPr>
          <w:color w:val="0000FF"/>
        </w:rPr>
        <w:t>期和自然恢复期。</w:t>
      </w:r>
    </w:p>
    <w:p w:rsidR="00F44F7B" w:rsidRDefault="00730D49">
      <w:pPr>
        <w:pStyle w:val="13"/>
        <w:ind w:firstLine="480"/>
        <w:rPr>
          <w:color w:val="0000FF"/>
        </w:rPr>
      </w:pPr>
      <w:r>
        <w:rPr>
          <w:color w:val="0000FF"/>
        </w:rPr>
        <w:t>本项目</w:t>
      </w:r>
      <w:r>
        <w:rPr>
          <w:rFonts w:hint="eastAsia"/>
          <w:color w:val="0000FF"/>
        </w:rPr>
        <w:t>已于</w:t>
      </w:r>
      <w:r>
        <w:rPr>
          <w:color w:val="0000FF"/>
        </w:rPr>
        <w:t>201</w:t>
      </w:r>
      <w:r>
        <w:rPr>
          <w:rFonts w:hint="eastAsia"/>
          <w:color w:val="0000FF"/>
        </w:rPr>
        <w:t>7</w:t>
      </w:r>
      <w:r>
        <w:rPr>
          <w:color w:val="0000FF"/>
        </w:rPr>
        <w:t>年</w:t>
      </w:r>
      <w:r>
        <w:rPr>
          <w:rFonts w:hint="eastAsia"/>
          <w:color w:val="0000FF"/>
        </w:rPr>
        <w:t>4</w:t>
      </w:r>
      <w:r>
        <w:rPr>
          <w:color w:val="0000FF"/>
        </w:rPr>
        <w:t>月开工建设，</w:t>
      </w:r>
      <w:r>
        <w:rPr>
          <w:color w:val="0000FF"/>
        </w:rPr>
        <w:t>20</w:t>
      </w:r>
      <w:r>
        <w:rPr>
          <w:rFonts w:hint="eastAsia"/>
          <w:color w:val="0000FF"/>
        </w:rPr>
        <w:t>17</w:t>
      </w:r>
      <w:r>
        <w:rPr>
          <w:color w:val="0000FF"/>
        </w:rPr>
        <w:t>年</w:t>
      </w:r>
      <w:r>
        <w:rPr>
          <w:rFonts w:hint="eastAsia"/>
          <w:color w:val="0000FF"/>
        </w:rPr>
        <w:t>12</w:t>
      </w:r>
      <w:r>
        <w:rPr>
          <w:color w:val="0000FF"/>
        </w:rPr>
        <w:t>月，共计</w:t>
      </w:r>
      <w:r>
        <w:rPr>
          <w:rFonts w:hint="eastAsia"/>
          <w:color w:val="0000FF"/>
        </w:rPr>
        <w:t>9</w:t>
      </w:r>
      <w:r>
        <w:rPr>
          <w:color w:val="0000FF"/>
        </w:rPr>
        <w:t>个月全部建设完成。</w:t>
      </w:r>
      <w:r>
        <w:rPr>
          <w:rFonts w:hint="eastAsia"/>
          <w:color w:val="0000FF"/>
        </w:rPr>
        <w:t>属于已完工项目，</w:t>
      </w:r>
      <w:r>
        <w:rPr>
          <w:color w:val="0000FF"/>
        </w:rPr>
        <w:t>目前</w:t>
      </w:r>
      <w:r>
        <w:rPr>
          <w:rFonts w:hint="eastAsia"/>
          <w:color w:val="0000FF"/>
        </w:rPr>
        <w:t>已投入使用</w:t>
      </w:r>
      <w:r>
        <w:rPr>
          <w:color w:val="0000FF"/>
        </w:rPr>
        <w:t>。</w:t>
      </w:r>
    </w:p>
    <w:p w:rsidR="00F44F7B" w:rsidRDefault="00730D49">
      <w:pPr>
        <w:pStyle w:val="13"/>
        <w:ind w:firstLine="480"/>
        <w:rPr>
          <w:color w:val="0000FF"/>
        </w:rPr>
      </w:pPr>
      <w:r>
        <w:rPr>
          <w:color w:val="0000FF"/>
        </w:rPr>
        <w:t>施工期（含施工准备期）：</w:t>
      </w:r>
      <w:r>
        <w:rPr>
          <w:color w:val="0000FF"/>
        </w:rPr>
        <w:t>20</w:t>
      </w:r>
      <w:r>
        <w:rPr>
          <w:rFonts w:hint="eastAsia"/>
          <w:color w:val="0000FF"/>
        </w:rPr>
        <w:t>17</w:t>
      </w:r>
      <w:r>
        <w:rPr>
          <w:color w:val="0000FF"/>
        </w:rPr>
        <w:t>年</w:t>
      </w:r>
      <w:r>
        <w:rPr>
          <w:rFonts w:hint="eastAsia"/>
          <w:color w:val="0000FF"/>
        </w:rPr>
        <w:t>4</w:t>
      </w:r>
      <w:r>
        <w:rPr>
          <w:color w:val="0000FF"/>
        </w:rPr>
        <w:t>月</w:t>
      </w:r>
      <w:r>
        <w:rPr>
          <w:color w:val="0000FF"/>
        </w:rPr>
        <w:t>-20</w:t>
      </w:r>
      <w:r>
        <w:rPr>
          <w:rFonts w:hint="eastAsia"/>
          <w:color w:val="0000FF"/>
        </w:rPr>
        <w:t>17</w:t>
      </w:r>
      <w:r>
        <w:rPr>
          <w:color w:val="0000FF"/>
        </w:rPr>
        <w:t>年</w:t>
      </w:r>
      <w:r>
        <w:rPr>
          <w:rFonts w:hint="eastAsia"/>
          <w:color w:val="0000FF"/>
        </w:rPr>
        <w:t>12</w:t>
      </w:r>
      <w:r>
        <w:rPr>
          <w:color w:val="0000FF"/>
        </w:rPr>
        <w:t>月，共计</w:t>
      </w:r>
      <w:r>
        <w:rPr>
          <w:rFonts w:hint="eastAsia"/>
          <w:color w:val="0000FF"/>
        </w:rPr>
        <w:t>9</w:t>
      </w:r>
      <w:r>
        <w:rPr>
          <w:color w:val="0000FF"/>
        </w:rPr>
        <w:t>个月为工程建设期，</w:t>
      </w:r>
      <w:r>
        <w:rPr>
          <w:rFonts w:hint="eastAsia"/>
          <w:color w:val="0000FF"/>
        </w:rPr>
        <w:t>根据《生产建设项目水土保持技术标准》（</w:t>
      </w:r>
      <w:r>
        <w:rPr>
          <w:rFonts w:hint="eastAsia"/>
          <w:color w:val="0000FF"/>
        </w:rPr>
        <w:t>GB50433-2018</w:t>
      </w:r>
      <w:r>
        <w:rPr>
          <w:rFonts w:hint="eastAsia"/>
          <w:color w:val="0000FF"/>
        </w:rPr>
        <w:t>）</w:t>
      </w:r>
      <w:r>
        <w:rPr>
          <w:rFonts w:hint="eastAsia"/>
          <w:color w:val="0000FF"/>
        </w:rPr>
        <w:t>4.5.6</w:t>
      </w:r>
      <w:r>
        <w:rPr>
          <w:rFonts w:hint="eastAsia"/>
          <w:color w:val="0000FF"/>
        </w:rPr>
        <w:t>第</w:t>
      </w:r>
      <w:r>
        <w:rPr>
          <w:rFonts w:hint="eastAsia"/>
          <w:color w:val="0000FF"/>
        </w:rPr>
        <w:t>3</w:t>
      </w:r>
      <w:r>
        <w:rPr>
          <w:rFonts w:hint="eastAsia"/>
          <w:color w:val="0000FF"/>
        </w:rPr>
        <w:t>条施工期预测时间应按连续</w:t>
      </w:r>
      <w:r>
        <w:rPr>
          <w:rFonts w:hint="eastAsia"/>
          <w:color w:val="0000FF"/>
        </w:rPr>
        <w:t>12</w:t>
      </w:r>
      <w:r>
        <w:rPr>
          <w:rFonts w:hint="eastAsia"/>
          <w:color w:val="0000FF"/>
        </w:rPr>
        <w:t>个月为一年计；不足</w:t>
      </w:r>
      <w:r>
        <w:rPr>
          <w:rFonts w:hint="eastAsia"/>
          <w:color w:val="0000FF"/>
        </w:rPr>
        <w:t>12</w:t>
      </w:r>
      <w:r>
        <w:rPr>
          <w:rFonts w:hint="eastAsia"/>
          <w:color w:val="0000FF"/>
        </w:rPr>
        <w:t>个月，但达到一个雨（风）季长度的，按一年计；不足一个雨（风）季长度的，按占雨（风）季长度的比例计算。因此，本工程施工期</w:t>
      </w:r>
      <w:r>
        <w:rPr>
          <w:rFonts w:hint="eastAsia"/>
          <w:color w:val="0000FF"/>
        </w:rPr>
        <w:t>调查</w:t>
      </w:r>
      <w:r>
        <w:rPr>
          <w:color w:val="0000FF"/>
        </w:rPr>
        <w:t>时段按</w:t>
      </w:r>
      <w:r>
        <w:rPr>
          <w:rFonts w:hint="eastAsia"/>
          <w:color w:val="0000FF"/>
        </w:rPr>
        <w:t>0.75</w:t>
      </w:r>
      <w:r>
        <w:rPr>
          <w:color w:val="0000FF"/>
        </w:rPr>
        <w:t>年计。</w:t>
      </w:r>
    </w:p>
    <w:p w:rsidR="00F44F7B" w:rsidRDefault="00730D49">
      <w:pPr>
        <w:pStyle w:val="13"/>
        <w:ind w:firstLine="480"/>
        <w:rPr>
          <w:color w:val="0000FF"/>
        </w:rPr>
      </w:pPr>
      <w:r>
        <w:rPr>
          <w:color w:val="0000FF"/>
        </w:rPr>
        <w:t>自然恢复期：</w:t>
      </w:r>
      <w:r>
        <w:rPr>
          <w:rFonts w:hint="eastAsia"/>
          <w:color w:val="0000FF"/>
        </w:rPr>
        <w:t>根据《生产建设项目水土保持技术标准》（</w:t>
      </w:r>
      <w:r>
        <w:rPr>
          <w:rFonts w:hint="eastAsia"/>
          <w:color w:val="0000FF"/>
        </w:rPr>
        <w:t>GB50433-2018</w:t>
      </w:r>
      <w:r>
        <w:rPr>
          <w:rFonts w:hint="eastAsia"/>
          <w:color w:val="0000FF"/>
        </w:rPr>
        <w:t>）</w:t>
      </w:r>
      <w:r>
        <w:rPr>
          <w:rFonts w:hint="eastAsia"/>
          <w:color w:val="0000FF"/>
        </w:rPr>
        <w:t>4.5.6</w:t>
      </w:r>
      <w:r>
        <w:rPr>
          <w:rFonts w:hint="eastAsia"/>
          <w:color w:val="0000FF"/>
        </w:rPr>
        <w:t>第</w:t>
      </w:r>
      <w:r>
        <w:rPr>
          <w:rFonts w:hint="eastAsia"/>
          <w:color w:val="0000FF"/>
        </w:rPr>
        <w:t>2</w:t>
      </w:r>
      <w:r>
        <w:rPr>
          <w:rFonts w:hint="eastAsia"/>
          <w:color w:val="0000FF"/>
        </w:rPr>
        <w:t>条自然恢复期为施工扰动结束后，不采取水土保持措施的情况下</w:t>
      </w:r>
      <w:r>
        <w:rPr>
          <w:rFonts w:hint="eastAsia"/>
          <w:color w:val="0000FF"/>
        </w:rPr>
        <w:t>,</w:t>
      </w:r>
      <w:r>
        <w:rPr>
          <w:rFonts w:hint="eastAsia"/>
          <w:color w:val="0000FF"/>
        </w:rPr>
        <w:t>土壤侵蚀强度自然恢复到扰动前土壤侵蚀强度所需要的时间，应根据当地自然条件确定，一般情况下湿润</w:t>
      </w:r>
      <w:r>
        <w:rPr>
          <w:rFonts w:hint="eastAsia"/>
          <w:color w:val="0000FF"/>
        </w:rPr>
        <w:t>区取</w:t>
      </w:r>
      <w:r>
        <w:rPr>
          <w:rFonts w:hint="eastAsia"/>
          <w:color w:val="0000FF"/>
        </w:rPr>
        <w:t>2</w:t>
      </w:r>
      <w:r>
        <w:rPr>
          <w:rFonts w:hint="eastAsia"/>
          <w:color w:val="0000FF"/>
        </w:rPr>
        <w:t>年，半湿润区取</w:t>
      </w:r>
      <w:r>
        <w:rPr>
          <w:rFonts w:hint="eastAsia"/>
          <w:color w:val="0000FF"/>
        </w:rPr>
        <w:t>3</w:t>
      </w:r>
      <w:r>
        <w:rPr>
          <w:rFonts w:hint="eastAsia"/>
          <w:color w:val="0000FF"/>
        </w:rPr>
        <w:t>年，干旱半干旱区取</w:t>
      </w:r>
      <w:r>
        <w:rPr>
          <w:rFonts w:hint="eastAsia"/>
          <w:color w:val="0000FF"/>
        </w:rPr>
        <w:t>5</w:t>
      </w:r>
      <w:r>
        <w:rPr>
          <w:rFonts w:hint="eastAsia"/>
          <w:color w:val="0000FF"/>
        </w:rPr>
        <w:t>年。</w:t>
      </w:r>
      <w:r>
        <w:rPr>
          <w:color w:val="0000FF"/>
        </w:rPr>
        <w:t>结合方案设计水平年，确定自然恢复期预测时段为</w:t>
      </w:r>
      <w:r>
        <w:rPr>
          <w:rFonts w:hint="eastAsia"/>
          <w:color w:val="0000FF"/>
        </w:rPr>
        <w:t>2</w:t>
      </w:r>
      <w:r>
        <w:rPr>
          <w:color w:val="0000FF"/>
        </w:rPr>
        <w:t>年。</w:t>
      </w:r>
    </w:p>
    <w:p w:rsidR="00F44F7B" w:rsidRDefault="00730D49">
      <w:pPr>
        <w:pStyle w:val="3"/>
        <w:widowControl/>
        <w:spacing w:beforeLines="50" w:before="156"/>
        <w:rPr>
          <w:szCs w:val="28"/>
          <w:lang w:val="zh-CN"/>
        </w:rPr>
      </w:pPr>
      <w:r>
        <w:rPr>
          <w:rFonts w:hint="eastAsia"/>
          <w:szCs w:val="28"/>
        </w:rPr>
        <w:t>4</w:t>
      </w:r>
      <w:r>
        <w:rPr>
          <w:szCs w:val="28"/>
        </w:rPr>
        <w:t>.3.</w:t>
      </w:r>
      <w:r>
        <w:rPr>
          <w:rFonts w:hint="eastAsia"/>
          <w:szCs w:val="28"/>
        </w:rPr>
        <w:t>2</w:t>
      </w:r>
      <w:r>
        <w:rPr>
          <w:rFonts w:hint="eastAsia"/>
          <w:szCs w:val="28"/>
          <w:lang w:val="zh-CN"/>
        </w:rPr>
        <w:t>调查范围</w:t>
      </w:r>
    </w:p>
    <w:p w:rsidR="00F44F7B" w:rsidRDefault="00730D49">
      <w:pPr>
        <w:pStyle w:val="13"/>
        <w:ind w:firstLine="480"/>
        <w:rPr>
          <w:color w:val="0000FF"/>
          <w:szCs w:val="22"/>
        </w:rPr>
      </w:pPr>
      <w:r>
        <w:rPr>
          <w:color w:val="0000FF"/>
          <w:szCs w:val="22"/>
        </w:rPr>
        <w:t>根据对工程施工情况的调查回顾，工程施工扰动面积。根据工程特性及占地类型、</w:t>
      </w:r>
      <w:r>
        <w:rPr>
          <w:color w:val="0000FF"/>
          <w:szCs w:val="22"/>
        </w:rPr>
        <w:lastRenderedPageBreak/>
        <w:t>施工进度及施工方式上的差别，将水土流失</w:t>
      </w:r>
      <w:r>
        <w:rPr>
          <w:rFonts w:hint="eastAsia"/>
          <w:color w:val="0000FF"/>
          <w:szCs w:val="22"/>
        </w:rPr>
        <w:t>调查</w:t>
      </w:r>
      <w:r>
        <w:rPr>
          <w:color w:val="0000FF"/>
          <w:szCs w:val="22"/>
        </w:rPr>
        <w:t>单元划分为：</w:t>
      </w:r>
      <w:r>
        <w:rPr>
          <w:rFonts w:hint="eastAsia"/>
          <w:color w:val="0000FF"/>
          <w:szCs w:val="22"/>
        </w:rPr>
        <w:t>建构筑物区和配套设施区</w:t>
      </w:r>
      <w:r>
        <w:rPr>
          <w:color w:val="0000FF"/>
          <w:szCs w:val="22"/>
        </w:rPr>
        <w:t>。施工准备及施工期调查范围为整个工程建设所占用和扰动区域，调查面积为</w:t>
      </w:r>
      <w:r>
        <w:rPr>
          <w:rFonts w:hint="eastAsia"/>
          <w:color w:val="0000FF"/>
          <w:szCs w:val="22"/>
        </w:rPr>
        <w:t>0.43</w:t>
      </w:r>
      <w:r>
        <w:rPr>
          <w:color w:val="0000FF"/>
          <w:szCs w:val="22"/>
        </w:rPr>
        <w:t>hm</w:t>
      </w:r>
      <w:r>
        <w:rPr>
          <w:color w:val="0000FF"/>
          <w:szCs w:val="22"/>
          <w:vertAlign w:val="superscript"/>
        </w:rPr>
        <w:t>2</w:t>
      </w:r>
      <w:r>
        <w:rPr>
          <w:color w:val="0000FF"/>
          <w:szCs w:val="22"/>
        </w:rPr>
        <w:t>；在自然恢复期，项目区绝大部分为建构筑物及硬化地面所覆盖，方案对硬化区域不再调查，自然恢复期调查范围主要为景观绿化区域占地面积</w:t>
      </w:r>
      <w:r>
        <w:rPr>
          <w:color w:val="0000FF"/>
          <w:szCs w:val="22"/>
        </w:rPr>
        <w:t>0.</w:t>
      </w:r>
      <w:r>
        <w:rPr>
          <w:rFonts w:hint="eastAsia"/>
          <w:color w:val="0000FF"/>
          <w:szCs w:val="22"/>
        </w:rPr>
        <w:t>02</w:t>
      </w:r>
      <w:r>
        <w:rPr>
          <w:color w:val="0000FF"/>
          <w:szCs w:val="22"/>
        </w:rPr>
        <w:t>hm</w:t>
      </w:r>
      <w:r>
        <w:rPr>
          <w:color w:val="0000FF"/>
          <w:szCs w:val="22"/>
          <w:vertAlign w:val="superscript"/>
        </w:rPr>
        <w:t>2</w:t>
      </w:r>
      <w:r>
        <w:rPr>
          <w:color w:val="0000FF"/>
          <w:szCs w:val="22"/>
        </w:rPr>
        <w:t>。</w:t>
      </w:r>
    </w:p>
    <w:p w:rsidR="00F44F7B" w:rsidRDefault="00730D49">
      <w:pPr>
        <w:pStyle w:val="3"/>
        <w:widowControl/>
        <w:spacing w:beforeLines="50" w:before="156"/>
        <w:rPr>
          <w:szCs w:val="28"/>
          <w:lang w:val="zh-CN"/>
        </w:rPr>
      </w:pPr>
      <w:r>
        <w:rPr>
          <w:rFonts w:hint="eastAsia"/>
          <w:szCs w:val="28"/>
        </w:rPr>
        <w:t>4</w:t>
      </w:r>
      <w:r>
        <w:rPr>
          <w:szCs w:val="28"/>
        </w:rPr>
        <w:t>.3.3</w:t>
      </w:r>
      <w:bookmarkEnd w:id="142"/>
      <w:bookmarkEnd w:id="143"/>
      <w:bookmarkEnd w:id="144"/>
      <w:bookmarkEnd w:id="145"/>
      <w:bookmarkEnd w:id="146"/>
      <w:bookmarkEnd w:id="147"/>
      <w:bookmarkEnd w:id="148"/>
      <w:bookmarkEnd w:id="149"/>
      <w:bookmarkEnd w:id="150"/>
      <w:r>
        <w:rPr>
          <w:szCs w:val="28"/>
          <w:lang w:val="zh-CN"/>
        </w:rPr>
        <w:t>土壤侵蚀模数</w:t>
      </w:r>
    </w:p>
    <w:p w:rsidR="00F44F7B" w:rsidRDefault="00730D49">
      <w:pPr>
        <w:spacing w:line="360" w:lineRule="auto"/>
        <w:ind w:firstLineChars="200" w:firstLine="480"/>
        <w:rPr>
          <w:szCs w:val="24"/>
        </w:rPr>
      </w:pPr>
      <w:bookmarkStart w:id="151" w:name="_Toc225656896"/>
      <w:r>
        <w:rPr>
          <w:szCs w:val="24"/>
        </w:rPr>
        <w:t>一、预测内容</w:t>
      </w:r>
      <w:bookmarkEnd w:id="151"/>
      <w:r>
        <w:rPr>
          <w:szCs w:val="24"/>
        </w:rPr>
        <w:t>及方法</w:t>
      </w:r>
    </w:p>
    <w:p w:rsidR="00F44F7B" w:rsidRDefault="00730D49">
      <w:pPr>
        <w:spacing w:line="360" w:lineRule="auto"/>
        <w:ind w:firstLineChars="200" w:firstLine="480"/>
        <w:rPr>
          <w:szCs w:val="24"/>
        </w:rPr>
      </w:pPr>
      <w:r>
        <w:rPr>
          <w:szCs w:val="24"/>
        </w:rPr>
        <w:t>（</w:t>
      </w:r>
      <w:r>
        <w:rPr>
          <w:szCs w:val="24"/>
        </w:rPr>
        <w:t>1</w:t>
      </w:r>
      <w:r>
        <w:rPr>
          <w:szCs w:val="24"/>
        </w:rPr>
        <w:t>）扰动地表面积</w:t>
      </w:r>
    </w:p>
    <w:p w:rsidR="00F44F7B" w:rsidRDefault="00730D49">
      <w:pPr>
        <w:spacing w:line="360" w:lineRule="auto"/>
        <w:ind w:firstLineChars="200" w:firstLine="480"/>
        <w:rPr>
          <w:szCs w:val="24"/>
        </w:rPr>
      </w:pPr>
      <w:r>
        <w:rPr>
          <w:szCs w:val="24"/>
        </w:rPr>
        <w:t>根据主体工程设计资料，对项目区进行了实地调查，经统计分析，确定实际扰动的地表面积。</w:t>
      </w:r>
    </w:p>
    <w:p w:rsidR="00F44F7B" w:rsidRDefault="00730D49">
      <w:pPr>
        <w:spacing w:line="360" w:lineRule="auto"/>
        <w:ind w:firstLineChars="200" w:firstLine="480"/>
        <w:rPr>
          <w:szCs w:val="24"/>
        </w:rPr>
      </w:pPr>
      <w:r>
        <w:rPr>
          <w:szCs w:val="24"/>
        </w:rPr>
        <w:t>（</w:t>
      </w:r>
      <w:r>
        <w:rPr>
          <w:szCs w:val="24"/>
        </w:rPr>
        <w:t>2</w:t>
      </w:r>
      <w:r>
        <w:rPr>
          <w:szCs w:val="24"/>
        </w:rPr>
        <w:t>）弃渣量</w:t>
      </w:r>
    </w:p>
    <w:p w:rsidR="00F44F7B" w:rsidRDefault="00730D49">
      <w:pPr>
        <w:spacing w:line="360" w:lineRule="auto"/>
        <w:ind w:firstLineChars="200" w:firstLine="480"/>
        <w:rPr>
          <w:szCs w:val="24"/>
        </w:rPr>
      </w:pPr>
      <w:r>
        <w:rPr>
          <w:szCs w:val="24"/>
        </w:rPr>
        <w:t>通过查阅主体工程设计资料，根据工程的开挖回填量，结合施工组织设计、土石方平衡分析等，对各分区产生的弃渣量进行预测。</w:t>
      </w:r>
    </w:p>
    <w:p w:rsidR="00F44F7B" w:rsidRDefault="00730D49">
      <w:pPr>
        <w:spacing w:line="360" w:lineRule="auto"/>
        <w:ind w:firstLineChars="200" w:firstLine="480"/>
        <w:rPr>
          <w:szCs w:val="24"/>
        </w:rPr>
      </w:pPr>
      <w:r>
        <w:rPr>
          <w:szCs w:val="24"/>
        </w:rPr>
        <w:t>（</w:t>
      </w:r>
      <w:r>
        <w:rPr>
          <w:szCs w:val="24"/>
        </w:rPr>
        <w:t>3</w:t>
      </w:r>
      <w:r>
        <w:rPr>
          <w:szCs w:val="24"/>
        </w:rPr>
        <w:t>）水土流失量</w:t>
      </w:r>
    </w:p>
    <w:p w:rsidR="00F44F7B" w:rsidRDefault="00730D49">
      <w:pPr>
        <w:spacing w:line="360" w:lineRule="auto"/>
        <w:ind w:firstLineChars="200" w:firstLine="480"/>
        <w:rPr>
          <w:szCs w:val="24"/>
        </w:rPr>
      </w:pPr>
      <w:r>
        <w:rPr>
          <w:szCs w:val="24"/>
        </w:rPr>
        <w:t>水土流失量预测采用侵蚀模数法进行水土流失预测。计算公式如下：</w:t>
      </w:r>
    </w:p>
    <w:p w:rsidR="00F44F7B" w:rsidRDefault="00730D49">
      <w:pPr>
        <w:spacing w:line="360" w:lineRule="auto"/>
        <w:ind w:firstLineChars="200" w:firstLine="480"/>
        <w:rPr>
          <w:szCs w:val="24"/>
        </w:rPr>
      </w:pPr>
      <w:r>
        <w:rPr>
          <w:szCs w:val="24"/>
        </w:rPr>
        <w:object w:dxaOrig="2811" w:dyaOrig="6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0.55pt;height:32.55pt" o:ole="">
            <v:imagedata r:id="rId22" o:title=""/>
          </v:shape>
          <o:OLEObject Type="Embed" ProgID="Equation.3" ShapeID="_x0000_i1025" DrawAspect="Content" ObjectID="_1680437431" r:id="rId23"/>
        </w:object>
      </w:r>
    </w:p>
    <w:p w:rsidR="00F44F7B" w:rsidRDefault="00730D49">
      <w:pPr>
        <w:spacing w:line="360" w:lineRule="auto"/>
        <w:ind w:firstLineChars="200" w:firstLine="480"/>
        <w:rPr>
          <w:szCs w:val="24"/>
        </w:rPr>
      </w:pPr>
      <w:r>
        <w:rPr>
          <w:szCs w:val="24"/>
        </w:rPr>
        <w:object w:dxaOrig="3189" w:dyaOrig="651">
          <v:shape id="_x0000_i1026" type="#_x0000_t75" style="width:159.45pt;height:32.55pt" o:ole="">
            <v:imagedata r:id="rId24" o:title=""/>
          </v:shape>
          <o:OLEObject Type="Embed" ProgID="Equation.3" ShapeID="_x0000_i1026" DrawAspect="Content" ObjectID="_1680437432" r:id="rId25"/>
        </w:object>
      </w:r>
    </w:p>
    <w:p w:rsidR="00F44F7B" w:rsidRDefault="00730D49">
      <w:pPr>
        <w:spacing w:line="360" w:lineRule="auto"/>
        <w:ind w:firstLineChars="200" w:firstLine="480"/>
        <w:rPr>
          <w:szCs w:val="24"/>
        </w:rPr>
      </w:pPr>
      <w:r>
        <w:rPr>
          <w:szCs w:val="24"/>
        </w:rPr>
        <w:t>式中：</w:t>
      </w:r>
      <w:r>
        <w:rPr>
          <w:szCs w:val="24"/>
        </w:rPr>
        <w:t>W——</w:t>
      </w:r>
      <w:r>
        <w:rPr>
          <w:szCs w:val="24"/>
        </w:rPr>
        <w:t>土壤流失量，</w:t>
      </w:r>
      <w:r>
        <w:rPr>
          <w:szCs w:val="24"/>
        </w:rPr>
        <w:t>t</w:t>
      </w:r>
      <w:r>
        <w:rPr>
          <w:szCs w:val="24"/>
        </w:rPr>
        <w:t>；</w:t>
      </w:r>
    </w:p>
    <w:p w:rsidR="00F44F7B" w:rsidRDefault="00730D49">
      <w:pPr>
        <w:spacing w:line="360" w:lineRule="auto"/>
        <w:ind w:firstLineChars="200" w:firstLine="480"/>
        <w:rPr>
          <w:szCs w:val="24"/>
        </w:rPr>
      </w:pPr>
      <w:r>
        <w:rPr>
          <w:szCs w:val="24"/>
        </w:rPr>
        <w:t>ΔW——</w:t>
      </w:r>
      <w:r>
        <w:rPr>
          <w:szCs w:val="24"/>
        </w:rPr>
        <w:t>新增土壤流失量，</w:t>
      </w:r>
      <w:r>
        <w:rPr>
          <w:szCs w:val="24"/>
        </w:rPr>
        <w:t>t</w:t>
      </w:r>
      <w:r>
        <w:rPr>
          <w:szCs w:val="24"/>
        </w:rPr>
        <w:t>；</w:t>
      </w:r>
    </w:p>
    <w:p w:rsidR="00F44F7B" w:rsidRDefault="00730D49">
      <w:pPr>
        <w:spacing w:line="360" w:lineRule="auto"/>
        <w:ind w:firstLineChars="200" w:firstLine="480"/>
        <w:rPr>
          <w:szCs w:val="24"/>
        </w:rPr>
      </w:pPr>
      <w:r>
        <w:rPr>
          <w:szCs w:val="24"/>
        </w:rPr>
        <w:t>Fji——</w:t>
      </w:r>
      <w:r>
        <w:rPr>
          <w:szCs w:val="24"/>
        </w:rPr>
        <w:t>某</w:t>
      </w:r>
      <w:r>
        <w:rPr>
          <w:szCs w:val="24"/>
        </w:rPr>
        <w:t>时段某单元的预测面积，</w:t>
      </w:r>
      <w:r>
        <w:rPr>
          <w:szCs w:val="24"/>
        </w:rPr>
        <w:t>km</w:t>
      </w:r>
      <w:r>
        <w:rPr>
          <w:szCs w:val="24"/>
          <w:vertAlign w:val="superscript"/>
        </w:rPr>
        <w:t>2</w:t>
      </w:r>
      <w:r>
        <w:rPr>
          <w:szCs w:val="24"/>
        </w:rPr>
        <w:t>；</w:t>
      </w:r>
    </w:p>
    <w:p w:rsidR="00F44F7B" w:rsidRDefault="00730D49">
      <w:pPr>
        <w:spacing w:line="360" w:lineRule="auto"/>
        <w:ind w:firstLineChars="200" w:firstLine="480"/>
        <w:rPr>
          <w:szCs w:val="24"/>
        </w:rPr>
      </w:pPr>
      <w:r>
        <w:rPr>
          <w:szCs w:val="24"/>
        </w:rPr>
        <w:t>Mji——</w:t>
      </w:r>
      <w:r>
        <w:rPr>
          <w:szCs w:val="24"/>
        </w:rPr>
        <w:t>某时段某单元的土壤侵蚀模数，</w:t>
      </w:r>
      <w:r>
        <w:rPr>
          <w:szCs w:val="24"/>
        </w:rPr>
        <w:t>t/(km</w:t>
      </w:r>
      <w:r>
        <w:rPr>
          <w:szCs w:val="24"/>
          <w:vertAlign w:val="superscript"/>
        </w:rPr>
        <w:t>2</w:t>
      </w:r>
      <w:r>
        <w:rPr>
          <w:szCs w:val="24"/>
        </w:rPr>
        <w:t>·a)</w:t>
      </w:r>
      <w:r>
        <w:rPr>
          <w:szCs w:val="24"/>
        </w:rPr>
        <w:t>；</w:t>
      </w:r>
    </w:p>
    <w:p w:rsidR="00F44F7B" w:rsidRDefault="00730D49">
      <w:pPr>
        <w:spacing w:line="360" w:lineRule="auto"/>
        <w:ind w:firstLineChars="200" w:firstLine="480"/>
        <w:rPr>
          <w:szCs w:val="24"/>
        </w:rPr>
      </w:pPr>
      <w:r>
        <w:rPr>
          <w:szCs w:val="24"/>
        </w:rPr>
        <w:t>ΔMji——</w:t>
      </w:r>
      <w:r>
        <w:rPr>
          <w:szCs w:val="24"/>
        </w:rPr>
        <w:t>某时段某单元的新增土壤侵蚀模数，</w:t>
      </w:r>
      <w:r>
        <w:rPr>
          <w:szCs w:val="24"/>
        </w:rPr>
        <w:t>t/(km</w:t>
      </w:r>
      <w:r>
        <w:rPr>
          <w:szCs w:val="24"/>
          <w:vertAlign w:val="superscript"/>
        </w:rPr>
        <w:t>2</w:t>
      </w:r>
      <w:r>
        <w:rPr>
          <w:szCs w:val="24"/>
        </w:rPr>
        <w:t>·a)</w:t>
      </w:r>
      <w:r>
        <w:rPr>
          <w:szCs w:val="24"/>
        </w:rPr>
        <w:t>，只计正值，负值按</w:t>
      </w:r>
      <w:r>
        <w:rPr>
          <w:szCs w:val="24"/>
        </w:rPr>
        <w:t>0</w:t>
      </w:r>
      <w:r>
        <w:rPr>
          <w:szCs w:val="24"/>
        </w:rPr>
        <w:t>计；</w:t>
      </w:r>
    </w:p>
    <w:p w:rsidR="00F44F7B" w:rsidRDefault="00730D49">
      <w:pPr>
        <w:spacing w:line="360" w:lineRule="auto"/>
        <w:ind w:firstLineChars="200" w:firstLine="480"/>
        <w:rPr>
          <w:szCs w:val="24"/>
        </w:rPr>
      </w:pPr>
      <w:r>
        <w:rPr>
          <w:szCs w:val="24"/>
        </w:rPr>
        <w:t>Tji——</w:t>
      </w:r>
      <w:r>
        <w:rPr>
          <w:szCs w:val="24"/>
        </w:rPr>
        <w:t>某时段某单元的预测时间，</w:t>
      </w:r>
      <w:r>
        <w:rPr>
          <w:szCs w:val="24"/>
        </w:rPr>
        <w:t>a</w:t>
      </w:r>
      <w:r>
        <w:rPr>
          <w:szCs w:val="24"/>
        </w:rPr>
        <w:t>。</w:t>
      </w:r>
    </w:p>
    <w:p w:rsidR="00F44F7B" w:rsidRDefault="00730D49">
      <w:pPr>
        <w:spacing w:line="360" w:lineRule="auto"/>
        <w:ind w:firstLineChars="200" w:firstLine="480"/>
        <w:rPr>
          <w:szCs w:val="24"/>
        </w:rPr>
      </w:pPr>
      <w:r>
        <w:rPr>
          <w:szCs w:val="24"/>
        </w:rPr>
        <w:t>i——</w:t>
      </w:r>
      <w:r>
        <w:rPr>
          <w:szCs w:val="24"/>
        </w:rPr>
        <w:t>预测单元，</w:t>
      </w:r>
      <w:r>
        <w:rPr>
          <w:szCs w:val="24"/>
        </w:rPr>
        <w:t>1</w:t>
      </w:r>
      <w:r>
        <w:rPr>
          <w:szCs w:val="24"/>
        </w:rPr>
        <w:t>，</w:t>
      </w:r>
      <w:r>
        <w:rPr>
          <w:szCs w:val="24"/>
        </w:rPr>
        <w:t>2</w:t>
      </w:r>
      <w:r>
        <w:rPr>
          <w:szCs w:val="24"/>
        </w:rPr>
        <w:t>，</w:t>
      </w:r>
      <w:r>
        <w:rPr>
          <w:szCs w:val="24"/>
        </w:rPr>
        <w:t>3</w:t>
      </w:r>
      <w:r>
        <w:rPr>
          <w:szCs w:val="24"/>
        </w:rPr>
        <w:t>，</w:t>
      </w:r>
      <w:r>
        <w:rPr>
          <w:szCs w:val="24"/>
        </w:rPr>
        <w:t>……n</w:t>
      </w:r>
      <w:r>
        <w:rPr>
          <w:szCs w:val="24"/>
        </w:rPr>
        <w:t>；</w:t>
      </w:r>
    </w:p>
    <w:p w:rsidR="00F44F7B" w:rsidRDefault="00730D49">
      <w:pPr>
        <w:spacing w:line="360" w:lineRule="auto"/>
        <w:ind w:firstLineChars="200" w:firstLine="480"/>
        <w:rPr>
          <w:szCs w:val="24"/>
        </w:rPr>
      </w:pPr>
      <w:r>
        <w:rPr>
          <w:szCs w:val="24"/>
        </w:rPr>
        <w:t>j——</w:t>
      </w:r>
      <w:r>
        <w:rPr>
          <w:szCs w:val="24"/>
        </w:rPr>
        <w:t>预测时段，</w:t>
      </w:r>
      <w:r>
        <w:rPr>
          <w:szCs w:val="24"/>
        </w:rPr>
        <w:t>1</w:t>
      </w:r>
      <w:r>
        <w:rPr>
          <w:szCs w:val="24"/>
        </w:rPr>
        <w:t>，</w:t>
      </w:r>
      <w:r>
        <w:rPr>
          <w:szCs w:val="24"/>
        </w:rPr>
        <w:t>2</w:t>
      </w:r>
      <w:r>
        <w:rPr>
          <w:szCs w:val="24"/>
        </w:rPr>
        <w:t>，指施工期、自然恢复期；</w:t>
      </w:r>
    </w:p>
    <w:p w:rsidR="00F44F7B" w:rsidRDefault="00730D49">
      <w:pPr>
        <w:spacing w:line="360" w:lineRule="auto"/>
        <w:ind w:firstLineChars="200" w:firstLine="480"/>
        <w:rPr>
          <w:szCs w:val="24"/>
        </w:rPr>
      </w:pPr>
      <w:r>
        <w:rPr>
          <w:szCs w:val="24"/>
        </w:rPr>
        <w:t>（</w:t>
      </w:r>
      <w:r>
        <w:rPr>
          <w:szCs w:val="24"/>
        </w:rPr>
        <w:t>4</w:t>
      </w:r>
      <w:r>
        <w:rPr>
          <w:szCs w:val="24"/>
        </w:rPr>
        <w:t>）水土流失危害</w:t>
      </w:r>
    </w:p>
    <w:p w:rsidR="00F44F7B" w:rsidRDefault="00730D49">
      <w:pPr>
        <w:spacing w:line="360" w:lineRule="auto"/>
        <w:ind w:firstLineChars="200" w:firstLine="480"/>
        <w:rPr>
          <w:szCs w:val="24"/>
        </w:rPr>
      </w:pPr>
      <w:r>
        <w:rPr>
          <w:szCs w:val="24"/>
        </w:rPr>
        <w:t>根据本工程的布局、施工工艺以及项目区地形地貌等，结合实地调查分析，分析可能造成的水土流失危害。</w:t>
      </w:r>
    </w:p>
    <w:p w:rsidR="00F44F7B" w:rsidRDefault="00730D49">
      <w:pPr>
        <w:spacing w:line="360" w:lineRule="auto"/>
        <w:ind w:firstLineChars="200" w:firstLine="480"/>
        <w:rPr>
          <w:color w:val="0000FF"/>
          <w:szCs w:val="24"/>
        </w:rPr>
      </w:pPr>
      <w:r>
        <w:rPr>
          <w:color w:val="0000FF"/>
          <w:szCs w:val="24"/>
        </w:rPr>
        <w:t>二、</w:t>
      </w:r>
      <w:r>
        <w:rPr>
          <w:rFonts w:hint="eastAsia"/>
          <w:color w:val="0000FF"/>
          <w:szCs w:val="24"/>
        </w:rPr>
        <w:t>侵蚀模</w:t>
      </w:r>
      <w:r>
        <w:rPr>
          <w:color w:val="0000FF"/>
          <w:szCs w:val="24"/>
        </w:rPr>
        <w:t>数</w:t>
      </w:r>
    </w:p>
    <w:p w:rsidR="00F44F7B" w:rsidRDefault="00730D49">
      <w:pPr>
        <w:spacing w:line="360" w:lineRule="auto"/>
        <w:ind w:firstLineChars="200" w:firstLine="480"/>
        <w:rPr>
          <w:kern w:val="28"/>
          <w:szCs w:val="24"/>
        </w:rPr>
      </w:pPr>
      <w:r>
        <w:rPr>
          <w:kern w:val="28"/>
          <w:szCs w:val="24"/>
        </w:rPr>
        <w:lastRenderedPageBreak/>
        <w:t>（</w:t>
      </w:r>
      <w:r>
        <w:rPr>
          <w:kern w:val="28"/>
          <w:szCs w:val="24"/>
        </w:rPr>
        <w:t>1</w:t>
      </w:r>
      <w:r>
        <w:rPr>
          <w:kern w:val="28"/>
          <w:szCs w:val="24"/>
        </w:rPr>
        <w:t>）原地表侵蚀模数</w:t>
      </w:r>
    </w:p>
    <w:p w:rsidR="00F44F7B" w:rsidRDefault="00730D49">
      <w:pPr>
        <w:spacing w:line="360" w:lineRule="auto"/>
        <w:ind w:firstLineChars="200" w:firstLine="480"/>
        <w:rPr>
          <w:color w:val="0000FF"/>
          <w:szCs w:val="24"/>
        </w:rPr>
      </w:pPr>
      <w:r>
        <w:rPr>
          <w:color w:val="0000FF"/>
          <w:kern w:val="28"/>
          <w:szCs w:val="24"/>
          <w:lang w:val="zh-CN"/>
        </w:rPr>
        <w:t>原地表土壤侵蚀模数采用调查得到的侵蚀模数。通过对项目建设区水土流失现状调查，根据水土流失因子调查表，参照《土壤侵蚀分类分级标准》，计算出各预测单元的原地表土壤侵蚀模数，</w:t>
      </w:r>
      <w:r>
        <w:rPr>
          <w:color w:val="0000FF"/>
          <w:szCs w:val="24"/>
        </w:rPr>
        <w:t>平均土壤侵蚀模数为</w:t>
      </w:r>
      <w:r>
        <w:rPr>
          <w:rFonts w:hint="eastAsia"/>
          <w:color w:val="0000FF"/>
          <w:szCs w:val="24"/>
        </w:rPr>
        <w:t>529</w:t>
      </w:r>
      <w:r>
        <w:rPr>
          <w:color w:val="0000FF"/>
          <w:szCs w:val="24"/>
        </w:rPr>
        <w:t>t/(km</w:t>
      </w:r>
      <w:r>
        <w:rPr>
          <w:color w:val="0000FF"/>
          <w:szCs w:val="24"/>
          <w:vertAlign w:val="superscript"/>
        </w:rPr>
        <w:t>2</w:t>
      </w:r>
      <w:r>
        <w:rPr>
          <w:color w:val="0000FF"/>
          <w:szCs w:val="24"/>
        </w:rPr>
        <w:t>·a)</w:t>
      </w:r>
      <w:r>
        <w:rPr>
          <w:color w:val="0000FF"/>
          <w:szCs w:val="24"/>
        </w:rPr>
        <w:t>。</w:t>
      </w:r>
    </w:p>
    <w:p w:rsidR="00F44F7B" w:rsidRDefault="00730D49">
      <w:pPr>
        <w:spacing w:line="360" w:lineRule="auto"/>
        <w:ind w:firstLineChars="200" w:firstLine="480"/>
        <w:rPr>
          <w:kern w:val="28"/>
          <w:szCs w:val="24"/>
        </w:rPr>
      </w:pPr>
      <w:r>
        <w:rPr>
          <w:kern w:val="28"/>
          <w:szCs w:val="24"/>
        </w:rPr>
        <w:t>（</w:t>
      </w:r>
      <w:r>
        <w:rPr>
          <w:kern w:val="28"/>
          <w:szCs w:val="24"/>
        </w:rPr>
        <w:t>2</w:t>
      </w:r>
      <w:r>
        <w:rPr>
          <w:kern w:val="28"/>
          <w:szCs w:val="24"/>
        </w:rPr>
        <w:t>）自然恢复期侵蚀模数</w:t>
      </w:r>
    </w:p>
    <w:p w:rsidR="00F44F7B" w:rsidRDefault="00730D49">
      <w:pPr>
        <w:widowControl/>
        <w:autoSpaceDE w:val="0"/>
        <w:autoSpaceDN w:val="0"/>
        <w:spacing w:line="360" w:lineRule="auto"/>
        <w:ind w:firstLineChars="200" w:firstLine="480"/>
        <w:rPr>
          <w:kern w:val="28"/>
          <w:szCs w:val="24"/>
          <w:lang w:val="zh-CN"/>
        </w:rPr>
      </w:pPr>
      <w:r>
        <w:rPr>
          <w:szCs w:val="24"/>
        </w:rPr>
        <w:t>自然恢复期即指各单元施工扰动结束后未采取水土保持措施条件下，松散裸露面逐步趋于稳定、植被自然恢复，土壤侵蚀强度减弱并接近原背景值所需的时间。在这期间，空闲地和未治理区域在初期林草覆盖率短时间内很小，不能减缓雨滴对地表的溅蚀，拦蓄径流对地表冲刷。预测时采用侵蚀模数法进行，依</w:t>
      </w:r>
      <w:r>
        <w:rPr>
          <w:szCs w:val="24"/>
        </w:rPr>
        <w:t>据实施的植物措施后期生长情况，定期对水土流失情况进行调查，再结合项目区的植物措施实施地点的立地条件等各因素以及经验分析，确定自然恢复期各防治分区的侵蚀强度及其侵蚀模数</w:t>
      </w:r>
      <w:r>
        <w:rPr>
          <w:kern w:val="28"/>
          <w:szCs w:val="24"/>
          <w:lang w:val="zh-CN"/>
        </w:rPr>
        <w:t>。</w:t>
      </w:r>
      <w:r>
        <w:rPr>
          <w:rFonts w:hint="eastAsia"/>
          <w:kern w:val="28"/>
          <w:szCs w:val="24"/>
          <w:lang w:val="zh-CN"/>
        </w:rPr>
        <w:t xml:space="preserve"> </w:t>
      </w:r>
    </w:p>
    <w:p w:rsidR="00F44F7B" w:rsidRDefault="00730D49">
      <w:pPr>
        <w:pStyle w:val="3"/>
        <w:widowControl/>
        <w:rPr>
          <w:bCs/>
          <w:position w:val="4"/>
          <w:sz w:val="30"/>
          <w:szCs w:val="30"/>
          <w:lang w:val="zh-CN"/>
        </w:rPr>
      </w:pPr>
      <w:bookmarkStart w:id="152" w:name="_Toc11376"/>
      <w:bookmarkStart w:id="153" w:name="_Toc32421"/>
      <w:r>
        <w:rPr>
          <w:rFonts w:hint="eastAsia"/>
          <w:bCs/>
          <w:position w:val="4"/>
          <w:sz w:val="30"/>
          <w:szCs w:val="30"/>
        </w:rPr>
        <w:t>4</w:t>
      </w:r>
      <w:r>
        <w:rPr>
          <w:bCs/>
          <w:position w:val="4"/>
          <w:sz w:val="30"/>
          <w:szCs w:val="30"/>
        </w:rPr>
        <w:t>.3.4</w:t>
      </w:r>
      <w:r>
        <w:rPr>
          <w:rFonts w:hint="eastAsia"/>
          <w:bCs/>
          <w:position w:val="4"/>
          <w:sz w:val="30"/>
          <w:szCs w:val="30"/>
        </w:rPr>
        <w:t>水土流失</w:t>
      </w:r>
      <w:r>
        <w:rPr>
          <w:rFonts w:hint="eastAsia"/>
          <w:bCs/>
          <w:position w:val="4"/>
          <w:sz w:val="30"/>
          <w:szCs w:val="30"/>
          <w:lang w:val="zh-CN"/>
        </w:rPr>
        <w:t>调查</w:t>
      </w:r>
      <w:r>
        <w:rPr>
          <w:bCs/>
          <w:position w:val="4"/>
          <w:sz w:val="30"/>
          <w:szCs w:val="30"/>
          <w:lang w:val="zh-CN"/>
        </w:rPr>
        <w:t>结果</w:t>
      </w:r>
      <w:bookmarkEnd w:id="152"/>
      <w:bookmarkEnd w:id="153"/>
    </w:p>
    <w:p w:rsidR="00F44F7B" w:rsidRDefault="00730D49">
      <w:pPr>
        <w:spacing w:line="500" w:lineRule="exact"/>
        <w:ind w:firstLineChars="200" w:firstLine="480"/>
        <w:rPr>
          <w:color w:val="000000" w:themeColor="text1"/>
        </w:rPr>
      </w:pPr>
      <w:r>
        <w:rPr>
          <w:color w:val="000000" w:themeColor="text1"/>
        </w:rPr>
        <w:t>根据以上水土流失调查分区和时段，</w:t>
      </w:r>
      <w:r>
        <w:rPr>
          <w:rFonts w:hint="eastAsia"/>
          <w:color w:val="000000" w:themeColor="text1"/>
        </w:rPr>
        <w:t>计算</w:t>
      </w:r>
      <w:r>
        <w:rPr>
          <w:color w:val="000000" w:themeColor="text1"/>
        </w:rPr>
        <w:t>项目各分区在各调查时段水土流失量的统计表，具体</w:t>
      </w:r>
      <w:r>
        <w:rPr>
          <w:color w:val="000000" w:themeColor="text1"/>
        </w:rPr>
        <w:t>详见表</w:t>
      </w:r>
      <w:r>
        <w:rPr>
          <w:rFonts w:hint="eastAsia"/>
          <w:color w:val="000000" w:themeColor="text1"/>
        </w:rPr>
        <w:t>4</w:t>
      </w:r>
      <w:r>
        <w:rPr>
          <w:color w:val="000000" w:themeColor="text1"/>
        </w:rPr>
        <w:t>-</w:t>
      </w:r>
      <w:r>
        <w:rPr>
          <w:rFonts w:hint="eastAsia"/>
          <w:color w:val="000000" w:themeColor="text1"/>
        </w:rPr>
        <w:t>2</w:t>
      </w:r>
      <w:r>
        <w:rPr>
          <w:color w:val="000000" w:themeColor="text1"/>
        </w:rPr>
        <w:t>。</w:t>
      </w:r>
    </w:p>
    <w:p w:rsidR="00F44F7B" w:rsidRDefault="00730D49">
      <w:pPr>
        <w:jc w:val="center"/>
        <w:rPr>
          <w:b/>
          <w:spacing w:val="4"/>
          <w:sz w:val="22"/>
          <w:szCs w:val="22"/>
        </w:rPr>
      </w:pPr>
      <w:r>
        <w:rPr>
          <w:b/>
          <w:spacing w:val="4"/>
          <w:sz w:val="22"/>
          <w:szCs w:val="22"/>
        </w:rPr>
        <w:t>表</w:t>
      </w:r>
      <w:r>
        <w:rPr>
          <w:b/>
          <w:spacing w:val="4"/>
          <w:sz w:val="22"/>
          <w:szCs w:val="22"/>
        </w:rPr>
        <w:t>4-</w:t>
      </w:r>
      <w:r>
        <w:rPr>
          <w:rFonts w:hint="eastAsia"/>
          <w:b/>
          <w:spacing w:val="4"/>
          <w:sz w:val="22"/>
          <w:szCs w:val="22"/>
        </w:rPr>
        <w:t>2</w:t>
      </w:r>
      <w:r>
        <w:rPr>
          <w:b/>
          <w:spacing w:val="4"/>
          <w:sz w:val="22"/>
          <w:szCs w:val="22"/>
        </w:rPr>
        <w:t xml:space="preserve">   </w:t>
      </w:r>
      <w:r>
        <w:rPr>
          <w:b/>
          <w:spacing w:val="4"/>
          <w:sz w:val="22"/>
          <w:szCs w:val="22"/>
        </w:rPr>
        <w:t>水土流失量</w:t>
      </w:r>
      <w:r>
        <w:rPr>
          <w:rFonts w:hint="eastAsia"/>
          <w:b/>
          <w:spacing w:val="4"/>
          <w:sz w:val="22"/>
          <w:szCs w:val="22"/>
        </w:rPr>
        <w:t>调查</w:t>
      </w:r>
      <w:r>
        <w:rPr>
          <w:b/>
          <w:spacing w:val="4"/>
          <w:sz w:val="22"/>
          <w:szCs w:val="22"/>
        </w:rPr>
        <w:t>统计表</w:t>
      </w:r>
    </w:p>
    <w:tbl>
      <w:tblPr>
        <w:tblW w:w="4998" w:type="pct"/>
        <w:tblCellMar>
          <w:left w:w="0" w:type="dxa"/>
          <w:right w:w="0" w:type="dxa"/>
        </w:tblCellMar>
        <w:tblLook w:val="04A0" w:firstRow="1" w:lastRow="0" w:firstColumn="1" w:lastColumn="0" w:noHBand="0" w:noVBand="1"/>
      </w:tblPr>
      <w:tblGrid>
        <w:gridCol w:w="985"/>
        <w:gridCol w:w="1028"/>
        <w:gridCol w:w="917"/>
        <w:gridCol w:w="1043"/>
        <w:gridCol w:w="885"/>
        <w:gridCol w:w="687"/>
        <w:gridCol w:w="730"/>
        <w:gridCol w:w="730"/>
        <w:gridCol w:w="732"/>
        <w:gridCol w:w="1037"/>
      </w:tblGrid>
      <w:tr w:rsidR="00F44F7B">
        <w:trPr>
          <w:trHeight w:val="1170"/>
        </w:trPr>
        <w:tc>
          <w:tcPr>
            <w:tcW w:w="56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ascii="仿宋_GB2312" w:hAnsi="宋体" w:cs="仿宋_GB2312"/>
                <w:color w:val="0000FF"/>
                <w:sz w:val="18"/>
                <w:szCs w:val="18"/>
              </w:rPr>
            </w:pPr>
            <w:r>
              <w:rPr>
                <w:rFonts w:ascii="仿宋_GB2312" w:hAnsi="宋体" w:cs="仿宋_GB2312" w:hint="eastAsia"/>
                <w:color w:val="0000FF"/>
                <w:kern w:val="0"/>
                <w:sz w:val="18"/>
                <w:szCs w:val="18"/>
                <w:lang w:bidi="ar"/>
              </w:rPr>
              <w:t>调查时段</w:t>
            </w:r>
          </w:p>
        </w:tc>
        <w:tc>
          <w:tcPr>
            <w:tcW w:w="585"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ascii="仿宋_GB2312" w:hAnsi="宋体" w:cs="仿宋_GB2312"/>
                <w:color w:val="0000FF"/>
                <w:sz w:val="18"/>
                <w:szCs w:val="18"/>
              </w:rPr>
            </w:pPr>
            <w:r>
              <w:rPr>
                <w:rFonts w:ascii="仿宋_GB2312" w:hAnsi="宋体" w:cs="仿宋_GB2312" w:hint="eastAsia"/>
                <w:color w:val="0000FF"/>
                <w:kern w:val="0"/>
                <w:sz w:val="18"/>
                <w:szCs w:val="18"/>
                <w:lang w:bidi="ar"/>
              </w:rPr>
              <w:t>调查单元</w:t>
            </w:r>
          </w:p>
        </w:tc>
        <w:tc>
          <w:tcPr>
            <w:tcW w:w="52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ascii="仿宋_GB2312" w:hAnsi="宋体" w:cs="仿宋_GB2312"/>
                <w:color w:val="0000FF"/>
                <w:sz w:val="18"/>
                <w:szCs w:val="18"/>
              </w:rPr>
            </w:pPr>
            <w:r>
              <w:rPr>
                <w:rFonts w:ascii="仿宋_GB2312" w:hAnsi="宋体" w:cs="仿宋_GB2312" w:hint="eastAsia"/>
                <w:color w:val="0000FF"/>
                <w:kern w:val="0"/>
                <w:sz w:val="18"/>
                <w:szCs w:val="18"/>
                <w:lang w:bidi="ar"/>
              </w:rPr>
              <w:t>土壤侵蚀模数背景值（</w:t>
            </w:r>
            <w:r>
              <w:rPr>
                <w:color w:val="0000FF"/>
                <w:kern w:val="0"/>
                <w:sz w:val="18"/>
                <w:szCs w:val="18"/>
                <w:lang w:bidi="ar"/>
              </w:rPr>
              <w:t>t/km</w:t>
            </w:r>
            <w:r>
              <w:rPr>
                <w:color w:val="0000FF"/>
                <w:kern w:val="0"/>
                <w:sz w:val="18"/>
                <w:szCs w:val="18"/>
                <w:vertAlign w:val="superscript"/>
                <w:lang w:bidi="ar"/>
              </w:rPr>
              <w:t>2</w:t>
            </w:r>
            <w:r>
              <w:rPr>
                <w:color w:val="0000FF"/>
                <w:kern w:val="0"/>
                <w:sz w:val="18"/>
                <w:szCs w:val="18"/>
                <w:lang w:bidi="ar"/>
              </w:rPr>
              <w:t>.a)</w:t>
            </w:r>
          </w:p>
        </w:tc>
        <w:tc>
          <w:tcPr>
            <w:tcW w:w="59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ascii="仿宋_GB2312" w:hAnsi="宋体" w:cs="仿宋_GB2312"/>
                <w:color w:val="0000FF"/>
                <w:sz w:val="18"/>
                <w:szCs w:val="18"/>
              </w:rPr>
            </w:pPr>
            <w:r>
              <w:rPr>
                <w:rFonts w:ascii="仿宋_GB2312" w:hAnsi="宋体" w:cs="仿宋_GB2312" w:hint="eastAsia"/>
                <w:color w:val="0000FF"/>
                <w:kern w:val="0"/>
                <w:sz w:val="18"/>
                <w:szCs w:val="18"/>
                <w:lang w:bidi="ar"/>
              </w:rPr>
              <w:t>扰动后土壤侵蚀模数值（</w:t>
            </w:r>
            <w:r>
              <w:rPr>
                <w:color w:val="0000FF"/>
                <w:kern w:val="0"/>
                <w:sz w:val="18"/>
                <w:szCs w:val="18"/>
                <w:lang w:bidi="ar"/>
              </w:rPr>
              <w:t>t/km</w:t>
            </w:r>
            <w:r>
              <w:rPr>
                <w:color w:val="0000FF"/>
                <w:kern w:val="0"/>
                <w:sz w:val="18"/>
                <w:szCs w:val="18"/>
                <w:vertAlign w:val="superscript"/>
                <w:lang w:bidi="ar"/>
              </w:rPr>
              <w:t>2</w:t>
            </w:r>
            <w:r>
              <w:rPr>
                <w:color w:val="0000FF"/>
                <w:kern w:val="0"/>
                <w:sz w:val="18"/>
                <w:szCs w:val="18"/>
                <w:lang w:bidi="ar"/>
              </w:rPr>
              <w:t>.a)</w:t>
            </w:r>
          </w:p>
        </w:tc>
        <w:tc>
          <w:tcPr>
            <w:tcW w:w="5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ascii="仿宋_GB2312" w:hAnsi="宋体" w:cs="仿宋_GB2312"/>
                <w:color w:val="0000FF"/>
                <w:sz w:val="18"/>
                <w:szCs w:val="18"/>
              </w:rPr>
            </w:pPr>
            <w:r>
              <w:rPr>
                <w:rFonts w:ascii="仿宋_GB2312" w:hAnsi="宋体" w:cs="仿宋_GB2312" w:hint="eastAsia"/>
                <w:color w:val="0000FF"/>
                <w:kern w:val="0"/>
                <w:sz w:val="18"/>
                <w:szCs w:val="18"/>
                <w:lang w:bidi="ar"/>
              </w:rPr>
              <w:t>侵蚀面积（</w:t>
            </w:r>
            <w:r>
              <w:rPr>
                <w:color w:val="0000FF"/>
                <w:kern w:val="0"/>
                <w:sz w:val="18"/>
                <w:szCs w:val="18"/>
                <w:lang w:bidi="ar"/>
              </w:rPr>
              <w:t>hm</w:t>
            </w:r>
            <w:r>
              <w:rPr>
                <w:color w:val="0000FF"/>
                <w:kern w:val="0"/>
                <w:sz w:val="18"/>
                <w:szCs w:val="18"/>
                <w:vertAlign w:val="superscript"/>
                <w:lang w:bidi="ar"/>
              </w:rPr>
              <w:t>2</w:t>
            </w:r>
            <w:r>
              <w:rPr>
                <w:color w:val="0000FF"/>
                <w:kern w:val="0"/>
                <w:sz w:val="18"/>
                <w:szCs w:val="18"/>
                <w:lang w:bidi="ar"/>
              </w:rPr>
              <w:t>)</w:t>
            </w:r>
          </w:p>
        </w:tc>
        <w:tc>
          <w:tcPr>
            <w:tcW w:w="39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ascii="仿宋_GB2312" w:hAnsi="宋体" w:cs="仿宋_GB2312"/>
                <w:color w:val="0000FF"/>
                <w:sz w:val="18"/>
                <w:szCs w:val="18"/>
              </w:rPr>
            </w:pPr>
            <w:r>
              <w:rPr>
                <w:rFonts w:ascii="仿宋_GB2312" w:hAnsi="宋体" w:cs="仿宋_GB2312" w:hint="eastAsia"/>
                <w:color w:val="0000FF"/>
                <w:kern w:val="0"/>
                <w:sz w:val="18"/>
                <w:szCs w:val="18"/>
                <w:lang w:bidi="ar"/>
              </w:rPr>
              <w:t>侵蚀时间（</w:t>
            </w:r>
            <w:r>
              <w:rPr>
                <w:color w:val="0000FF"/>
                <w:kern w:val="0"/>
                <w:sz w:val="18"/>
                <w:szCs w:val="18"/>
                <w:lang w:bidi="ar"/>
              </w:rPr>
              <w:t>a)</w:t>
            </w:r>
          </w:p>
        </w:tc>
        <w:tc>
          <w:tcPr>
            <w:tcW w:w="41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ascii="仿宋_GB2312" w:hAnsi="宋体" w:cs="仿宋_GB2312"/>
                <w:color w:val="0000FF"/>
                <w:sz w:val="18"/>
                <w:szCs w:val="18"/>
              </w:rPr>
            </w:pPr>
            <w:r>
              <w:rPr>
                <w:rFonts w:ascii="仿宋_GB2312" w:hAnsi="宋体" w:cs="仿宋_GB2312" w:hint="eastAsia"/>
                <w:color w:val="0000FF"/>
                <w:kern w:val="0"/>
                <w:sz w:val="18"/>
                <w:szCs w:val="18"/>
                <w:lang w:bidi="ar"/>
              </w:rPr>
              <w:t>背景流失量（</w:t>
            </w:r>
            <w:r>
              <w:rPr>
                <w:color w:val="0000FF"/>
                <w:kern w:val="0"/>
                <w:sz w:val="18"/>
                <w:szCs w:val="18"/>
                <w:lang w:bidi="ar"/>
              </w:rPr>
              <w:t>t)</w:t>
            </w:r>
          </w:p>
        </w:tc>
        <w:tc>
          <w:tcPr>
            <w:tcW w:w="41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ascii="仿宋_GB2312" w:hAnsi="宋体" w:cs="仿宋_GB2312"/>
                <w:color w:val="0000FF"/>
                <w:sz w:val="18"/>
                <w:szCs w:val="18"/>
              </w:rPr>
            </w:pPr>
            <w:r>
              <w:rPr>
                <w:rFonts w:ascii="仿宋_GB2312" w:hAnsi="宋体" w:cs="仿宋_GB2312" w:hint="eastAsia"/>
                <w:color w:val="0000FF"/>
                <w:kern w:val="0"/>
                <w:sz w:val="18"/>
                <w:szCs w:val="18"/>
                <w:lang w:bidi="ar"/>
              </w:rPr>
              <w:t>调查流失量（</w:t>
            </w:r>
            <w:r>
              <w:rPr>
                <w:color w:val="0000FF"/>
                <w:kern w:val="0"/>
                <w:sz w:val="18"/>
                <w:szCs w:val="18"/>
                <w:lang w:bidi="ar"/>
              </w:rPr>
              <w:t>t)</w:t>
            </w:r>
          </w:p>
        </w:tc>
        <w:tc>
          <w:tcPr>
            <w:tcW w:w="41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ascii="仿宋_GB2312" w:hAnsi="宋体" w:cs="仿宋_GB2312"/>
                <w:color w:val="0000FF"/>
                <w:sz w:val="18"/>
                <w:szCs w:val="18"/>
              </w:rPr>
            </w:pPr>
            <w:r>
              <w:rPr>
                <w:rFonts w:ascii="仿宋_GB2312" w:hAnsi="宋体" w:cs="仿宋_GB2312" w:hint="eastAsia"/>
                <w:color w:val="0000FF"/>
                <w:kern w:val="0"/>
                <w:sz w:val="18"/>
                <w:szCs w:val="18"/>
                <w:lang w:bidi="ar"/>
              </w:rPr>
              <w:t>新增流失量（</w:t>
            </w:r>
            <w:r>
              <w:rPr>
                <w:color w:val="0000FF"/>
                <w:kern w:val="0"/>
                <w:sz w:val="18"/>
                <w:szCs w:val="18"/>
                <w:lang w:bidi="ar"/>
              </w:rPr>
              <w:t>t)</w:t>
            </w:r>
          </w:p>
        </w:tc>
        <w:tc>
          <w:tcPr>
            <w:tcW w:w="59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ascii="仿宋_GB2312" w:hAnsi="宋体" w:cs="仿宋_GB2312"/>
                <w:color w:val="0000FF"/>
                <w:sz w:val="18"/>
                <w:szCs w:val="18"/>
              </w:rPr>
            </w:pPr>
            <w:r>
              <w:rPr>
                <w:rFonts w:ascii="仿宋_GB2312" w:hAnsi="宋体" w:cs="仿宋_GB2312" w:hint="eastAsia"/>
                <w:color w:val="0000FF"/>
                <w:kern w:val="0"/>
                <w:sz w:val="18"/>
                <w:szCs w:val="18"/>
                <w:lang w:bidi="ar"/>
              </w:rPr>
              <w:t>占新增流失比重（</w:t>
            </w:r>
            <w:r>
              <w:rPr>
                <w:rFonts w:ascii="仿宋_GB2312" w:hAnsi="宋体" w:cs="仿宋_GB2312" w:hint="eastAsia"/>
                <w:color w:val="0000FF"/>
                <w:kern w:val="0"/>
                <w:sz w:val="18"/>
                <w:szCs w:val="18"/>
                <w:lang w:bidi="ar"/>
              </w:rPr>
              <w:t>%</w:t>
            </w:r>
            <w:r>
              <w:rPr>
                <w:color w:val="0000FF"/>
                <w:kern w:val="0"/>
                <w:sz w:val="18"/>
                <w:szCs w:val="18"/>
                <w:lang w:bidi="ar"/>
              </w:rPr>
              <w:t>)</w:t>
            </w:r>
          </w:p>
        </w:tc>
      </w:tr>
      <w:tr w:rsidR="00F44F7B">
        <w:trPr>
          <w:trHeight w:val="285"/>
        </w:trPr>
        <w:tc>
          <w:tcPr>
            <w:tcW w:w="561" w:type="pct"/>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ascii="仿宋_GB2312" w:hAnsi="宋体" w:cs="仿宋_GB2312"/>
                <w:color w:val="0000FF"/>
                <w:sz w:val="18"/>
                <w:szCs w:val="18"/>
              </w:rPr>
            </w:pPr>
            <w:r>
              <w:rPr>
                <w:rFonts w:ascii="仿宋_GB2312" w:hAnsi="宋体" w:cs="仿宋_GB2312" w:hint="eastAsia"/>
                <w:color w:val="0000FF"/>
                <w:kern w:val="0"/>
                <w:sz w:val="18"/>
                <w:szCs w:val="18"/>
                <w:lang w:bidi="ar"/>
              </w:rPr>
              <w:t>施工期</w:t>
            </w:r>
          </w:p>
        </w:tc>
        <w:tc>
          <w:tcPr>
            <w:tcW w:w="585"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ascii="仿宋_GB2312" w:hAnsi="宋体" w:cs="仿宋_GB2312"/>
                <w:color w:val="0000FF"/>
                <w:sz w:val="18"/>
                <w:szCs w:val="18"/>
              </w:rPr>
            </w:pPr>
            <w:r>
              <w:rPr>
                <w:rFonts w:ascii="仿宋_GB2312" w:hAnsi="宋体" w:cs="仿宋_GB2312" w:hint="eastAsia"/>
                <w:color w:val="0000FF"/>
                <w:kern w:val="0"/>
                <w:sz w:val="18"/>
                <w:szCs w:val="18"/>
                <w:lang w:bidi="ar"/>
              </w:rPr>
              <w:t>建构筑物区</w:t>
            </w:r>
          </w:p>
        </w:tc>
        <w:tc>
          <w:tcPr>
            <w:tcW w:w="52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eastAsia="宋体"/>
                <w:color w:val="0000FF"/>
                <w:sz w:val="20"/>
              </w:rPr>
            </w:pPr>
            <w:r>
              <w:rPr>
                <w:rFonts w:eastAsia="宋体"/>
                <w:color w:val="0000FF"/>
                <w:kern w:val="0"/>
                <w:sz w:val="20"/>
                <w:lang w:bidi="ar"/>
              </w:rPr>
              <w:t>529</w:t>
            </w:r>
          </w:p>
        </w:tc>
        <w:tc>
          <w:tcPr>
            <w:tcW w:w="59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eastAsia="宋体"/>
                <w:color w:val="0000FF"/>
                <w:sz w:val="20"/>
              </w:rPr>
            </w:pPr>
            <w:r>
              <w:rPr>
                <w:rFonts w:eastAsia="宋体"/>
                <w:color w:val="0000FF"/>
                <w:kern w:val="0"/>
                <w:sz w:val="20"/>
                <w:lang w:bidi="ar"/>
              </w:rPr>
              <w:t>760</w:t>
            </w:r>
          </w:p>
        </w:tc>
        <w:tc>
          <w:tcPr>
            <w:tcW w:w="5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eastAsia="宋体"/>
                <w:color w:val="0000FF"/>
                <w:sz w:val="20"/>
              </w:rPr>
            </w:pPr>
            <w:r>
              <w:rPr>
                <w:rFonts w:eastAsia="宋体"/>
                <w:color w:val="0000FF"/>
                <w:kern w:val="0"/>
                <w:sz w:val="20"/>
                <w:lang w:bidi="ar"/>
              </w:rPr>
              <w:t xml:space="preserve">0.16 </w:t>
            </w:r>
          </w:p>
        </w:tc>
        <w:tc>
          <w:tcPr>
            <w:tcW w:w="39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eastAsia="宋体"/>
                <w:color w:val="0000FF"/>
                <w:sz w:val="20"/>
              </w:rPr>
            </w:pPr>
            <w:r>
              <w:rPr>
                <w:rFonts w:eastAsia="宋体"/>
                <w:color w:val="0000FF"/>
                <w:kern w:val="0"/>
                <w:sz w:val="20"/>
                <w:lang w:bidi="ar"/>
              </w:rPr>
              <w:t>0.75</w:t>
            </w:r>
          </w:p>
        </w:tc>
        <w:tc>
          <w:tcPr>
            <w:tcW w:w="41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eastAsia="宋体"/>
                <w:color w:val="0000FF"/>
                <w:sz w:val="20"/>
              </w:rPr>
            </w:pPr>
            <w:r>
              <w:rPr>
                <w:rFonts w:eastAsia="宋体"/>
                <w:color w:val="0000FF"/>
                <w:kern w:val="0"/>
                <w:sz w:val="20"/>
                <w:lang w:bidi="ar"/>
              </w:rPr>
              <w:t xml:space="preserve">0.63 </w:t>
            </w:r>
          </w:p>
        </w:tc>
        <w:tc>
          <w:tcPr>
            <w:tcW w:w="41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eastAsia="宋体"/>
                <w:color w:val="0000FF"/>
                <w:sz w:val="20"/>
              </w:rPr>
            </w:pPr>
            <w:r>
              <w:rPr>
                <w:rFonts w:eastAsia="宋体"/>
                <w:color w:val="0000FF"/>
                <w:kern w:val="0"/>
                <w:sz w:val="20"/>
                <w:lang w:bidi="ar"/>
              </w:rPr>
              <w:t xml:space="preserve">0.91 </w:t>
            </w:r>
          </w:p>
        </w:tc>
        <w:tc>
          <w:tcPr>
            <w:tcW w:w="41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eastAsia="宋体"/>
                <w:color w:val="0000FF"/>
                <w:sz w:val="20"/>
              </w:rPr>
            </w:pPr>
            <w:r>
              <w:rPr>
                <w:rFonts w:eastAsia="宋体"/>
                <w:color w:val="0000FF"/>
                <w:kern w:val="0"/>
                <w:sz w:val="20"/>
                <w:lang w:bidi="ar"/>
              </w:rPr>
              <w:t xml:space="preserve">0.28 </w:t>
            </w:r>
          </w:p>
        </w:tc>
        <w:tc>
          <w:tcPr>
            <w:tcW w:w="59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eastAsia="宋体"/>
                <w:color w:val="0000FF"/>
                <w:sz w:val="20"/>
              </w:rPr>
            </w:pPr>
            <w:r>
              <w:rPr>
                <w:rFonts w:eastAsia="宋体"/>
                <w:color w:val="0000FF"/>
                <w:kern w:val="0"/>
                <w:sz w:val="20"/>
                <w:lang w:bidi="ar"/>
              </w:rPr>
              <w:t xml:space="preserve">30.98 </w:t>
            </w:r>
          </w:p>
        </w:tc>
      </w:tr>
      <w:tr w:rsidR="00F44F7B">
        <w:trPr>
          <w:trHeight w:val="285"/>
        </w:trPr>
        <w:tc>
          <w:tcPr>
            <w:tcW w:w="561" w:type="pct"/>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jc w:val="center"/>
              <w:rPr>
                <w:rFonts w:ascii="仿宋_GB2312" w:hAnsi="宋体" w:cs="仿宋_GB2312"/>
                <w:color w:val="0000FF"/>
                <w:sz w:val="18"/>
                <w:szCs w:val="18"/>
              </w:rPr>
            </w:pPr>
          </w:p>
        </w:tc>
        <w:tc>
          <w:tcPr>
            <w:tcW w:w="585"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ascii="仿宋_GB2312" w:hAnsi="宋体" w:cs="仿宋_GB2312"/>
                <w:color w:val="0000FF"/>
                <w:sz w:val="18"/>
                <w:szCs w:val="18"/>
              </w:rPr>
            </w:pPr>
            <w:r>
              <w:rPr>
                <w:rFonts w:ascii="仿宋_GB2312" w:hAnsi="宋体" w:cs="仿宋_GB2312" w:hint="eastAsia"/>
                <w:color w:val="0000FF"/>
                <w:kern w:val="0"/>
                <w:sz w:val="18"/>
                <w:szCs w:val="18"/>
                <w:lang w:bidi="ar"/>
              </w:rPr>
              <w:t>配套设施区</w:t>
            </w:r>
          </w:p>
        </w:tc>
        <w:tc>
          <w:tcPr>
            <w:tcW w:w="52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eastAsia="宋体"/>
                <w:color w:val="0000FF"/>
                <w:sz w:val="20"/>
              </w:rPr>
            </w:pPr>
            <w:r>
              <w:rPr>
                <w:rFonts w:eastAsia="宋体"/>
                <w:color w:val="0000FF"/>
                <w:kern w:val="0"/>
                <w:sz w:val="20"/>
                <w:lang w:bidi="ar"/>
              </w:rPr>
              <w:t>529</w:t>
            </w:r>
          </w:p>
        </w:tc>
        <w:tc>
          <w:tcPr>
            <w:tcW w:w="59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eastAsia="宋体"/>
                <w:color w:val="0000FF"/>
                <w:sz w:val="20"/>
              </w:rPr>
            </w:pPr>
            <w:r>
              <w:rPr>
                <w:rFonts w:eastAsia="宋体"/>
                <w:color w:val="0000FF"/>
                <w:kern w:val="0"/>
                <w:sz w:val="20"/>
                <w:lang w:bidi="ar"/>
              </w:rPr>
              <w:t>820</w:t>
            </w:r>
          </w:p>
        </w:tc>
        <w:tc>
          <w:tcPr>
            <w:tcW w:w="5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eastAsia="宋体"/>
                <w:color w:val="0000FF"/>
                <w:sz w:val="20"/>
              </w:rPr>
            </w:pPr>
            <w:r>
              <w:rPr>
                <w:rFonts w:eastAsia="宋体"/>
                <w:color w:val="0000FF"/>
                <w:kern w:val="0"/>
                <w:sz w:val="20"/>
                <w:lang w:bidi="ar"/>
              </w:rPr>
              <w:t xml:space="preserve">0.27 </w:t>
            </w:r>
          </w:p>
        </w:tc>
        <w:tc>
          <w:tcPr>
            <w:tcW w:w="39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eastAsia="宋体"/>
                <w:color w:val="0000FF"/>
                <w:sz w:val="20"/>
              </w:rPr>
            </w:pPr>
            <w:r>
              <w:rPr>
                <w:rFonts w:eastAsia="宋体"/>
                <w:color w:val="0000FF"/>
                <w:kern w:val="0"/>
                <w:sz w:val="20"/>
                <w:lang w:bidi="ar"/>
              </w:rPr>
              <w:t>0.75</w:t>
            </w:r>
          </w:p>
        </w:tc>
        <w:tc>
          <w:tcPr>
            <w:tcW w:w="41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eastAsia="宋体"/>
                <w:color w:val="0000FF"/>
                <w:sz w:val="20"/>
              </w:rPr>
            </w:pPr>
            <w:r>
              <w:rPr>
                <w:rFonts w:eastAsia="宋体"/>
                <w:color w:val="0000FF"/>
                <w:kern w:val="0"/>
                <w:sz w:val="20"/>
                <w:lang w:bidi="ar"/>
              </w:rPr>
              <w:t xml:space="preserve">1.07 </w:t>
            </w:r>
          </w:p>
        </w:tc>
        <w:tc>
          <w:tcPr>
            <w:tcW w:w="41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eastAsia="宋体"/>
                <w:color w:val="0000FF"/>
                <w:sz w:val="20"/>
              </w:rPr>
            </w:pPr>
            <w:r>
              <w:rPr>
                <w:rFonts w:eastAsia="宋体"/>
                <w:color w:val="0000FF"/>
                <w:kern w:val="0"/>
                <w:sz w:val="20"/>
                <w:lang w:bidi="ar"/>
              </w:rPr>
              <w:t xml:space="preserve">1.66 </w:t>
            </w:r>
          </w:p>
        </w:tc>
        <w:tc>
          <w:tcPr>
            <w:tcW w:w="41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eastAsia="宋体"/>
                <w:color w:val="0000FF"/>
                <w:sz w:val="20"/>
              </w:rPr>
            </w:pPr>
            <w:r>
              <w:rPr>
                <w:rFonts w:eastAsia="宋体"/>
                <w:color w:val="0000FF"/>
                <w:kern w:val="0"/>
                <w:sz w:val="20"/>
                <w:lang w:bidi="ar"/>
              </w:rPr>
              <w:t xml:space="preserve">0.59 </w:t>
            </w:r>
          </w:p>
        </w:tc>
        <w:tc>
          <w:tcPr>
            <w:tcW w:w="59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eastAsia="宋体"/>
                <w:color w:val="0000FF"/>
                <w:sz w:val="20"/>
              </w:rPr>
            </w:pPr>
            <w:r>
              <w:rPr>
                <w:rFonts w:eastAsia="宋体"/>
                <w:color w:val="0000FF"/>
                <w:kern w:val="0"/>
                <w:sz w:val="20"/>
                <w:lang w:bidi="ar"/>
              </w:rPr>
              <w:t xml:space="preserve">65.85 </w:t>
            </w:r>
          </w:p>
        </w:tc>
      </w:tr>
      <w:tr w:rsidR="00F44F7B">
        <w:trPr>
          <w:trHeight w:val="285"/>
        </w:trPr>
        <w:tc>
          <w:tcPr>
            <w:tcW w:w="561" w:type="pct"/>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jc w:val="center"/>
              <w:rPr>
                <w:rFonts w:ascii="仿宋_GB2312" w:hAnsi="宋体" w:cs="仿宋_GB2312"/>
                <w:color w:val="0000FF"/>
                <w:sz w:val="18"/>
                <w:szCs w:val="18"/>
              </w:rPr>
            </w:pPr>
          </w:p>
        </w:tc>
        <w:tc>
          <w:tcPr>
            <w:tcW w:w="585"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ascii="仿宋_GB2312" w:hAnsi="宋体" w:cs="仿宋_GB2312"/>
                <w:color w:val="0000FF"/>
                <w:sz w:val="18"/>
                <w:szCs w:val="18"/>
              </w:rPr>
            </w:pPr>
            <w:r>
              <w:rPr>
                <w:rFonts w:ascii="仿宋_GB2312" w:hAnsi="宋体" w:cs="仿宋_GB2312" w:hint="eastAsia"/>
                <w:color w:val="0000FF"/>
                <w:kern w:val="0"/>
                <w:sz w:val="18"/>
                <w:szCs w:val="18"/>
                <w:lang w:bidi="ar"/>
              </w:rPr>
              <w:t>小计</w:t>
            </w:r>
          </w:p>
        </w:tc>
        <w:tc>
          <w:tcPr>
            <w:tcW w:w="52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jc w:val="center"/>
              <w:rPr>
                <w:rFonts w:eastAsia="宋体"/>
                <w:color w:val="0000FF"/>
                <w:sz w:val="20"/>
              </w:rPr>
            </w:pPr>
          </w:p>
        </w:tc>
        <w:tc>
          <w:tcPr>
            <w:tcW w:w="59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jc w:val="center"/>
              <w:rPr>
                <w:rFonts w:eastAsia="宋体"/>
                <w:color w:val="0000FF"/>
                <w:sz w:val="20"/>
              </w:rPr>
            </w:pPr>
          </w:p>
        </w:tc>
        <w:tc>
          <w:tcPr>
            <w:tcW w:w="5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eastAsia="宋体"/>
                <w:color w:val="0000FF"/>
                <w:sz w:val="20"/>
              </w:rPr>
            </w:pPr>
            <w:r>
              <w:rPr>
                <w:rFonts w:eastAsia="宋体"/>
                <w:color w:val="0000FF"/>
                <w:kern w:val="0"/>
                <w:sz w:val="20"/>
                <w:lang w:bidi="ar"/>
              </w:rPr>
              <w:t xml:space="preserve">0.43 </w:t>
            </w:r>
          </w:p>
        </w:tc>
        <w:tc>
          <w:tcPr>
            <w:tcW w:w="39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jc w:val="center"/>
              <w:rPr>
                <w:rFonts w:eastAsia="宋体"/>
                <w:color w:val="0000FF"/>
                <w:sz w:val="20"/>
              </w:rPr>
            </w:pPr>
          </w:p>
        </w:tc>
        <w:tc>
          <w:tcPr>
            <w:tcW w:w="41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eastAsia="宋体"/>
                <w:color w:val="0000FF"/>
                <w:sz w:val="20"/>
              </w:rPr>
            </w:pPr>
            <w:r>
              <w:rPr>
                <w:rFonts w:eastAsia="宋体"/>
                <w:color w:val="0000FF"/>
                <w:kern w:val="0"/>
                <w:sz w:val="20"/>
                <w:lang w:bidi="ar"/>
              </w:rPr>
              <w:t xml:space="preserve">1.71 </w:t>
            </w:r>
          </w:p>
        </w:tc>
        <w:tc>
          <w:tcPr>
            <w:tcW w:w="41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eastAsia="宋体"/>
                <w:color w:val="0000FF"/>
                <w:sz w:val="20"/>
              </w:rPr>
            </w:pPr>
            <w:r>
              <w:rPr>
                <w:rFonts w:eastAsia="宋体"/>
                <w:color w:val="0000FF"/>
                <w:kern w:val="0"/>
                <w:sz w:val="20"/>
                <w:lang w:bidi="ar"/>
              </w:rPr>
              <w:t xml:space="preserve">2.57 </w:t>
            </w:r>
          </w:p>
        </w:tc>
        <w:tc>
          <w:tcPr>
            <w:tcW w:w="41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eastAsia="宋体"/>
                <w:color w:val="0000FF"/>
                <w:sz w:val="20"/>
              </w:rPr>
            </w:pPr>
            <w:r>
              <w:rPr>
                <w:rFonts w:eastAsia="宋体"/>
                <w:color w:val="0000FF"/>
                <w:kern w:val="0"/>
                <w:sz w:val="20"/>
                <w:lang w:bidi="ar"/>
              </w:rPr>
              <w:t xml:space="preserve">0.87 </w:t>
            </w:r>
          </w:p>
        </w:tc>
        <w:tc>
          <w:tcPr>
            <w:tcW w:w="59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eastAsia="宋体"/>
                <w:color w:val="0000FF"/>
                <w:sz w:val="20"/>
              </w:rPr>
            </w:pPr>
            <w:r>
              <w:rPr>
                <w:rFonts w:eastAsia="宋体"/>
                <w:color w:val="0000FF"/>
                <w:kern w:val="0"/>
                <w:sz w:val="20"/>
                <w:lang w:bidi="ar"/>
              </w:rPr>
              <w:t xml:space="preserve">96.83 </w:t>
            </w:r>
          </w:p>
        </w:tc>
      </w:tr>
      <w:tr w:rsidR="00F44F7B">
        <w:trPr>
          <w:trHeight w:val="285"/>
        </w:trPr>
        <w:tc>
          <w:tcPr>
            <w:tcW w:w="1146"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ascii="仿宋_GB2312" w:hAnsi="宋体" w:cs="仿宋_GB2312"/>
                <w:color w:val="0000FF"/>
                <w:sz w:val="18"/>
                <w:szCs w:val="18"/>
              </w:rPr>
            </w:pPr>
            <w:r>
              <w:rPr>
                <w:rFonts w:ascii="仿宋_GB2312" w:hAnsi="宋体" w:cs="仿宋_GB2312" w:hint="eastAsia"/>
                <w:color w:val="0000FF"/>
                <w:kern w:val="0"/>
                <w:sz w:val="18"/>
                <w:szCs w:val="18"/>
                <w:lang w:bidi="ar"/>
              </w:rPr>
              <w:t>合计</w:t>
            </w:r>
          </w:p>
        </w:tc>
        <w:tc>
          <w:tcPr>
            <w:tcW w:w="52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jc w:val="center"/>
              <w:rPr>
                <w:rFonts w:eastAsia="宋体"/>
                <w:color w:val="0000FF"/>
                <w:sz w:val="20"/>
              </w:rPr>
            </w:pPr>
          </w:p>
        </w:tc>
        <w:tc>
          <w:tcPr>
            <w:tcW w:w="59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jc w:val="center"/>
              <w:rPr>
                <w:rFonts w:eastAsia="宋体"/>
                <w:color w:val="0000FF"/>
                <w:sz w:val="20"/>
              </w:rPr>
            </w:pPr>
          </w:p>
        </w:tc>
        <w:tc>
          <w:tcPr>
            <w:tcW w:w="5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jc w:val="center"/>
              <w:rPr>
                <w:rFonts w:eastAsia="宋体"/>
                <w:color w:val="0000FF"/>
                <w:sz w:val="20"/>
              </w:rPr>
            </w:pPr>
          </w:p>
        </w:tc>
        <w:tc>
          <w:tcPr>
            <w:tcW w:w="39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jc w:val="center"/>
              <w:rPr>
                <w:rFonts w:eastAsia="宋体"/>
                <w:color w:val="0000FF"/>
                <w:sz w:val="20"/>
              </w:rPr>
            </w:pPr>
          </w:p>
        </w:tc>
        <w:tc>
          <w:tcPr>
            <w:tcW w:w="41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eastAsia="宋体"/>
                <w:color w:val="0000FF"/>
                <w:sz w:val="20"/>
              </w:rPr>
            </w:pPr>
            <w:r>
              <w:rPr>
                <w:rFonts w:eastAsia="宋体"/>
                <w:color w:val="0000FF"/>
                <w:kern w:val="0"/>
                <w:sz w:val="20"/>
                <w:lang w:bidi="ar"/>
              </w:rPr>
              <w:t xml:space="preserve">1.71 </w:t>
            </w:r>
          </w:p>
        </w:tc>
        <w:tc>
          <w:tcPr>
            <w:tcW w:w="41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eastAsia="宋体"/>
                <w:color w:val="0000FF"/>
                <w:sz w:val="20"/>
              </w:rPr>
            </w:pPr>
            <w:r>
              <w:rPr>
                <w:rFonts w:eastAsia="宋体"/>
                <w:color w:val="0000FF"/>
                <w:kern w:val="0"/>
                <w:sz w:val="20"/>
                <w:lang w:bidi="ar"/>
              </w:rPr>
              <w:t xml:space="preserve">2.57 </w:t>
            </w:r>
          </w:p>
        </w:tc>
        <w:tc>
          <w:tcPr>
            <w:tcW w:w="41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eastAsia="宋体"/>
                <w:color w:val="0000FF"/>
                <w:sz w:val="20"/>
              </w:rPr>
            </w:pPr>
            <w:r>
              <w:rPr>
                <w:rFonts w:eastAsia="宋体"/>
                <w:color w:val="0000FF"/>
                <w:kern w:val="0"/>
                <w:sz w:val="20"/>
                <w:lang w:bidi="ar"/>
              </w:rPr>
              <w:t xml:space="preserve">0.87 </w:t>
            </w:r>
          </w:p>
        </w:tc>
        <w:tc>
          <w:tcPr>
            <w:tcW w:w="59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eastAsia="宋体"/>
                <w:color w:val="0000FF"/>
                <w:sz w:val="20"/>
              </w:rPr>
            </w:pPr>
            <w:r>
              <w:rPr>
                <w:rFonts w:eastAsia="宋体"/>
                <w:color w:val="0000FF"/>
                <w:kern w:val="0"/>
                <w:sz w:val="20"/>
                <w:lang w:bidi="ar"/>
              </w:rPr>
              <w:t xml:space="preserve">96.83 </w:t>
            </w:r>
          </w:p>
        </w:tc>
      </w:tr>
      <w:tr w:rsidR="00F44F7B">
        <w:trPr>
          <w:trHeight w:val="285"/>
        </w:trPr>
        <w:tc>
          <w:tcPr>
            <w:tcW w:w="56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ascii="仿宋_GB2312" w:hAnsi="宋体" w:cs="仿宋_GB2312"/>
                <w:color w:val="0000FF"/>
                <w:sz w:val="18"/>
                <w:szCs w:val="18"/>
              </w:rPr>
            </w:pPr>
            <w:r>
              <w:rPr>
                <w:rFonts w:ascii="仿宋_GB2312" w:hAnsi="宋体" w:cs="仿宋_GB2312" w:hint="eastAsia"/>
                <w:color w:val="0000FF"/>
                <w:kern w:val="0"/>
                <w:sz w:val="18"/>
                <w:szCs w:val="18"/>
                <w:lang w:bidi="ar"/>
              </w:rPr>
              <w:t>自然恢复期</w:t>
            </w:r>
          </w:p>
        </w:tc>
        <w:tc>
          <w:tcPr>
            <w:tcW w:w="585"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ascii="仿宋_GB2312" w:hAnsi="宋体" w:cs="仿宋_GB2312"/>
                <w:color w:val="0000FF"/>
                <w:sz w:val="18"/>
                <w:szCs w:val="18"/>
              </w:rPr>
            </w:pPr>
            <w:r>
              <w:rPr>
                <w:rFonts w:ascii="仿宋_GB2312" w:hAnsi="宋体" w:cs="仿宋_GB2312" w:hint="eastAsia"/>
                <w:color w:val="0000FF"/>
                <w:kern w:val="0"/>
                <w:sz w:val="18"/>
                <w:szCs w:val="18"/>
                <w:lang w:bidi="ar"/>
              </w:rPr>
              <w:t>景观绿化区</w:t>
            </w:r>
          </w:p>
        </w:tc>
        <w:tc>
          <w:tcPr>
            <w:tcW w:w="52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eastAsia="宋体"/>
                <w:color w:val="0000FF"/>
                <w:sz w:val="20"/>
              </w:rPr>
            </w:pPr>
            <w:r>
              <w:rPr>
                <w:rFonts w:eastAsia="宋体"/>
                <w:color w:val="0000FF"/>
                <w:kern w:val="0"/>
                <w:sz w:val="20"/>
                <w:lang w:bidi="ar"/>
              </w:rPr>
              <w:t>529</w:t>
            </w:r>
          </w:p>
        </w:tc>
        <w:tc>
          <w:tcPr>
            <w:tcW w:w="59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eastAsia="宋体"/>
                <w:color w:val="0000FF"/>
                <w:sz w:val="20"/>
              </w:rPr>
            </w:pPr>
            <w:r>
              <w:rPr>
                <w:rFonts w:eastAsia="宋体"/>
                <w:color w:val="0000FF"/>
                <w:kern w:val="0"/>
                <w:sz w:val="20"/>
                <w:lang w:bidi="ar"/>
              </w:rPr>
              <w:t>600</w:t>
            </w:r>
          </w:p>
        </w:tc>
        <w:tc>
          <w:tcPr>
            <w:tcW w:w="5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eastAsia="宋体"/>
                <w:color w:val="0000FF"/>
                <w:sz w:val="20"/>
              </w:rPr>
            </w:pPr>
            <w:r>
              <w:rPr>
                <w:rFonts w:eastAsia="宋体"/>
                <w:color w:val="0000FF"/>
                <w:kern w:val="0"/>
                <w:sz w:val="20"/>
                <w:lang w:bidi="ar"/>
              </w:rPr>
              <w:t xml:space="preserve">0.02 </w:t>
            </w:r>
          </w:p>
        </w:tc>
        <w:tc>
          <w:tcPr>
            <w:tcW w:w="39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eastAsia="宋体"/>
                <w:color w:val="0000FF"/>
                <w:sz w:val="20"/>
              </w:rPr>
            </w:pPr>
            <w:r>
              <w:rPr>
                <w:rFonts w:eastAsia="宋体"/>
                <w:color w:val="0000FF"/>
                <w:kern w:val="0"/>
                <w:sz w:val="20"/>
                <w:lang w:bidi="ar"/>
              </w:rPr>
              <w:t>2</w:t>
            </w:r>
          </w:p>
        </w:tc>
        <w:tc>
          <w:tcPr>
            <w:tcW w:w="41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eastAsia="宋体"/>
                <w:color w:val="0000FF"/>
                <w:sz w:val="20"/>
              </w:rPr>
            </w:pPr>
            <w:r>
              <w:rPr>
                <w:rFonts w:eastAsia="宋体"/>
                <w:color w:val="0000FF"/>
                <w:kern w:val="0"/>
                <w:sz w:val="20"/>
                <w:lang w:bidi="ar"/>
              </w:rPr>
              <w:t xml:space="preserve">0.21 </w:t>
            </w:r>
          </w:p>
        </w:tc>
        <w:tc>
          <w:tcPr>
            <w:tcW w:w="41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eastAsia="宋体"/>
                <w:color w:val="0000FF"/>
                <w:sz w:val="20"/>
              </w:rPr>
            </w:pPr>
            <w:r>
              <w:rPr>
                <w:rFonts w:eastAsia="宋体"/>
                <w:color w:val="0000FF"/>
                <w:kern w:val="0"/>
                <w:sz w:val="20"/>
                <w:lang w:bidi="ar"/>
              </w:rPr>
              <w:t xml:space="preserve">0.24 </w:t>
            </w:r>
          </w:p>
        </w:tc>
        <w:tc>
          <w:tcPr>
            <w:tcW w:w="41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eastAsia="宋体"/>
                <w:color w:val="0000FF"/>
                <w:sz w:val="20"/>
              </w:rPr>
            </w:pPr>
            <w:r>
              <w:rPr>
                <w:rFonts w:eastAsia="宋体"/>
                <w:color w:val="0000FF"/>
                <w:kern w:val="0"/>
                <w:sz w:val="20"/>
                <w:lang w:bidi="ar"/>
              </w:rPr>
              <w:t xml:space="preserve">0.03 </w:t>
            </w:r>
          </w:p>
        </w:tc>
        <w:tc>
          <w:tcPr>
            <w:tcW w:w="59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eastAsia="宋体"/>
                <w:color w:val="0000FF"/>
                <w:sz w:val="20"/>
              </w:rPr>
            </w:pPr>
            <w:r>
              <w:rPr>
                <w:rFonts w:eastAsia="宋体"/>
                <w:color w:val="0000FF"/>
                <w:kern w:val="0"/>
                <w:sz w:val="20"/>
                <w:lang w:bidi="ar"/>
              </w:rPr>
              <w:t xml:space="preserve">3.17 </w:t>
            </w:r>
          </w:p>
        </w:tc>
      </w:tr>
      <w:tr w:rsidR="00F44F7B">
        <w:trPr>
          <w:trHeight w:val="285"/>
        </w:trPr>
        <w:tc>
          <w:tcPr>
            <w:tcW w:w="1146"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ascii="仿宋_GB2312" w:hAnsi="宋体" w:cs="仿宋_GB2312"/>
                <w:color w:val="0000FF"/>
                <w:sz w:val="18"/>
                <w:szCs w:val="18"/>
              </w:rPr>
            </w:pPr>
            <w:r>
              <w:rPr>
                <w:rFonts w:ascii="仿宋_GB2312" w:hAnsi="宋体" w:cs="仿宋_GB2312" w:hint="eastAsia"/>
                <w:color w:val="0000FF"/>
                <w:kern w:val="0"/>
                <w:sz w:val="18"/>
                <w:szCs w:val="18"/>
                <w:lang w:bidi="ar"/>
              </w:rPr>
              <w:t>总计</w:t>
            </w:r>
          </w:p>
        </w:tc>
        <w:tc>
          <w:tcPr>
            <w:tcW w:w="52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jc w:val="center"/>
              <w:rPr>
                <w:rFonts w:eastAsia="宋体"/>
                <w:color w:val="0000FF"/>
                <w:sz w:val="20"/>
              </w:rPr>
            </w:pPr>
          </w:p>
        </w:tc>
        <w:tc>
          <w:tcPr>
            <w:tcW w:w="59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jc w:val="center"/>
              <w:rPr>
                <w:rFonts w:eastAsia="宋体"/>
                <w:color w:val="0000FF"/>
                <w:sz w:val="20"/>
              </w:rPr>
            </w:pPr>
          </w:p>
        </w:tc>
        <w:tc>
          <w:tcPr>
            <w:tcW w:w="5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jc w:val="center"/>
              <w:rPr>
                <w:rFonts w:eastAsia="宋体"/>
                <w:color w:val="0000FF"/>
                <w:sz w:val="20"/>
              </w:rPr>
            </w:pPr>
          </w:p>
        </w:tc>
        <w:tc>
          <w:tcPr>
            <w:tcW w:w="39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jc w:val="center"/>
              <w:rPr>
                <w:rFonts w:eastAsia="宋体"/>
                <w:color w:val="0000FF"/>
                <w:sz w:val="20"/>
              </w:rPr>
            </w:pPr>
          </w:p>
        </w:tc>
        <w:tc>
          <w:tcPr>
            <w:tcW w:w="41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eastAsia="宋体"/>
                <w:color w:val="0000FF"/>
                <w:sz w:val="20"/>
              </w:rPr>
            </w:pPr>
            <w:r>
              <w:rPr>
                <w:rFonts w:eastAsia="宋体"/>
                <w:color w:val="0000FF"/>
                <w:kern w:val="0"/>
                <w:sz w:val="20"/>
                <w:lang w:bidi="ar"/>
              </w:rPr>
              <w:t xml:space="preserve">1.92 </w:t>
            </w:r>
          </w:p>
        </w:tc>
        <w:tc>
          <w:tcPr>
            <w:tcW w:w="416"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eastAsia="宋体"/>
                <w:color w:val="0000FF"/>
                <w:sz w:val="20"/>
              </w:rPr>
            </w:pPr>
            <w:r>
              <w:rPr>
                <w:rFonts w:eastAsia="宋体"/>
                <w:color w:val="0000FF"/>
                <w:kern w:val="0"/>
                <w:sz w:val="20"/>
                <w:lang w:bidi="ar"/>
              </w:rPr>
              <w:t xml:space="preserve">2.81 </w:t>
            </w:r>
          </w:p>
        </w:tc>
        <w:tc>
          <w:tcPr>
            <w:tcW w:w="41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eastAsia="宋体"/>
                <w:color w:val="0000FF"/>
                <w:sz w:val="20"/>
              </w:rPr>
            </w:pPr>
            <w:r>
              <w:rPr>
                <w:rFonts w:eastAsia="宋体"/>
                <w:color w:val="0000FF"/>
                <w:kern w:val="0"/>
                <w:sz w:val="20"/>
                <w:lang w:bidi="ar"/>
              </w:rPr>
              <w:t xml:space="preserve">0.89 </w:t>
            </w:r>
          </w:p>
        </w:tc>
        <w:tc>
          <w:tcPr>
            <w:tcW w:w="59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rFonts w:eastAsia="宋体"/>
                <w:color w:val="0000FF"/>
                <w:sz w:val="20"/>
              </w:rPr>
            </w:pPr>
            <w:r>
              <w:rPr>
                <w:rFonts w:eastAsia="宋体"/>
                <w:color w:val="0000FF"/>
                <w:kern w:val="0"/>
                <w:sz w:val="20"/>
                <w:lang w:bidi="ar"/>
              </w:rPr>
              <w:t xml:space="preserve">100.00 </w:t>
            </w:r>
          </w:p>
        </w:tc>
      </w:tr>
    </w:tbl>
    <w:p w:rsidR="00F44F7B" w:rsidRDefault="00F44F7B">
      <w:bookmarkStart w:id="154" w:name="_Toc61605702"/>
      <w:bookmarkEnd w:id="83"/>
    </w:p>
    <w:p w:rsidR="00F44F7B" w:rsidRDefault="00730D49">
      <w:pPr>
        <w:pStyle w:val="1"/>
        <w:rPr>
          <w:szCs w:val="22"/>
        </w:rPr>
      </w:pPr>
      <w:bookmarkStart w:id="155" w:name="_Toc30272"/>
      <w:r>
        <w:rPr>
          <w:rFonts w:hint="eastAsia"/>
          <w:szCs w:val="22"/>
        </w:rPr>
        <w:t>5</w:t>
      </w:r>
      <w:r>
        <w:rPr>
          <w:rFonts w:hint="eastAsia"/>
          <w:szCs w:val="22"/>
        </w:rPr>
        <w:t>水土保持措施</w:t>
      </w:r>
      <w:bookmarkEnd w:id="155"/>
    </w:p>
    <w:p w:rsidR="00F44F7B" w:rsidRDefault="00730D49">
      <w:pPr>
        <w:pStyle w:val="2"/>
        <w:rPr>
          <w:bCs/>
          <w:spacing w:val="0"/>
          <w:kern w:val="30"/>
          <w:szCs w:val="30"/>
        </w:rPr>
      </w:pPr>
      <w:bookmarkStart w:id="156" w:name="_Toc28002"/>
      <w:bookmarkStart w:id="157" w:name="_Toc21842"/>
      <w:bookmarkStart w:id="158" w:name="_Toc21792"/>
      <w:bookmarkStart w:id="159" w:name="_Toc32162"/>
      <w:r>
        <w:rPr>
          <w:bCs/>
          <w:spacing w:val="0"/>
          <w:kern w:val="30"/>
          <w:szCs w:val="30"/>
        </w:rPr>
        <w:t>5.1</w:t>
      </w:r>
      <w:r>
        <w:rPr>
          <w:bCs/>
          <w:spacing w:val="0"/>
          <w:kern w:val="30"/>
          <w:szCs w:val="30"/>
        </w:rPr>
        <w:t>防治区划分</w:t>
      </w:r>
      <w:bookmarkEnd w:id="156"/>
      <w:bookmarkEnd w:id="157"/>
      <w:bookmarkEnd w:id="158"/>
    </w:p>
    <w:p w:rsidR="00F44F7B" w:rsidRDefault="00730D49">
      <w:pPr>
        <w:pStyle w:val="3"/>
        <w:widowControl/>
        <w:tabs>
          <w:tab w:val="center" w:pos="4252"/>
        </w:tabs>
        <w:rPr>
          <w:szCs w:val="28"/>
        </w:rPr>
      </w:pPr>
      <w:r>
        <w:rPr>
          <w:szCs w:val="28"/>
        </w:rPr>
        <w:t>5.1.1</w:t>
      </w:r>
      <w:r>
        <w:rPr>
          <w:szCs w:val="28"/>
        </w:rPr>
        <w:t>防治分区原则</w:t>
      </w:r>
    </w:p>
    <w:p w:rsidR="00F44F7B" w:rsidRDefault="00730D49">
      <w:pPr>
        <w:pStyle w:val="BZDL1"/>
        <w:spacing w:beforeLines="0" w:before="0" w:afterLines="0" w:after="0" w:line="360" w:lineRule="auto"/>
        <w:ind w:firstLine="480"/>
        <w:rPr>
          <w:rFonts w:ascii="Times New Roman"/>
          <w:sz w:val="24"/>
          <w:szCs w:val="16"/>
        </w:rPr>
      </w:pPr>
      <w:bookmarkStart w:id="160" w:name="_Toc179486846"/>
      <w:bookmarkStart w:id="161" w:name="_Toc205692980"/>
      <w:r>
        <w:rPr>
          <w:rFonts w:ascii="Times New Roman"/>
          <w:sz w:val="24"/>
          <w:szCs w:val="16"/>
        </w:rPr>
        <w:t>在水土流失防治措施体系中首先应搞好预防保护措施，其次在布设防治措施中应遵循以下原则：</w:t>
      </w:r>
    </w:p>
    <w:p w:rsidR="00F44F7B" w:rsidRDefault="00730D49">
      <w:pPr>
        <w:pStyle w:val="BZDL1"/>
        <w:spacing w:beforeLines="0" w:before="0" w:afterLines="0" w:after="0" w:line="360" w:lineRule="auto"/>
        <w:ind w:firstLine="480"/>
        <w:rPr>
          <w:rFonts w:ascii="Times New Roman"/>
          <w:sz w:val="24"/>
          <w:szCs w:val="16"/>
        </w:rPr>
      </w:pPr>
      <w:r>
        <w:rPr>
          <w:rFonts w:ascii="Times New Roman"/>
          <w:sz w:val="24"/>
          <w:szCs w:val="16"/>
        </w:rPr>
        <w:t>1</w:t>
      </w:r>
      <w:r>
        <w:rPr>
          <w:rFonts w:ascii="Times New Roman"/>
          <w:sz w:val="24"/>
          <w:szCs w:val="16"/>
        </w:rPr>
        <w:t>、坚持防治结合、因地制宜、因害设防、全面布局、科学配置的原则；</w:t>
      </w:r>
    </w:p>
    <w:p w:rsidR="00F44F7B" w:rsidRDefault="00730D49">
      <w:pPr>
        <w:pStyle w:val="BZDL1"/>
        <w:spacing w:beforeLines="0" w:before="0" w:afterLines="0" w:after="0" w:line="360" w:lineRule="auto"/>
        <w:ind w:firstLine="480"/>
        <w:rPr>
          <w:rFonts w:ascii="Times New Roman"/>
          <w:sz w:val="24"/>
          <w:szCs w:val="16"/>
        </w:rPr>
      </w:pPr>
      <w:r>
        <w:rPr>
          <w:rFonts w:ascii="Times New Roman"/>
          <w:sz w:val="24"/>
          <w:szCs w:val="16"/>
        </w:rPr>
        <w:t>2</w:t>
      </w:r>
      <w:r>
        <w:rPr>
          <w:rFonts w:ascii="Times New Roman"/>
          <w:sz w:val="24"/>
          <w:szCs w:val="16"/>
        </w:rPr>
        <w:t>、综合防治的原则；</w:t>
      </w:r>
    </w:p>
    <w:p w:rsidR="00F44F7B" w:rsidRDefault="00730D49">
      <w:pPr>
        <w:pStyle w:val="BZDL1"/>
        <w:spacing w:beforeLines="0" w:before="0" w:afterLines="0" w:after="0" w:line="360" w:lineRule="auto"/>
        <w:ind w:firstLine="480"/>
        <w:rPr>
          <w:rFonts w:ascii="Times New Roman"/>
          <w:sz w:val="24"/>
          <w:szCs w:val="16"/>
        </w:rPr>
      </w:pPr>
      <w:r>
        <w:rPr>
          <w:rFonts w:ascii="Times New Roman"/>
          <w:sz w:val="24"/>
          <w:szCs w:val="16"/>
        </w:rPr>
        <w:lastRenderedPageBreak/>
        <w:t>3</w:t>
      </w:r>
      <w:r>
        <w:rPr>
          <w:rFonts w:ascii="Times New Roman"/>
          <w:sz w:val="24"/>
          <w:szCs w:val="16"/>
        </w:rPr>
        <w:t>、整体性原则；</w:t>
      </w:r>
    </w:p>
    <w:p w:rsidR="00F44F7B" w:rsidRDefault="00730D49">
      <w:pPr>
        <w:pStyle w:val="BZDL1"/>
        <w:spacing w:beforeLines="0" w:before="0" w:afterLines="0" w:after="0" w:line="360" w:lineRule="auto"/>
        <w:ind w:firstLine="480"/>
        <w:rPr>
          <w:rFonts w:ascii="Times New Roman"/>
          <w:sz w:val="24"/>
          <w:szCs w:val="16"/>
        </w:rPr>
      </w:pPr>
      <w:r>
        <w:rPr>
          <w:rFonts w:ascii="Times New Roman"/>
          <w:sz w:val="24"/>
          <w:szCs w:val="16"/>
        </w:rPr>
        <w:t>4</w:t>
      </w:r>
      <w:r>
        <w:rPr>
          <w:rFonts w:ascii="Times New Roman"/>
          <w:sz w:val="24"/>
          <w:szCs w:val="16"/>
        </w:rPr>
        <w:t>、合理安排施工时序，根据水土流失的情况，采取临时措施、永久措施相结合的方式，全过程防治；</w:t>
      </w:r>
    </w:p>
    <w:p w:rsidR="00F44F7B" w:rsidRDefault="00730D49">
      <w:pPr>
        <w:pStyle w:val="BZDL1"/>
        <w:spacing w:beforeLines="0" w:before="0" w:afterLines="0" w:after="0" w:line="360" w:lineRule="auto"/>
        <w:ind w:firstLine="480"/>
        <w:rPr>
          <w:rFonts w:ascii="Times New Roman"/>
          <w:sz w:val="24"/>
          <w:szCs w:val="16"/>
        </w:rPr>
      </w:pPr>
      <w:r>
        <w:rPr>
          <w:rFonts w:ascii="Times New Roman"/>
          <w:sz w:val="24"/>
          <w:szCs w:val="16"/>
        </w:rPr>
        <w:t>5</w:t>
      </w:r>
      <w:r>
        <w:rPr>
          <w:rFonts w:ascii="Times New Roman"/>
          <w:sz w:val="24"/>
          <w:szCs w:val="16"/>
        </w:rPr>
        <w:t>、注重吸收当地水土保持的成功经验，尽量选用当地材料，做到技术上可靠、经济上合理。</w:t>
      </w:r>
    </w:p>
    <w:p w:rsidR="00F44F7B" w:rsidRDefault="00730D49">
      <w:pPr>
        <w:pStyle w:val="3"/>
        <w:widowControl/>
        <w:tabs>
          <w:tab w:val="center" w:pos="4252"/>
        </w:tabs>
        <w:adjustRightInd/>
        <w:snapToGrid/>
        <w:rPr>
          <w:szCs w:val="28"/>
        </w:rPr>
      </w:pPr>
      <w:r>
        <w:rPr>
          <w:szCs w:val="28"/>
        </w:rPr>
        <w:t>5.1.2</w:t>
      </w:r>
      <w:r>
        <w:rPr>
          <w:szCs w:val="28"/>
        </w:rPr>
        <w:t>分区依据</w:t>
      </w:r>
      <w:bookmarkEnd w:id="160"/>
      <w:bookmarkEnd w:id="161"/>
    </w:p>
    <w:p w:rsidR="00F44F7B" w:rsidRDefault="00730D49">
      <w:pPr>
        <w:autoSpaceDE w:val="0"/>
        <w:autoSpaceDN w:val="0"/>
        <w:adjustRightInd/>
        <w:snapToGrid/>
        <w:spacing w:line="360" w:lineRule="auto"/>
        <w:ind w:firstLineChars="200" w:firstLine="480"/>
        <w:rPr>
          <w:bCs/>
          <w:szCs w:val="24"/>
        </w:rPr>
      </w:pPr>
      <w:r>
        <w:rPr>
          <w:bCs/>
          <w:szCs w:val="24"/>
        </w:rPr>
        <w:t>根据野外调查结果，在确定的防治责任范围内，依据主体工程布局、施工扰动特点、建设时序、地貌特征、自然属性、水土流失影响等进行分区。</w:t>
      </w:r>
    </w:p>
    <w:p w:rsidR="00F44F7B" w:rsidRDefault="00730D49">
      <w:pPr>
        <w:autoSpaceDE w:val="0"/>
        <w:autoSpaceDN w:val="0"/>
        <w:adjustRightInd/>
        <w:snapToGrid/>
        <w:spacing w:line="360" w:lineRule="auto"/>
        <w:ind w:firstLineChars="200" w:firstLine="480"/>
        <w:rPr>
          <w:bCs/>
          <w:szCs w:val="24"/>
        </w:rPr>
      </w:pPr>
      <w:r>
        <w:rPr>
          <w:bCs/>
          <w:szCs w:val="24"/>
        </w:rPr>
        <w:t>由于本项目造成的水土流失绝大部分发生在施工期，故在项目水土流失防治分区的划分过程中充分考虑主体工程布局和各类工程活动的特点和时序，同时结合本工程水土流失初步分析结果，将时序基本相同、功能接近、工程布局相对集中的工区划分为水土流失防治一级区，之后根据项目工程特征、施工工艺、施工组织等划分二级区。</w:t>
      </w:r>
    </w:p>
    <w:p w:rsidR="00F44F7B" w:rsidRDefault="00730D49">
      <w:pPr>
        <w:pStyle w:val="3"/>
        <w:widowControl/>
        <w:tabs>
          <w:tab w:val="center" w:pos="4252"/>
        </w:tabs>
        <w:adjustRightInd/>
        <w:snapToGrid/>
        <w:rPr>
          <w:szCs w:val="28"/>
        </w:rPr>
      </w:pPr>
      <w:bookmarkStart w:id="162" w:name="_Toc205692981"/>
      <w:bookmarkStart w:id="163" w:name="_Toc179486847"/>
      <w:r>
        <w:rPr>
          <w:szCs w:val="28"/>
        </w:rPr>
        <w:t>5.1.3</w:t>
      </w:r>
      <w:r>
        <w:rPr>
          <w:szCs w:val="28"/>
        </w:rPr>
        <w:t>分区结果</w:t>
      </w:r>
      <w:bookmarkEnd w:id="162"/>
      <w:bookmarkEnd w:id="163"/>
    </w:p>
    <w:p w:rsidR="00F44F7B" w:rsidRDefault="00730D49">
      <w:pPr>
        <w:widowControl/>
        <w:autoSpaceDE w:val="0"/>
        <w:autoSpaceDN w:val="0"/>
        <w:adjustRightInd/>
        <w:snapToGrid/>
        <w:spacing w:line="360" w:lineRule="auto"/>
        <w:ind w:firstLineChars="200" w:firstLine="480"/>
        <w:rPr>
          <w:bCs/>
          <w:szCs w:val="24"/>
        </w:rPr>
      </w:pPr>
      <w:r>
        <w:rPr>
          <w:bCs/>
          <w:szCs w:val="24"/>
        </w:rPr>
        <w:t>根据上述分区原则与依据，结合本项目的特点，将本项目划分成</w:t>
      </w:r>
      <w:r>
        <w:rPr>
          <w:bCs/>
          <w:szCs w:val="24"/>
        </w:rPr>
        <w:t>2</w:t>
      </w:r>
      <w:r>
        <w:rPr>
          <w:bCs/>
          <w:szCs w:val="24"/>
        </w:rPr>
        <w:t>个水土流</w:t>
      </w:r>
      <w:r>
        <w:rPr>
          <w:bCs/>
          <w:szCs w:val="24"/>
        </w:rPr>
        <w:t>失一级防治区，分别是</w:t>
      </w:r>
      <w:r>
        <w:rPr>
          <w:rFonts w:hint="eastAsia"/>
          <w:bCs/>
          <w:color w:val="0000FF"/>
          <w:szCs w:val="24"/>
        </w:rPr>
        <w:t>建构筑物区和配套设施区</w:t>
      </w:r>
      <w:r>
        <w:rPr>
          <w:szCs w:val="24"/>
        </w:rPr>
        <w:t>，</w:t>
      </w:r>
      <w:r>
        <w:rPr>
          <w:bCs/>
          <w:szCs w:val="24"/>
        </w:rPr>
        <w:t>详见表</w:t>
      </w:r>
      <w:r>
        <w:rPr>
          <w:bCs/>
          <w:szCs w:val="24"/>
        </w:rPr>
        <w:t>5-1</w:t>
      </w:r>
      <w:r>
        <w:rPr>
          <w:bCs/>
          <w:szCs w:val="24"/>
        </w:rPr>
        <w:t>。根据现场调查，确定本项目水土保持防治责任范围，详见表</w:t>
      </w:r>
      <w:r>
        <w:rPr>
          <w:bCs/>
          <w:szCs w:val="24"/>
        </w:rPr>
        <w:t>5-2</w:t>
      </w:r>
      <w:r>
        <w:rPr>
          <w:bCs/>
          <w:szCs w:val="24"/>
        </w:rPr>
        <w:t>。</w:t>
      </w:r>
    </w:p>
    <w:p w:rsidR="00F44F7B" w:rsidRDefault="00730D49">
      <w:pPr>
        <w:pStyle w:val="08522"/>
        <w:jc w:val="center"/>
        <w:rPr>
          <w:b/>
          <w:sz w:val="22"/>
          <w:szCs w:val="22"/>
        </w:rPr>
      </w:pPr>
      <w:r>
        <w:rPr>
          <w:b/>
          <w:sz w:val="22"/>
          <w:szCs w:val="22"/>
        </w:rPr>
        <w:t>表</w:t>
      </w:r>
      <w:r>
        <w:rPr>
          <w:b/>
          <w:sz w:val="22"/>
          <w:szCs w:val="22"/>
        </w:rPr>
        <w:t>5-</w:t>
      </w:r>
      <w:r>
        <w:rPr>
          <w:rFonts w:hint="eastAsia"/>
          <w:b/>
          <w:sz w:val="22"/>
          <w:szCs w:val="22"/>
        </w:rPr>
        <w:t>1</w:t>
      </w:r>
      <w:r>
        <w:rPr>
          <w:b/>
          <w:sz w:val="22"/>
          <w:szCs w:val="22"/>
        </w:rPr>
        <w:t xml:space="preserve">        </w:t>
      </w:r>
      <w:r>
        <w:rPr>
          <w:b/>
          <w:sz w:val="22"/>
          <w:szCs w:val="22"/>
        </w:rPr>
        <w:t>项目建设区水土保持防治责任范围表</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91"/>
        <w:gridCol w:w="2194"/>
        <w:gridCol w:w="2193"/>
        <w:gridCol w:w="2195"/>
      </w:tblGrid>
      <w:tr w:rsidR="00F44F7B">
        <w:trPr>
          <w:trHeight w:hRule="exact" w:val="283"/>
          <w:jc w:val="center"/>
        </w:trPr>
        <w:tc>
          <w:tcPr>
            <w:tcW w:w="1248" w:type="pct"/>
            <w:vMerge w:val="restart"/>
            <w:tcBorders>
              <w:tl2br w:val="nil"/>
              <w:tr2bl w:val="nil"/>
            </w:tcBorders>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项目组成</w:t>
            </w:r>
          </w:p>
        </w:tc>
        <w:tc>
          <w:tcPr>
            <w:tcW w:w="1250" w:type="pct"/>
            <w:vMerge w:val="restart"/>
            <w:tcBorders>
              <w:tl2br w:val="nil"/>
              <w:tr2bl w:val="nil"/>
            </w:tcBorders>
            <w:noWrap/>
            <w:tcMar>
              <w:top w:w="15" w:type="dxa"/>
              <w:left w:w="15" w:type="dxa"/>
              <w:right w:w="15" w:type="dxa"/>
            </w:tcMar>
            <w:vAlign w:val="center"/>
          </w:tcPr>
          <w:p w:rsidR="00F44F7B" w:rsidRDefault="00730D49">
            <w:pPr>
              <w:widowControl/>
              <w:jc w:val="center"/>
              <w:textAlignment w:val="center"/>
              <w:rPr>
                <w:color w:val="0000FF"/>
                <w:kern w:val="0"/>
                <w:sz w:val="21"/>
                <w:szCs w:val="21"/>
                <w:lang w:bidi="ar"/>
              </w:rPr>
            </w:pPr>
            <w:r>
              <w:rPr>
                <w:color w:val="0000FF"/>
                <w:kern w:val="0"/>
                <w:sz w:val="21"/>
                <w:szCs w:val="21"/>
                <w:lang w:bidi="ar"/>
              </w:rPr>
              <w:t>小计</w:t>
            </w:r>
            <w:r>
              <w:rPr>
                <w:rFonts w:hint="eastAsia"/>
                <w:color w:val="0000FF"/>
                <w:kern w:val="0"/>
                <w:sz w:val="21"/>
                <w:szCs w:val="21"/>
                <w:lang w:bidi="ar"/>
              </w:rPr>
              <w:t>（</w:t>
            </w:r>
            <w:r>
              <w:rPr>
                <w:rFonts w:hint="eastAsia"/>
                <w:color w:val="0000FF"/>
                <w:kern w:val="0"/>
                <w:sz w:val="21"/>
                <w:szCs w:val="21"/>
                <w:lang w:bidi="ar"/>
              </w:rPr>
              <w:t>h</w:t>
            </w:r>
            <w:r>
              <w:rPr>
                <w:rFonts w:hint="eastAsia"/>
                <w:color w:val="0000FF"/>
                <w:kern w:val="0"/>
                <w:sz w:val="21"/>
                <w:szCs w:val="21"/>
                <w:lang w:bidi="ar"/>
              </w:rPr>
              <w:t>m</w:t>
            </w:r>
            <w:r>
              <w:rPr>
                <w:color w:val="0000FF"/>
                <w:kern w:val="0"/>
                <w:sz w:val="21"/>
                <w:szCs w:val="21"/>
                <w:vertAlign w:val="superscript"/>
                <w:lang w:bidi="ar"/>
              </w:rPr>
              <w:t>2</w:t>
            </w:r>
            <w:r>
              <w:rPr>
                <w:rFonts w:hint="eastAsia"/>
                <w:color w:val="0000FF"/>
                <w:kern w:val="0"/>
                <w:sz w:val="21"/>
                <w:szCs w:val="21"/>
                <w:lang w:bidi="ar"/>
              </w:rPr>
              <w:t>）</w:t>
            </w:r>
          </w:p>
        </w:tc>
        <w:tc>
          <w:tcPr>
            <w:tcW w:w="2501" w:type="pct"/>
            <w:gridSpan w:val="2"/>
            <w:tcBorders>
              <w:tl2br w:val="nil"/>
              <w:tr2bl w:val="nil"/>
            </w:tcBorders>
            <w:noWrap/>
            <w:tcMar>
              <w:top w:w="15" w:type="dxa"/>
              <w:left w:w="15" w:type="dxa"/>
              <w:right w:w="15" w:type="dxa"/>
            </w:tcMar>
            <w:vAlign w:val="center"/>
          </w:tcPr>
          <w:p w:rsidR="00F44F7B" w:rsidRDefault="00730D49">
            <w:pPr>
              <w:widowControl/>
              <w:jc w:val="center"/>
              <w:textAlignment w:val="center"/>
              <w:rPr>
                <w:color w:val="0000FF"/>
                <w:kern w:val="0"/>
                <w:sz w:val="21"/>
                <w:szCs w:val="21"/>
                <w:lang w:bidi="ar"/>
              </w:rPr>
            </w:pPr>
            <w:r>
              <w:rPr>
                <w:color w:val="0000FF"/>
                <w:kern w:val="0"/>
                <w:sz w:val="21"/>
                <w:szCs w:val="21"/>
                <w:lang w:bidi="ar"/>
              </w:rPr>
              <w:t>水土保持防治责任范围表</w:t>
            </w:r>
          </w:p>
        </w:tc>
      </w:tr>
      <w:tr w:rsidR="00F44F7B">
        <w:trPr>
          <w:trHeight w:hRule="exact" w:val="283"/>
          <w:jc w:val="center"/>
        </w:trPr>
        <w:tc>
          <w:tcPr>
            <w:tcW w:w="1248" w:type="pct"/>
            <w:vMerge/>
            <w:tcBorders>
              <w:tl2br w:val="nil"/>
              <w:tr2bl w:val="nil"/>
            </w:tcBorders>
            <w:noWrap/>
            <w:tcMar>
              <w:top w:w="15" w:type="dxa"/>
              <w:left w:w="15" w:type="dxa"/>
              <w:right w:w="15" w:type="dxa"/>
            </w:tcMar>
            <w:vAlign w:val="center"/>
          </w:tcPr>
          <w:p w:rsidR="00F44F7B" w:rsidRDefault="00F44F7B">
            <w:pPr>
              <w:widowControl/>
              <w:jc w:val="center"/>
              <w:textAlignment w:val="center"/>
              <w:rPr>
                <w:color w:val="0000FF"/>
                <w:sz w:val="21"/>
                <w:szCs w:val="21"/>
              </w:rPr>
            </w:pPr>
          </w:p>
        </w:tc>
        <w:tc>
          <w:tcPr>
            <w:tcW w:w="1250" w:type="pct"/>
            <w:vMerge/>
            <w:tcBorders>
              <w:tl2br w:val="nil"/>
              <w:tr2bl w:val="nil"/>
            </w:tcBorders>
            <w:noWrap/>
            <w:tcMar>
              <w:top w:w="15" w:type="dxa"/>
              <w:left w:w="15" w:type="dxa"/>
              <w:right w:w="15" w:type="dxa"/>
            </w:tcMar>
            <w:vAlign w:val="center"/>
          </w:tcPr>
          <w:p w:rsidR="00F44F7B" w:rsidRDefault="00F44F7B">
            <w:pPr>
              <w:widowControl/>
              <w:jc w:val="center"/>
              <w:textAlignment w:val="center"/>
              <w:rPr>
                <w:color w:val="0000FF"/>
                <w:kern w:val="0"/>
                <w:sz w:val="21"/>
                <w:szCs w:val="21"/>
                <w:lang w:bidi="ar"/>
              </w:rPr>
            </w:pPr>
          </w:p>
        </w:tc>
        <w:tc>
          <w:tcPr>
            <w:tcW w:w="1250" w:type="pct"/>
            <w:tcBorders>
              <w:tl2br w:val="nil"/>
              <w:tr2bl w:val="nil"/>
            </w:tcBorders>
            <w:noWrap/>
            <w:tcMar>
              <w:top w:w="15" w:type="dxa"/>
              <w:left w:w="15" w:type="dxa"/>
              <w:right w:w="15" w:type="dxa"/>
            </w:tcMar>
            <w:vAlign w:val="center"/>
          </w:tcPr>
          <w:p w:rsidR="00F44F7B" w:rsidRDefault="00730D49">
            <w:pPr>
              <w:widowControl/>
              <w:jc w:val="center"/>
              <w:textAlignment w:val="center"/>
              <w:rPr>
                <w:color w:val="0000FF"/>
                <w:kern w:val="0"/>
                <w:sz w:val="21"/>
                <w:szCs w:val="21"/>
                <w:lang w:bidi="ar"/>
              </w:rPr>
            </w:pPr>
            <w:r>
              <w:rPr>
                <w:color w:val="0000FF"/>
                <w:kern w:val="0"/>
                <w:sz w:val="21"/>
                <w:szCs w:val="21"/>
                <w:lang w:bidi="ar"/>
              </w:rPr>
              <w:t>项目建设区</w:t>
            </w:r>
          </w:p>
        </w:tc>
        <w:tc>
          <w:tcPr>
            <w:tcW w:w="1251" w:type="pct"/>
            <w:tcBorders>
              <w:tl2br w:val="nil"/>
              <w:tr2bl w:val="nil"/>
            </w:tcBorders>
            <w:noWrap/>
            <w:tcMar>
              <w:top w:w="15" w:type="dxa"/>
              <w:left w:w="15" w:type="dxa"/>
              <w:right w:w="15" w:type="dxa"/>
            </w:tcMar>
            <w:vAlign w:val="center"/>
          </w:tcPr>
          <w:p w:rsidR="00F44F7B" w:rsidRDefault="00730D49">
            <w:pPr>
              <w:widowControl/>
              <w:jc w:val="center"/>
              <w:textAlignment w:val="center"/>
              <w:rPr>
                <w:color w:val="0000FF"/>
                <w:kern w:val="0"/>
                <w:sz w:val="21"/>
                <w:szCs w:val="21"/>
                <w:lang w:bidi="ar"/>
              </w:rPr>
            </w:pPr>
            <w:r>
              <w:rPr>
                <w:color w:val="0000FF"/>
                <w:kern w:val="0"/>
                <w:sz w:val="21"/>
                <w:szCs w:val="21"/>
                <w:lang w:bidi="ar"/>
              </w:rPr>
              <w:t>直接影响区</w:t>
            </w:r>
          </w:p>
        </w:tc>
      </w:tr>
      <w:tr w:rsidR="00F44F7B">
        <w:trPr>
          <w:trHeight w:hRule="exact" w:val="283"/>
          <w:jc w:val="center"/>
        </w:trPr>
        <w:tc>
          <w:tcPr>
            <w:tcW w:w="1248" w:type="pct"/>
            <w:tcBorders>
              <w:tl2br w:val="nil"/>
              <w:tr2bl w:val="nil"/>
            </w:tcBorders>
            <w:noWrap/>
            <w:tcMar>
              <w:top w:w="15" w:type="dxa"/>
              <w:left w:w="15" w:type="dxa"/>
              <w:right w:w="15" w:type="dxa"/>
            </w:tcMar>
            <w:vAlign w:val="center"/>
          </w:tcPr>
          <w:p w:rsidR="00F44F7B" w:rsidRDefault="00730D49">
            <w:pPr>
              <w:widowControl/>
              <w:jc w:val="center"/>
              <w:textAlignment w:val="center"/>
              <w:rPr>
                <w:color w:val="0000FF"/>
                <w:sz w:val="21"/>
                <w:szCs w:val="21"/>
              </w:rPr>
            </w:pPr>
            <w:r>
              <w:rPr>
                <w:rFonts w:hint="eastAsia"/>
                <w:color w:val="0000FF"/>
                <w:kern w:val="0"/>
                <w:sz w:val="21"/>
                <w:szCs w:val="21"/>
                <w:lang w:bidi="ar"/>
              </w:rPr>
              <w:t>建构筑物区</w:t>
            </w:r>
          </w:p>
        </w:tc>
        <w:tc>
          <w:tcPr>
            <w:tcW w:w="1250" w:type="pct"/>
            <w:tcBorders>
              <w:tl2br w:val="nil"/>
              <w:tr2bl w:val="nil"/>
            </w:tcBorders>
            <w:noWrap/>
            <w:tcMar>
              <w:top w:w="15" w:type="dxa"/>
              <w:left w:w="15" w:type="dxa"/>
              <w:right w:w="15" w:type="dxa"/>
            </w:tcMar>
            <w:vAlign w:val="center"/>
          </w:tcPr>
          <w:p w:rsidR="00F44F7B" w:rsidRDefault="00730D49">
            <w:pPr>
              <w:widowControl/>
              <w:jc w:val="center"/>
              <w:textAlignment w:val="center"/>
              <w:rPr>
                <w:bCs/>
                <w:color w:val="0000FF"/>
                <w:kern w:val="0"/>
                <w:sz w:val="21"/>
                <w:szCs w:val="21"/>
              </w:rPr>
            </w:pPr>
            <w:r>
              <w:rPr>
                <w:rFonts w:hint="eastAsia"/>
                <w:bCs/>
                <w:color w:val="0000FF"/>
                <w:kern w:val="0"/>
                <w:sz w:val="21"/>
                <w:szCs w:val="21"/>
              </w:rPr>
              <w:t>0.16</w:t>
            </w:r>
          </w:p>
        </w:tc>
        <w:tc>
          <w:tcPr>
            <w:tcW w:w="1250" w:type="pct"/>
            <w:tcBorders>
              <w:tl2br w:val="nil"/>
              <w:tr2bl w:val="nil"/>
            </w:tcBorders>
            <w:noWrap/>
            <w:tcMar>
              <w:top w:w="15" w:type="dxa"/>
              <w:left w:w="15" w:type="dxa"/>
              <w:right w:w="15" w:type="dxa"/>
            </w:tcMar>
            <w:vAlign w:val="center"/>
          </w:tcPr>
          <w:p w:rsidR="00F44F7B" w:rsidRDefault="00730D49">
            <w:pPr>
              <w:widowControl/>
              <w:jc w:val="center"/>
              <w:textAlignment w:val="center"/>
              <w:rPr>
                <w:bCs/>
                <w:color w:val="0000FF"/>
                <w:kern w:val="0"/>
                <w:sz w:val="21"/>
                <w:szCs w:val="21"/>
              </w:rPr>
            </w:pPr>
            <w:r>
              <w:rPr>
                <w:rFonts w:hint="eastAsia"/>
                <w:color w:val="0000FF"/>
                <w:kern w:val="0"/>
                <w:sz w:val="21"/>
                <w:szCs w:val="21"/>
                <w:lang w:bidi="ar"/>
              </w:rPr>
              <w:t>0.16</w:t>
            </w:r>
          </w:p>
        </w:tc>
        <w:tc>
          <w:tcPr>
            <w:tcW w:w="1251" w:type="pct"/>
            <w:tcBorders>
              <w:tl2br w:val="nil"/>
              <w:tr2bl w:val="nil"/>
            </w:tcBorders>
            <w:noWrap/>
            <w:tcMar>
              <w:top w:w="15" w:type="dxa"/>
              <w:left w:w="15" w:type="dxa"/>
              <w:right w:w="15" w:type="dxa"/>
            </w:tcMar>
            <w:vAlign w:val="center"/>
          </w:tcPr>
          <w:p w:rsidR="00F44F7B" w:rsidRDefault="00730D49">
            <w:pPr>
              <w:widowControl/>
              <w:jc w:val="center"/>
              <w:textAlignment w:val="center"/>
              <w:rPr>
                <w:color w:val="0000FF"/>
                <w:kern w:val="0"/>
                <w:sz w:val="21"/>
                <w:szCs w:val="21"/>
                <w:lang w:bidi="ar"/>
              </w:rPr>
            </w:pPr>
            <w:r>
              <w:rPr>
                <w:color w:val="0000FF"/>
                <w:kern w:val="0"/>
                <w:sz w:val="21"/>
                <w:szCs w:val="21"/>
                <w:lang w:bidi="ar"/>
              </w:rPr>
              <w:t>-</w:t>
            </w:r>
          </w:p>
        </w:tc>
      </w:tr>
      <w:tr w:rsidR="00F44F7B">
        <w:trPr>
          <w:trHeight w:hRule="exact" w:val="283"/>
          <w:jc w:val="center"/>
        </w:trPr>
        <w:tc>
          <w:tcPr>
            <w:tcW w:w="1248" w:type="pct"/>
            <w:tcBorders>
              <w:tl2br w:val="nil"/>
              <w:tr2bl w:val="nil"/>
            </w:tcBorders>
            <w:noWrap/>
            <w:tcMar>
              <w:top w:w="15" w:type="dxa"/>
              <w:left w:w="15" w:type="dxa"/>
              <w:right w:w="15" w:type="dxa"/>
            </w:tcMar>
            <w:vAlign w:val="center"/>
          </w:tcPr>
          <w:p w:rsidR="00F44F7B" w:rsidRDefault="00730D49">
            <w:pPr>
              <w:widowControl/>
              <w:jc w:val="center"/>
              <w:textAlignment w:val="center"/>
              <w:rPr>
                <w:color w:val="0000FF"/>
                <w:sz w:val="21"/>
                <w:szCs w:val="21"/>
              </w:rPr>
            </w:pPr>
            <w:r>
              <w:rPr>
                <w:rFonts w:hint="eastAsia"/>
                <w:color w:val="0000FF"/>
                <w:kern w:val="0"/>
                <w:sz w:val="21"/>
                <w:szCs w:val="21"/>
                <w:lang w:bidi="ar"/>
              </w:rPr>
              <w:t>配套设施</w:t>
            </w:r>
            <w:r>
              <w:rPr>
                <w:color w:val="0000FF"/>
                <w:kern w:val="0"/>
                <w:sz w:val="21"/>
                <w:szCs w:val="21"/>
                <w:lang w:bidi="ar"/>
              </w:rPr>
              <w:t>区</w:t>
            </w:r>
          </w:p>
        </w:tc>
        <w:tc>
          <w:tcPr>
            <w:tcW w:w="1250" w:type="pct"/>
            <w:tcBorders>
              <w:tl2br w:val="nil"/>
              <w:tr2bl w:val="nil"/>
            </w:tcBorders>
            <w:noWrap/>
            <w:tcMar>
              <w:top w:w="15" w:type="dxa"/>
              <w:left w:w="15" w:type="dxa"/>
              <w:right w:w="15" w:type="dxa"/>
            </w:tcMar>
            <w:vAlign w:val="center"/>
          </w:tcPr>
          <w:p w:rsidR="00F44F7B" w:rsidRDefault="00730D49">
            <w:pPr>
              <w:widowControl/>
              <w:jc w:val="center"/>
              <w:textAlignment w:val="center"/>
              <w:rPr>
                <w:bCs/>
                <w:color w:val="0000FF"/>
                <w:kern w:val="0"/>
                <w:sz w:val="21"/>
                <w:szCs w:val="21"/>
              </w:rPr>
            </w:pPr>
            <w:r>
              <w:rPr>
                <w:rFonts w:hint="eastAsia"/>
                <w:color w:val="0000FF"/>
                <w:kern w:val="0"/>
                <w:sz w:val="21"/>
                <w:szCs w:val="21"/>
                <w:lang w:bidi="ar"/>
              </w:rPr>
              <w:t>0.27</w:t>
            </w:r>
          </w:p>
        </w:tc>
        <w:tc>
          <w:tcPr>
            <w:tcW w:w="1250" w:type="pct"/>
            <w:tcBorders>
              <w:tl2br w:val="nil"/>
              <w:tr2bl w:val="nil"/>
            </w:tcBorders>
            <w:noWrap/>
            <w:tcMar>
              <w:top w:w="15" w:type="dxa"/>
              <w:left w:w="15" w:type="dxa"/>
              <w:right w:w="15" w:type="dxa"/>
            </w:tcMar>
            <w:vAlign w:val="center"/>
          </w:tcPr>
          <w:p w:rsidR="00F44F7B" w:rsidRDefault="00730D49">
            <w:pPr>
              <w:widowControl/>
              <w:jc w:val="center"/>
              <w:textAlignment w:val="center"/>
              <w:rPr>
                <w:bCs/>
                <w:color w:val="0000FF"/>
                <w:kern w:val="0"/>
                <w:sz w:val="21"/>
                <w:szCs w:val="21"/>
              </w:rPr>
            </w:pPr>
            <w:r>
              <w:rPr>
                <w:rFonts w:hint="eastAsia"/>
                <w:color w:val="0000FF"/>
                <w:kern w:val="0"/>
                <w:sz w:val="21"/>
                <w:szCs w:val="21"/>
                <w:lang w:bidi="ar"/>
              </w:rPr>
              <w:t>0.27</w:t>
            </w:r>
          </w:p>
        </w:tc>
        <w:tc>
          <w:tcPr>
            <w:tcW w:w="1251" w:type="pct"/>
            <w:tcBorders>
              <w:tl2br w:val="nil"/>
              <w:tr2bl w:val="nil"/>
            </w:tcBorders>
            <w:noWrap/>
            <w:tcMar>
              <w:top w:w="15" w:type="dxa"/>
              <w:left w:w="15" w:type="dxa"/>
              <w:right w:w="15" w:type="dxa"/>
            </w:tcMar>
            <w:vAlign w:val="center"/>
          </w:tcPr>
          <w:p w:rsidR="00F44F7B" w:rsidRDefault="00730D49">
            <w:pPr>
              <w:widowControl/>
              <w:jc w:val="center"/>
              <w:textAlignment w:val="center"/>
              <w:rPr>
                <w:color w:val="0000FF"/>
                <w:kern w:val="0"/>
                <w:sz w:val="21"/>
                <w:szCs w:val="21"/>
                <w:lang w:bidi="ar"/>
              </w:rPr>
            </w:pPr>
            <w:r>
              <w:rPr>
                <w:color w:val="0000FF"/>
                <w:kern w:val="0"/>
                <w:sz w:val="21"/>
                <w:szCs w:val="21"/>
                <w:lang w:bidi="ar"/>
              </w:rPr>
              <w:t>-</w:t>
            </w:r>
          </w:p>
        </w:tc>
      </w:tr>
      <w:tr w:rsidR="00F44F7B">
        <w:trPr>
          <w:trHeight w:hRule="exact" w:val="283"/>
          <w:jc w:val="center"/>
        </w:trPr>
        <w:tc>
          <w:tcPr>
            <w:tcW w:w="0" w:type="auto"/>
            <w:vAlign w:val="center"/>
          </w:tcPr>
          <w:p w:rsidR="00F44F7B" w:rsidRDefault="00730D49">
            <w:pPr>
              <w:widowControl/>
              <w:jc w:val="center"/>
              <w:textAlignment w:val="center"/>
              <w:rPr>
                <w:color w:val="0000FF"/>
                <w:sz w:val="21"/>
                <w:szCs w:val="21"/>
              </w:rPr>
            </w:pPr>
            <w:r>
              <w:rPr>
                <w:color w:val="0000FF"/>
                <w:sz w:val="21"/>
                <w:szCs w:val="21"/>
              </w:rPr>
              <w:t>合计</w:t>
            </w:r>
          </w:p>
        </w:tc>
        <w:tc>
          <w:tcPr>
            <w:tcW w:w="0" w:type="auto"/>
            <w:vAlign w:val="center"/>
          </w:tcPr>
          <w:p w:rsidR="00F44F7B" w:rsidRDefault="00730D49">
            <w:pPr>
              <w:widowControl/>
              <w:jc w:val="center"/>
              <w:textAlignment w:val="center"/>
              <w:rPr>
                <w:bCs/>
                <w:color w:val="0000FF"/>
                <w:kern w:val="0"/>
                <w:sz w:val="21"/>
                <w:szCs w:val="21"/>
              </w:rPr>
            </w:pPr>
            <w:r>
              <w:rPr>
                <w:rFonts w:hint="eastAsia"/>
                <w:bCs/>
                <w:color w:val="0000FF"/>
                <w:kern w:val="0"/>
                <w:sz w:val="21"/>
                <w:szCs w:val="21"/>
              </w:rPr>
              <w:t>0.43</w:t>
            </w:r>
          </w:p>
        </w:tc>
        <w:tc>
          <w:tcPr>
            <w:tcW w:w="0" w:type="auto"/>
            <w:vAlign w:val="center"/>
          </w:tcPr>
          <w:p w:rsidR="00F44F7B" w:rsidRDefault="00730D49">
            <w:pPr>
              <w:widowControl/>
              <w:jc w:val="center"/>
              <w:textAlignment w:val="center"/>
              <w:rPr>
                <w:bCs/>
                <w:color w:val="0000FF"/>
                <w:kern w:val="0"/>
                <w:sz w:val="21"/>
                <w:szCs w:val="21"/>
              </w:rPr>
            </w:pPr>
            <w:r>
              <w:rPr>
                <w:rFonts w:hint="eastAsia"/>
                <w:bCs/>
                <w:color w:val="0000FF"/>
                <w:kern w:val="0"/>
                <w:sz w:val="21"/>
                <w:szCs w:val="21"/>
              </w:rPr>
              <w:t>0.43</w:t>
            </w:r>
          </w:p>
        </w:tc>
        <w:tc>
          <w:tcPr>
            <w:tcW w:w="0" w:type="auto"/>
            <w:vAlign w:val="center"/>
          </w:tcPr>
          <w:p w:rsidR="00F44F7B" w:rsidRDefault="00730D49">
            <w:pPr>
              <w:widowControl/>
              <w:jc w:val="center"/>
              <w:textAlignment w:val="center"/>
              <w:rPr>
                <w:color w:val="0000FF"/>
                <w:kern w:val="0"/>
                <w:sz w:val="21"/>
                <w:szCs w:val="21"/>
                <w:lang w:bidi="ar"/>
              </w:rPr>
            </w:pPr>
            <w:r>
              <w:rPr>
                <w:color w:val="0000FF"/>
                <w:kern w:val="0"/>
                <w:sz w:val="21"/>
                <w:szCs w:val="21"/>
                <w:lang w:bidi="ar"/>
              </w:rPr>
              <w:t>-</w:t>
            </w:r>
          </w:p>
        </w:tc>
      </w:tr>
    </w:tbl>
    <w:p w:rsidR="00F44F7B" w:rsidRDefault="00730D49">
      <w:pPr>
        <w:pStyle w:val="2"/>
        <w:spacing w:beforeLines="50" w:before="156"/>
      </w:pPr>
      <w:bookmarkStart w:id="164" w:name="_Toc6566"/>
      <w:r>
        <w:t>5.2</w:t>
      </w:r>
      <w:r>
        <w:t>主体工程设计中具有水土保持措施界定与评价</w:t>
      </w:r>
      <w:bookmarkEnd w:id="159"/>
      <w:bookmarkEnd w:id="164"/>
    </w:p>
    <w:p w:rsidR="00F44F7B" w:rsidRDefault="00730D49">
      <w:pPr>
        <w:pStyle w:val="3"/>
      </w:pPr>
      <w:r>
        <w:t>5.1.1</w:t>
      </w:r>
      <w:r>
        <w:t>界定原则</w:t>
      </w:r>
    </w:p>
    <w:p w:rsidR="00F44F7B" w:rsidRDefault="00730D49">
      <w:pPr>
        <w:widowControl/>
        <w:adjustRightInd/>
        <w:snapToGrid/>
        <w:spacing w:line="360" w:lineRule="auto"/>
        <w:ind w:firstLine="420"/>
      </w:pPr>
      <w:r>
        <w:t>（</w:t>
      </w:r>
      <w:r>
        <w:t>1</w:t>
      </w:r>
      <w:r>
        <w:t>）主导功能原则</w:t>
      </w:r>
    </w:p>
    <w:p w:rsidR="00F44F7B" w:rsidRDefault="00730D49">
      <w:pPr>
        <w:widowControl/>
        <w:adjustRightInd/>
        <w:snapToGrid/>
        <w:spacing w:line="360" w:lineRule="auto"/>
        <w:ind w:firstLine="420"/>
      </w:pPr>
      <w:r>
        <w:t>以防治水土流失为主要目标的工程，其设计、工程量、投资应纳入水土保持设计中，以主体工程设计功能为主、同时具有水土保持功能的工程，其设计、工程量、投资不纳入水土保持设计中，仅对其进行水土保持分析与评价。</w:t>
      </w:r>
    </w:p>
    <w:p w:rsidR="00F44F7B" w:rsidRDefault="00730D49">
      <w:pPr>
        <w:widowControl/>
        <w:adjustRightInd/>
        <w:snapToGrid/>
        <w:spacing w:line="360" w:lineRule="auto"/>
        <w:ind w:firstLine="420"/>
      </w:pPr>
      <w:r>
        <w:t>（</w:t>
      </w:r>
      <w:r>
        <w:t>2</w:t>
      </w:r>
      <w:r>
        <w:t>）责任区分原则</w:t>
      </w:r>
    </w:p>
    <w:p w:rsidR="00F44F7B" w:rsidRDefault="00730D49">
      <w:pPr>
        <w:widowControl/>
        <w:adjustRightInd/>
        <w:snapToGrid/>
        <w:spacing w:line="360" w:lineRule="auto"/>
        <w:ind w:firstLine="420"/>
      </w:pPr>
      <w:r>
        <w:lastRenderedPageBreak/>
        <w:t>对建设过程中的临时征地、临时占地，因施工结束后将归还当地群众或当地政府，基于水土保持工程具有公益性质的特点，需要将此范围的各项防护措施作为水土保持功能，计入水土保持设计。</w:t>
      </w:r>
    </w:p>
    <w:p w:rsidR="00F44F7B" w:rsidRDefault="00730D49">
      <w:pPr>
        <w:widowControl/>
        <w:adjustRightInd/>
        <w:snapToGrid/>
        <w:spacing w:line="360" w:lineRule="auto"/>
        <w:ind w:firstLine="420"/>
      </w:pPr>
      <w:r>
        <w:t>（</w:t>
      </w:r>
      <w:r>
        <w:t>3</w:t>
      </w:r>
      <w:r>
        <w:t>）试验排除原则</w:t>
      </w:r>
    </w:p>
    <w:p w:rsidR="00F44F7B" w:rsidRDefault="00730D49">
      <w:pPr>
        <w:widowControl/>
        <w:adjustRightInd/>
        <w:snapToGrid/>
        <w:spacing w:line="360" w:lineRule="auto"/>
        <w:ind w:firstLine="420"/>
      </w:pPr>
      <w:r>
        <w:t>对主体设计功能和水土保持功能结合较紧密的工程，可按破坏性试验的原则进行排除。假定没有这些工程，在没有受到土壤外营力的同时，主体设计功能仍旧可以发挥作用的，此类工程即可看作以防止土壤侵蚀为主要目标，应算做水土保持工程，计入水土保持设计。</w:t>
      </w:r>
    </w:p>
    <w:p w:rsidR="00F44F7B" w:rsidRDefault="00730D49">
      <w:pPr>
        <w:pStyle w:val="3"/>
      </w:pPr>
      <w:r>
        <w:t>5.2.2</w:t>
      </w:r>
      <w:r>
        <w:t>主体工程设计中具有水土保持措施界定与评价</w:t>
      </w:r>
    </w:p>
    <w:p w:rsidR="00F44F7B" w:rsidRDefault="00730D49">
      <w:pPr>
        <w:adjustRightInd/>
        <w:snapToGrid/>
        <w:spacing w:line="360" w:lineRule="auto"/>
        <w:ind w:firstLineChars="200" w:firstLine="480"/>
        <w:rPr>
          <w:szCs w:val="24"/>
        </w:rPr>
      </w:pPr>
      <w:r>
        <w:rPr>
          <w:szCs w:val="24"/>
        </w:rPr>
        <w:t>本方案根据主导功能原则、责任区分原则、试验排除原则，从综合防治水土流失角度出发，对主体设计的水土保持工程进行分析论证。现对主体设计的水土保持进行界定评价如下：</w:t>
      </w:r>
    </w:p>
    <w:p w:rsidR="00F44F7B" w:rsidRDefault="00730D49">
      <w:pPr>
        <w:pStyle w:val="a0"/>
        <w:spacing w:after="0"/>
        <w:jc w:val="center"/>
        <w:rPr>
          <w:b/>
          <w:bCs/>
          <w:sz w:val="22"/>
          <w:szCs w:val="22"/>
        </w:rPr>
      </w:pPr>
      <w:r>
        <w:rPr>
          <w:b/>
          <w:bCs/>
          <w:sz w:val="22"/>
          <w:szCs w:val="22"/>
        </w:rPr>
        <w:t>表</w:t>
      </w:r>
      <w:r>
        <w:rPr>
          <w:b/>
          <w:bCs/>
          <w:sz w:val="22"/>
          <w:szCs w:val="22"/>
        </w:rPr>
        <w:t>5-</w:t>
      </w:r>
      <w:r>
        <w:rPr>
          <w:rFonts w:hint="eastAsia"/>
          <w:b/>
          <w:bCs/>
          <w:sz w:val="22"/>
          <w:szCs w:val="22"/>
        </w:rPr>
        <w:t>2</w:t>
      </w:r>
      <w:r>
        <w:rPr>
          <w:b/>
          <w:bCs/>
          <w:sz w:val="22"/>
          <w:szCs w:val="22"/>
        </w:rPr>
        <w:t xml:space="preserve">   </w:t>
      </w:r>
      <w:r>
        <w:rPr>
          <w:b/>
          <w:bCs/>
          <w:sz w:val="22"/>
          <w:szCs w:val="22"/>
        </w:rPr>
        <w:t>主体工程水土保持措施界定</w:t>
      </w:r>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5"/>
        <w:gridCol w:w="4650"/>
        <w:gridCol w:w="2878"/>
      </w:tblGrid>
      <w:tr w:rsidR="00F44F7B">
        <w:trPr>
          <w:trHeight w:val="23"/>
        </w:trPr>
        <w:tc>
          <w:tcPr>
            <w:tcW w:w="710" w:type="pct"/>
            <w:tcBorders>
              <w:tl2br w:val="nil"/>
              <w:tr2bl w:val="nil"/>
            </w:tcBorders>
          </w:tcPr>
          <w:p w:rsidR="00F44F7B" w:rsidRDefault="00730D49">
            <w:pPr>
              <w:pStyle w:val="af0"/>
              <w:rPr>
                <w:color w:val="0000FF"/>
              </w:rPr>
            </w:pPr>
            <w:r>
              <w:rPr>
                <w:color w:val="0000FF"/>
              </w:rPr>
              <w:t>项目组成</w:t>
            </w:r>
          </w:p>
        </w:tc>
        <w:tc>
          <w:tcPr>
            <w:tcW w:w="2649" w:type="pct"/>
            <w:tcBorders>
              <w:tl2br w:val="nil"/>
              <w:tr2bl w:val="nil"/>
            </w:tcBorders>
          </w:tcPr>
          <w:p w:rsidR="00F44F7B" w:rsidRDefault="00730D49">
            <w:pPr>
              <w:pStyle w:val="af0"/>
              <w:rPr>
                <w:color w:val="0000FF"/>
              </w:rPr>
            </w:pPr>
            <w:r>
              <w:rPr>
                <w:color w:val="0000FF"/>
              </w:rPr>
              <w:t>界定为水土保持</w:t>
            </w:r>
            <w:r>
              <w:rPr>
                <w:color w:val="0000FF"/>
              </w:rPr>
              <w:t>措施的工程</w:t>
            </w:r>
          </w:p>
        </w:tc>
        <w:tc>
          <w:tcPr>
            <w:tcW w:w="1640" w:type="pct"/>
            <w:tcBorders>
              <w:tl2br w:val="nil"/>
              <w:tr2bl w:val="nil"/>
            </w:tcBorders>
          </w:tcPr>
          <w:p w:rsidR="00F44F7B" w:rsidRDefault="00730D49">
            <w:pPr>
              <w:pStyle w:val="af0"/>
              <w:rPr>
                <w:color w:val="0000FF"/>
              </w:rPr>
            </w:pPr>
            <w:r>
              <w:rPr>
                <w:color w:val="0000FF"/>
              </w:rPr>
              <w:t>不界定为水土保持措施的工程</w:t>
            </w:r>
          </w:p>
        </w:tc>
      </w:tr>
      <w:tr w:rsidR="00F44F7B">
        <w:trPr>
          <w:trHeight w:val="23"/>
        </w:trPr>
        <w:tc>
          <w:tcPr>
            <w:tcW w:w="710" w:type="pct"/>
            <w:tcBorders>
              <w:tl2br w:val="nil"/>
              <w:tr2bl w:val="nil"/>
            </w:tcBorders>
            <w:vAlign w:val="center"/>
          </w:tcPr>
          <w:p w:rsidR="00F44F7B" w:rsidRDefault="00730D49">
            <w:pPr>
              <w:pStyle w:val="af0"/>
              <w:rPr>
                <w:color w:val="0000FF"/>
              </w:rPr>
            </w:pPr>
            <w:r>
              <w:rPr>
                <w:rFonts w:hint="eastAsia"/>
                <w:color w:val="0000FF"/>
              </w:rPr>
              <w:t>建构筑物区</w:t>
            </w:r>
          </w:p>
        </w:tc>
        <w:tc>
          <w:tcPr>
            <w:tcW w:w="2649" w:type="pct"/>
            <w:tcBorders>
              <w:tl2br w:val="nil"/>
              <w:tr2bl w:val="nil"/>
            </w:tcBorders>
          </w:tcPr>
          <w:p w:rsidR="00F44F7B" w:rsidRDefault="00730D49">
            <w:pPr>
              <w:pStyle w:val="af0"/>
              <w:rPr>
                <w:color w:val="0000FF"/>
              </w:rPr>
            </w:pPr>
            <w:r>
              <w:rPr>
                <w:color w:val="0000FF"/>
              </w:rPr>
              <w:t>排水沟、表土剥离、</w:t>
            </w:r>
            <w:r>
              <w:rPr>
                <w:rFonts w:hint="eastAsia"/>
                <w:color w:val="0000FF"/>
              </w:rPr>
              <w:t>表土回覆</w:t>
            </w:r>
            <w:r>
              <w:rPr>
                <w:color w:val="0000FF"/>
              </w:rPr>
              <w:t>、</w:t>
            </w:r>
            <w:r>
              <w:rPr>
                <w:rFonts w:hint="eastAsia"/>
                <w:color w:val="0000FF"/>
              </w:rPr>
              <w:t>雨水管</w:t>
            </w:r>
            <w:r>
              <w:rPr>
                <w:rFonts w:hint="eastAsia"/>
                <w:color w:val="0000FF"/>
              </w:rPr>
              <w:t>、临时遮盖</w:t>
            </w:r>
          </w:p>
        </w:tc>
        <w:tc>
          <w:tcPr>
            <w:tcW w:w="1640" w:type="pct"/>
            <w:tcBorders>
              <w:tl2br w:val="nil"/>
              <w:tr2bl w:val="nil"/>
            </w:tcBorders>
          </w:tcPr>
          <w:p w:rsidR="00F44F7B" w:rsidRDefault="00730D49">
            <w:pPr>
              <w:pStyle w:val="af0"/>
              <w:rPr>
                <w:color w:val="0000FF"/>
              </w:rPr>
            </w:pPr>
            <w:r>
              <w:rPr>
                <w:color w:val="0000FF"/>
              </w:rPr>
              <w:t>围墙</w:t>
            </w:r>
          </w:p>
        </w:tc>
      </w:tr>
      <w:tr w:rsidR="00F44F7B">
        <w:trPr>
          <w:trHeight w:val="23"/>
        </w:trPr>
        <w:tc>
          <w:tcPr>
            <w:tcW w:w="710" w:type="pct"/>
            <w:tcBorders>
              <w:tl2br w:val="nil"/>
              <w:tr2bl w:val="nil"/>
            </w:tcBorders>
          </w:tcPr>
          <w:p w:rsidR="00F44F7B" w:rsidRDefault="00730D49">
            <w:pPr>
              <w:pStyle w:val="af0"/>
              <w:rPr>
                <w:color w:val="0000FF"/>
              </w:rPr>
            </w:pPr>
            <w:r>
              <w:rPr>
                <w:rFonts w:hint="eastAsia"/>
                <w:color w:val="0000FF"/>
              </w:rPr>
              <w:t>配套设施</w:t>
            </w:r>
            <w:r>
              <w:rPr>
                <w:color w:val="0000FF"/>
              </w:rPr>
              <w:t>区</w:t>
            </w:r>
          </w:p>
        </w:tc>
        <w:tc>
          <w:tcPr>
            <w:tcW w:w="2649" w:type="pct"/>
            <w:tcBorders>
              <w:tl2br w:val="nil"/>
              <w:tr2bl w:val="nil"/>
            </w:tcBorders>
          </w:tcPr>
          <w:p w:rsidR="00F44F7B" w:rsidRDefault="00730D49">
            <w:pPr>
              <w:pStyle w:val="af0"/>
              <w:rPr>
                <w:color w:val="0000FF"/>
              </w:rPr>
            </w:pPr>
            <w:r>
              <w:rPr>
                <w:color w:val="0000FF"/>
              </w:rPr>
              <w:t>表土剥离、</w:t>
            </w:r>
            <w:r>
              <w:rPr>
                <w:rFonts w:hint="eastAsia"/>
                <w:color w:val="0000FF"/>
              </w:rPr>
              <w:t>表土回覆</w:t>
            </w:r>
            <w:r>
              <w:rPr>
                <w:color w:val="0000FF"/>
              </w:rPr>
              <w:t>、植物绿化</w:t>
            </w:r>
            <w:r>
              <w:rPr>
                <w:rFonts w:hint="eastAsia"/>
                <w:color w:val="0000FF"/>
              </w:rPr>
              <w:t>、临时排水遮盖</w:t>
            </w:r>
          </w:p>
        </w:tc>
        <w:tc>
          <w:tcPr>
            <w:tcW w:w="1640" w:type="pct"/>
            <w:tcBorders>
              <w:tl2br w:val="nil"/>
              <w:tr2bl w:val="nil"/>
            </w:tcBorders>
          </w:tcPr>
          <w:p w:rsidR="00F44F7B" w:rsidRDefault="00730D49">
            <w:pPr>
              <w:pStyle w:val="af0"/>
              <w:rPr>
                <w:color w:val="0000FF"/>
              </w:rPr>
            </w:pPr>
            <w:r>
              <w:rPr>
                <w:color w:val="0000FF"/>
              </w:rPr>
              <w:t>围墙</w:t>
            </w:r>
          </w:p>
        </w:tc>
      </w:tr>
    </w:tbl>
    <w:p w:rsidR="00F44F7B" w:rsidRDefault="00730D49">
      <w:pPr>
        <w:pStyle w:val="af3"/>
        <w:ind w:firstLine="482"/>
        <w:rPr>
          <w:b/>
          <w:bCs/>
          <w:color w:val="auto"/>
        </w:rPr>
      </w:pPr>
      <w:r>
        <w:rPr>
          <w:b/>
          <w:bCs/>
          <w:color w:val="auto"/>
        </w:rPr>
        <w:t>一、</w:t>
      </w:r>
      <w:r>
        <w:rPr>
          <w:rFonts w:hint="eastAsia"/>
          <w:b/>
          <w:bCs/>
          <w:color w:val="auto"/>
        </w:rPr>
        <w:t>建构筑物区</w:t>
      </w:r>
    </w:p>
    <w:p w:rsidR="00F44F7B" w:rsidRDefault="00730D49">
      <w:pPr>
        <w:pStyle w:val="af3"/>
        <w:ind w:firstLine="482"/>
        <w:rPr>
          <w:b/>
          <w:bCs/>
          <w:color w:val="auto"/>
        </w:rPr>
      </w:pPr>
      <w:r>
        <w:rPr>
          <w:b/>
          <w:bCs/>
          <w:color w:val="auto"/>
        </w:rPr>
        <w:t>主体设计措施：</w:t>
      </w:r>
    </w:p>
    <w:p w:rsidR="00F44F7B" w:rsidRDefault="00730D49">
      <w:pPr>
        <w:pStyle w:val="af3"/>
        <w:ind w:firstLine="482"/>
        <w:rPr>
          <w:b/>
          <w:bCs/>
          <w:color w:val="auto"/>
        </w:rPr>
      </w:pPr>
      <w:r>
        <w:rPr>
          <w:b/>
          <w:bCs/>
          <w:color w:val="auto"/>
        </w:rPr>
        <w:t>1</w:t>
      </w:r>
      <w:r>
        <w:rPr>
          <w:b/>
          <w:bCs/>
          <w:color w:val="auto"/>
        </w:rPr>
        <w:t>、工程措施</w:t>
      </w:r>
    </w:p>
    <w:p w:rsidR="00F44F7B" w:rsidRDefault="00730D49">
      <w:pPr>
        <w:pStyle w:val="af3"/>
        <w:ind w:firstLine="482"/>
        <w:rPr>
          <w:b/>
          <w:bCs/>
          <w:color w:val="auto"/>
        </w:rPr>
      </w:pPr>
      <w:r>
        <w:rPr>
          <w:b/>
          <w:bCs/>
          <w:color w:val="auto"/>
        </w:rPr>
        <w:t>（</w:t>
      </w:r>
      <w:r>
        <w:rPr>
          <w:b/>
          <w:bCs/>
          <w:color w:val="auto"/>
        </w:rPr>
        <w:t>1</w:t>
      </w:r>
      <w:r>
        <w:rPr>
          <w:b/>
          <w:bCs/>
          <w:color w:val="auto"/>
        </w:rPr>
        <w:t>）</w:t>
      </w:r>
      <w:r>
        <w:rPr>
          <w:rFonts w:hint="eastAsia"/>
          <w:b/>
          <w:bCs/>
          <w:color w:val="auto"/>
        </w:rPr>
        <w:t>排水措施</w:t>
      </w:r>
    </w:p>
    <w:p w:rsidR="00F44F7B" w:rsidRDefault="00730D49">
      <w:pPr>
        <w:spacing w:line="360" w:lineRule="auto"/>
        <w:ind w:firstLine="562"/>
        <w:rPr>
          <w:bCs/>
        </w:rPr>
      </w:pPr>
      <w:r>
        <w:t>根据主体资料及现场调查，</w:t>
      </w:r>
      <w:r>
        <w:rPr>
          <w:rFonts w:hint="eastAsia"/>
          <w:szCs w:val="24"/>
        </w:rPr>
        <w:t>在项目建设区四周设立排水沟，</w:t>
      </w:r>
      <w:r>
        <w:rPr>
          <w:rFonts w:hint="eastAsia"/>
        </w:rPr>
        <w:t>完成雨水管</w:t>
      </w:r>
      <w:r>
        <w:rPr>
          <w:rFonts w:hint="eastAsia"/>
        </w:rPr>
        <w:t>3</w:t>
      </w:r>
      <w:r>
        <w:rPr>
          <w:rFonts w:hint="eastAsia"/>
        </w:rPr>
        <w:t>条，检查井</w:t>
      </w:r>
      <w:r>
        <w:rPr>
          <w:rFonts w:hint="eastAsia"/>
        </w:rPr>
        <w:t>1</w:t>
      </w:r>
      <w:r>
        <w:t>6</w:t>
      </w:r>
      <w:r>
        <w:rPr>
          <w:rFonts w:hint="eastAsia"/>
        </w:rPr>
        <w:t>座。雨水管采用</w:t>
      </w:r>
      <w:r>
        <w:rPr>
          <w:rFonts w:hint="eastAsia"/>
          <w:szCs w:val="24"/>
        </w:rPr>
        <w:t>Ⅱ级钢筋混凝土管直径</w:t>
      </w:r>
      <w:r>
        <w:rPr>
          <w:rFonts w:hint="eastAsia"/>
          <w:szCs w:val="24"/>
        </w:rPr>
        <w:t>8</w:t>
      </w:r>
      <w:r>
        <w:rPr>
          <w:szCs w:val="24"/>
        </w:rPr>
        <w:t>00</w:t>
      </w:r>
      <w:r>
        <w:rPr>
          <w:rFonts w:hint="eastAsia"/>
          <w:szCs w:val="24"/>
        </w:rPr>
        <w:t>，</w:t>
      </w:r>
      <w:r>
        <w:rPr>
          <w:rFonts w:hint="eastAsia"/>
          <w:szCs w:val="24"/>
        </w:rPr>
        <w:t>1</w:t>
      </w:r>
      <w:r>
        <w:rPr>
          <w:szCs w:val="24"/>
        </w:rPr>
        <w:t>20</w:t>
      </w:r>
      <w:r>
        <w:rPr>
          <w:rFonts w:hint="eastAsia"/>
          <w:szCs w:val="24"/>
        </w:rPr>
        <w:t>度混凝土基础，雨水支管采用</w:t>
      </w:r>
      <w:r>
        <w:rPr>
          <w:rFonts w:hint="eastAsia"/>
          <w:szCs w:val="24"/>
        </w:rPr>
        <w:t>D</w:t>
      </w:r>
      <w:r>
        <w:rPr>
          <w:szCs w:val="24"/>
        </w:rPr>
        <w:t>N300</w:t>
      </w:r>
      <w:r>
        <w:rPr>
          <w:rFonts w:hint="eastAsia"/>
          <w:szCs w:val="24"/>
        </w:rPr>
        <w:t>，</w:t>
      </w:r>
      <w:r>
        <w:rPr>
          <w:rFonts w:hint="eastAsia"/>
          <w:szCs w:val="24"/>
        </w:rPr>
        <w:t>H</w:t>
      </w:r>
      <w:r>
        <w:rPr>
          <w:szCs w:val="24"/>
        </w:rPr>
        <w:t>DPE</w:t>
      </w:r>
      <w:r>
        <w:rPr>
          <w:rFonts w:hint="eastAsia"/>
          <w:szCs w:val="24"/>
        </w:rPr>
        <w:t>管，沙土垫层。</w:t>
      </w:r>
      <w:r>
        <w:rPr>
          <w:bCs/>
        </w:rPr>
        <w:t>根据</w:t>
      </w:r>
      <w:r>
        <w:rPr>
          <w:szCs w:val="24"/>
          <w:lang w:val="zh-CN"/>
        </w:rPr>
        <w:t>《生产建设项目水土保持技术标准（</w:t>
      </w:r>
      <w:r>
        <w:rPr>
          <w:szCs w:val="24"/>
        </w:rPr>
        <w:t>GB50433-2018</w:t>
      </w:r>
      <w:r>
        <w:rPr>
          <w:szCs w:val="24"/>
          <w:lang w:val="zh-CN"/>
        </w:rPr>
        <w:t>）》附录</w:t>
      </w:r>
      <w:r>
        <w:rPr>
          <w:szCs w:val="24"/>
        </w:rPr>
        <w:t xml:space="preserve">D </w:t>
      </w:r>
      <w:r>
        <w:rPr>
          <w:szCs w:val="24"/>
          <w:lang w:val="zh-CN"/>
        </w:rPr>
        <w:t>主体工程设计中水土保持措施界定，排水沟</w:t>
      </w:r>
      <w:r>
        <w:rPr>
          <w:rFonts w:hint="eastAsia"/>
          <w:szCs w:val="24"/>
          <w:lang w:val="zh-CN"/>
        </w:rPr>
        <w:t>和雨水管</w:t>
      </w:r>
      <w:r>
        <w:rPr>
          <w:szCs w:val="24"/>
          <w:lang w:val="zh-CN"/>
        </w:rPr>
        <w:t>应纳入水土保持工程措施。</w:t>
      </w:r>
    </w:p>
    <w:p w:rsidR="00F44F7B" w:rsidRDefault="00730D49">
      <w:pPr>
        <w:pStyle w:val="af3"/>
        <w:ind w:firstLine="480"/>
        <w:rPr>
          <w:color w:val="auto"/>
          <w:szCs w:val="24"/>
        </w:rPr>
      </w:pPr>
      <w:r>
        <w:rPr>
          <w:color w:val="auto"/>
          <w:szCs w:val="24"/>
        </w:rPr>
        <w:t>分析评价：本区排水</w:t>
      </w:r>
      <w:r>
        <w:rPr>
          <w:rFonts w:hint="eastAsia"/>
          <w:color w:val="auto"/>
          <w:szCs w:val="24"/>
        </w:rPr>
        <w:t>工程</w:t>
      </w:r>
      <w:r>
        <w:rPr>
          <w:color w:val="auto"/>
          <w:szCs w:val="24"/>
        </w:rPr>
        <w:t>已修建完成并运行，经现场勘查，现有排水</w:t>
      </w:r>
      <w:r>
        <w:rPr>
          <w:rFonts w:hint="eastAsia"/>
          <w:color w:val="auto"/>
          <w:szCs w:val="24"/>
        </w:rPr>
        <w:t>系统</w:t>
      </w:r>
      <w:r>
        <w:rPr>
          <w:color w:val="auto"/>
          <w:szCs w:val="24"/>
        </w:rPr>
        <w:t>措施满足本区排水要求且保存较好，本方案不再新增排水措施。</w:t>
      </w:r>
    </w:p>
    <w:p w:rsidR="00F44F7B" w:rsidRDefault="00730D49">
      <w:pPr>
        <w:pStyle w:val="08522"/>
        <w:spacing w:line="360" w:lineRule="auto"/>
        <w:ind w:firstLine="482"/>
        <w:rPr>
          <w:b/>
          <w:bCs/>
          <w:szCs w:val="24"/>
        </w:rPr>
      </w:pPr>
      <w:r>
        <w:rPr>
          <w:b/>
          <w:bCs/>
          <w:szCs w:val="24"/>
        </w:rPr>
        <w:t>（</w:t>
      </w:r>
      <w:r>
        <w:rPr>
          <w:b/>
          <w:bCs/>
          <w:szCs w:val="24"/>
        </w:rPr>
        <w:t>2</w:t>
      </w:r>
      <w:r>
        <w:rPr>
          <w:b/>
          <w:bCs/>
          <w:szCs w:val="24"/>
        </w:rPr>
        <w:t>）表土剥离</w:t>
      </w:r>
    </w:p>
    <w:p w:rsidR="00F44F7B" w:rsidRDefault="00730D49">
      <w:pPr>
        <w:pStyle w:val="08522"/>
        <w:spacing w:line="360" w:lineRule="auto"/>
        <w:ind w:firstLine="482"/>
        <w:rPr>
          <w:szCs w:val="24"/>
        </w:rPr>
      </w:pPr>
      <w:r>
        <w:rPr>
          <w:szCs w:val="24"/>
        </w:rPr>
        <w:t>根据主体资料及现场勘查，主体工程在施工前对本区进行了表土剥离，共剥离表</w:t>
      </w:r>
      <w:r>
        <w:rPr>
          <w:szCs w:val="24"/>
        </w:rPr>
        <w:lastRenderedPageBreak/>
        <w:t>土</w:t>
      </w:r>
      <w:r>
        <w:rPr>
          <w:szCs w:val="24"/>
        </w:rPr>
        <w:t>1375m</w:t>
      </w:r>
      <w:r>
        <w:rPr>
          <w:szCs w:val="24"/>
          <w:vertAlign w:val="superscript"/>
        </w:rPr>
        <w:t>3</w:t>
      </w:r>
      <w:r>
        <w:rPr>
          <w:szCs w:val="24"/>
        </w:rPr>
        <w:t>，剥离表土用于本区可绿化区域绿化覆土用土。根据《生产建设项目水土保持技术标准（</w:t>
      </w:r>
      <w:r>
        <w:rPr>
          <w:szCs w:val="24"/>
        </w:rPr>
        <w:t>GB50433-2018</w:t>
      </w:r>
      <w:r>
        <w:rPr>
          <w:szCs w:val="24"/>
        </w:rPr>
        <w:t>）》附录</w:t>
      </w:r>
      <w:r>
        <w:rPr>
          <w:szCs w:val="24"/>
        </w:rPr>
        <w:t xml:space="preserve">D </w:t>
      </w:r>
      <w:r>
        <w:rPr>
          <w:szCs w:val="24"/>
        </w:rPr>
        <w:t>主体工程设计中水土保持措施界定，表土剥离应纳入水土保持工程措施。</w:t>
      </w:r>
    </w:p>
    <w:p w:rsidR="00F44F7B" w:rsidRDefault="00730D49">
      <w:pPr>
        <w:spacing w:line="360" w:lineRule="auto"/>
        <w:ind w:firstLineChars="200" w:firstLine="480"/>
        <w:rPr>
          <w:szCs w:val="24"/>
          <w:lang w:val="zh-CN"/>
        </w:rPr>
      </w:pPr>
      <w:r>
        <w:rPr>
          <w:szCs w:val="24"/>
        </w:rPr>
        <w:t>分析评价：主体工程设计的表土剥离措施，</w:t>
      </w:r>
      <w:r>
        <w:rPr>
          <w:szCs w:val="24"/>
        </w:rPr>
        <w:t>有利于防治水土流失，经本《方案》复核之后，主体设计的表土剥离措施能满足要求，且项目已建设完成，目前不存在水土流失区域，因此，本方案不进行新增措施设计。</w:t>
      </w:r>
    </w:p>
    <w:p w:rsidR="00F44F7B" w:rsidRDefault="00730D49">
      <w:pPr>
        <w:pStyle w:val="08522"/>
        <w:spacing w:line="360" w:lineRule="auto"/>
        <w:ind w:firstLine="482"/>
        <w:rPr>
          <w:szCs w:val="24"/>
        </w:rPr>
      </w:pPr>
      <w:r>
        <w:rPr>
          <w:b/>
          <w:bCs/>
          <w:szCs w:val="24"/>
        </w:rPr>
        <w:t>（</w:t>
      </w:r>
      <w:r>
        <w:rPr>
          <w:b/>
          <w:bCs/>
          <w:szCs w:val="24"/>
        </w:rPr>
        <w:t>3</w:t>
      </w:r>
      <w:r>
        <w:rPr>
          <w:b/>
          <w:bCs/>
          <w:szCs w:val="24"/>
        </w:rPr>
        <w:t>）</w:t>
      </w:r>
      <w:r>
        <w:rPr>
          <w:rFonts w:hint="eastAsia"/>
          <w:b/>
          <w:bCs/>
          <w:szCs w:val="24"/>
        </w:rPr>
        <w:t>表土回覆</w:t>
      </w:r>
      <w:r>
        <w:rPr>
          <w:b/>
          <w:bCs/>
          <w:szCs w:val="24"/>
        </w:rPr>
        <w:t>：</w:t>
      </w:r>
      <w:r>
        <w:rPr>
          <w:bCs/>
          <w:kern w:val="0"/>
          <w:szCs w:val="24"/>
        </w:rPr>
        <w:t>主体设计在植物绿化之前进行</w:t>
      </w:r>
      <w:r>
        <w:rPr>
          <w:rFonts w:hint="eastAsia"/>
          <w:bCs/>
          <w:kern w:val="0"/>
          <w:szCs w:val="24"/>
        </w:rPr>
        <w:t>表土回覆</w:t>
      </w:r>
      <w:r>
        <w:rPr>
          <w:bCs/>
          <w:kern w:val="0"/>
          <w:szCs w:val="24"/>
        </w:rPr>
        <w:t>，</w:t>
      </w:r>
      <w:r>
        <w:rPr>
          <w:szCs w:val="24"/>
        </w:rPr>
        <w:t>覆土厚度</w:t>
      </w:r>
      <w:r>
        <w:rPr>
          <w:szCs w:val="24"/>
        </w:rPr>
        <w:t>0.25m</w:t>
      </w:r>
      <w:r>
        <w:rPr>
          <w:szCs w:val="24"/>
        </w:rPr>
        <w:t>，</w:t>
      </w:r>
      <w:r>
        <w:rPr>
          <w:bCs/>
          <w:kern w:val="0"/>
          <w:szCs w:val="24"/>
        </w:rPr>
        <w:t>覆土量</w:t>
      </w:r>
      <w:r>
        <w:rPr>
          <w:bCs/>
          <w:kern w:val="0"/>
          <w:szCs w:val="24"/>
        </w:rPr>
        <w:t>1375m</w:t>
      </w:r>
      <w:r>
        <w:rPr>
          <w:bCs/>
          <w:kern w:val="0"/>
          <w:szCs w:val="24"/>
          <w:vertAlign w:val="superscript"/>
        </w:rPr>
        <w:t>3</w:t>
      </w:r>
      <w:r>
        <w:rPr>
          <w:bCs/>
          <w:kern w:val="0"/>
          <w:szCs w:val="24"/>
        </w:rPr>
        <w:t>，覆土来源于本项目前期剥离的表土。</w:t>
      </w:r>
      <w:r>
        <w:rPr>
          <w:szCs w:val="24"/>
        </w:rPr>
        <w:t>根据《生产建设项目水土保持技术标准（</w:t>
      </w:r>
      <w:r>
        <w:rPr>
          <w:szCs w:val="24"/>
        </w:rPr>
        <w:t>GB50433-2018</w:t>
      </w:r>
      <w:r>
        <w:rPr>
          <w:szCs w:val="24"/>
        </w:rPr>
        <w:t>）》附录</w:t>
      </w:r>
      <w:r>
        <w:rPr>
          <w:szCs w:val="24"/>
        </w:rPr>
        <w:t xml:space="preserve">D </w:t>
      </w:r>
      <w:r>
        <w:rPr>
          <w:szCs w:val="24"/>
        </w:rPr>
        <w:t>主体工程设计中水土保持措施界定，</w:t>
      </w:r>
      <w:r>
        <w:rPr>
          <w:rFonts w:hint="eastAsia"/>
          <w:szCs w:val="24"/>
        </w:rPr>
        <w:t>表土回覆</w:t>
      </w:r>
      <w:r>
        <w:rPr>
          <w:szCs w:val="24"/>
        </w:rPr>
        <w:t>应纳入水土保持工程措施。</w:t>
      </w:r>
    </w:p>
    <w:p w:rsidR="00F44F7B" w:rsidRDefault="00730D49">
      <w:pPr>
        <w:spacing w:line="360" w:lineRule="auto"/>
        <w:ind w:firstLineChars="200" w:firstLine="480"/>
        <w:rPr>
          <w:szCs w:val="24"/>
          <w:lang w:val="zh-CN"/>
        </w:rPr>
      </w:pPr>
      <w:r>
        <w:rPr>
          <w:szCs w:val="24"/>
        </w:rPr>
        <w:t>分析评价：主体工程设计的</w:t>
      </w:r>
      <w:r>
        <w:rPr>
          <w:rFonts w:hint="eastAsia"/>
          <w:szCs w:val="24"/>
        </w:rPr>
        <w:t>表土回覆</w:t>
      </w:r>
      <w:r>
        <w:rPr>
          <w:szCs w:val="24"/>
        </w:rPr>
        <w:t>措施，有利于防治水土流失，经本《方案》复核之后，主体设计的</w:t>
      </w:r>
      <w:r>
        <w:rPr>
          <w:rFonts w:hint="eastAsia"/>
          <w:szCs w:val="24"/>
        </w:rPr>
        <w:t>表土回覆</w:t>
      </w:r>
      <w:r>
        <w:rPr>
          <w:szCs w:val="24"/>
        </w:rPr>
        <w:t>措施能满足要求，且项目已建设完成，目前不存在水土流失区域，因此，本方案不进行新增措施设计。</w:t>
      </w:r>
    </w:p>
    <w:p w:rsidR="00F44F7B" w:rsidRDefault="00730D49">
      <w:pPr>
        <w:pStyle w:val="08522"/>
        <w:spacing w:line="360" w:lineRule="auto"/>
      </w:pPr>
      <w:r>
        <w:rPr>
          <w:b/>
          <w:bCs/>
          <w:szCs w:val="32"/>
        </w:rPr>
        <w:t>方案新增措施：</w:t>
      </w:r>
      <w:r>
        <w:rPr>
          <w:szCs w:val="32"/>
        </w:rPr>
        <w:t>经本方案复核，项目大部分建设完工，主体布设的措施能满足要求，本方案不对该区新增措施。</w:t>
      </w:r>
    </w:p>
    <w:p w:rsidR="00F44F7B" w:rsidRDefault="00730D49">
      <w:pPr>
        <w:pStyle w:val="af3"/>
        <w:ind w:firstLine="482"/>
        <w:rPr>
          <w:b/>
          <w:bCs/>
          <w:color w:val="auto"/>
        </w:rPr>
      </w:pPr>
      <w:r>
        <w:rPr>
          <w:b/>
          <w:bCs/>
          <w:color w:val="auto"/>
        </w:rPr>
        <w:t>二、</w:t>
      </w:r>
      <w:r>
        <w:rPr>
          <w:rFonts w:hint="eastAsia"/>
          <w:b/>
          <w:bCs/>
          <w:color w:val="auto"/>
        </w:rPr>
        <w:t>配套设施</w:t>
      </w:r>
      <w:r>
        <w:rPr>
          <w:b/>
          <w:bCs/>
          <w:color w:val="auto"/>
        </w:rPr>
        <w:t>区</w:t>
      </w:r>
    </w:p>
    <w:p w:rsidR="00F44F7B" w:rsidRDefault="00730D49">
      <w:pPr>
        <w:pStyle w:val="af3"/>
        <w:ind w:firstLine="482"/>
        <w:rPr>
          <w:b/>
          <w:bCs/>
          <w:color w:val="auto"/>
        </w:rPr>
      </w:pPr>
      <w:bookmarkStart w:id="165" w:name="_Toc14361"/>
      <w:r>
        <w:rPr>
          <w:b/>
          <w:bCs/>
          <w:color w:val="auto"/>
        </w:rPr>
        <w:t>主体设计措施：</w:t>
      </w:r>
    </w:p>
    <w:p w:rsidR="00F44F7B" w:rsidRDefault="00730D49">
      <w:pPr>
        <w:pStyle w:val="af3"/>
        <w:ind w:firstLine="482"/>
        <w:rPr>
          <w:b/>
          <w:bCs/>
          <w:color w:val="auto"/>
        </w:rPr>
      </w:pPr>
      <w:r>
        <w:rPr>
          <w:b/>
          <w:bCs/>
          <w:color w:val="auto"/>
        </w:rPr>
        <w:t>1</w:t>
      </w:r>
      <w:r>
        <w:rPr>
          <w:b/>
          <w:bCs/>
          <w:color w:val="auto"/>
        </w:rPr>
        <w:t>、工程措施</w:t>
      </w:r>
    </w:p>
    <w:p w:rsidR="00F44F7B" w:rsidRDefault="00730D49">
      <w:pPr>
        <w:pStyle w:val="08522"/>
        <w:spacing w:line="360" w:lineRule="auto"/>
        <w:ind w:firstLine="482"/>
        <w:rPr>
          <w:szCs w:val="24"/>
        </w:rPr>
      </w:pPr>
      <w:r>
        <w:rPr>
          <w:b/>
          <w:bCs/>
          <w:szCs w:val="24"/>
        </w:rPr>
        <w:t>（</w:t>
      </w:r>
      <w:r>
        <w:rPr>
          <w:b/>
          <w:bCs/>
          <w:szCs w:val="24"/>
        </w:rPr>
        <w:t>1</w:t>
      </w:r>
      <w:r>
        <w:rPr>
          <w:b/>
          <w:bCs/>
          <w:szCs w:val="24"/>
        </w:rPr>
        <w:t>）表土剥离：</w:t>
      </w:r>
      <w:r>
        <w:rPr>
          <w:szCs w:val="24"/>
        </w:rPr>
        <w:t>根据主体资料及现场勘查，主体工程在施工前对本区进行了表土剥离，共剥离表土</w:t>
      </w:r>
      <w:r>
        <w:rPr>
          <w:rFonts w:hint="eastAsia"/>
          <w:szCs w:val="24"/>
        </w:rPr>
        <w:t>8</w:t>
      </w:r>
      <w:r>
        <w:rPr>
          <w:szCs w:val="24"/>
        </w:rPr>
        <w:t>75m</w:t>
      </w:r>
      <w:r>
        <w:rPr>
          <w:szCs w:val="24"/>
          <w:vertAlign w:val="superscript"/>
        </w:rPr>
        <w:t>3</w:t>
      </w:r>
      <w:r>
        <w:rPr>
          <w:szCs w:val="24"/>
        </w:rPr>
        <w:t>，剥离表土用于本区可绿化区域绿化覆土用土。根据《生产建设项目水土保持技术标准（</w:t>
      </w:r>
      <w:r>
        <w:rPr>
          <w:szCs w:val="24"/>
        </w:rPr>
        <w:t>GB50433-2018</w:t>
      </w:r>
      <w:r>
        <w:rPr>
          <w:szCs w:val="24"/>
        </w:rPr>
        <w:t>）》附录</w:t>
      </w:r>
      <w:r>
        <w:rPr>
          <w:szCs w:val="24"/>
        </w:rPr>
        <w:t xml:space="preserve">D </w:t>
      </w:r>
      <w:r>
        <w:rPr>
          <w:szCs w:val="24"/>
        </w:rPr>
        <w:t>主体工程设计中水土保持措施界定，表土剥离应纳入水土保持工程措施</w:t>
      </w:r>
      <w:r>
        <w:rPr>
          <w:szCs w:val="24"/>
        </w:rPr>
        <w:t>。</w:t>
      </w:r>
    </w:p>
    <w:p w:rsidR="00F44F7B" w:rsidRDefault="00730D49">
      <w:pPr>
        <w:spacing w:line="360" w:lineRule="auto"/>
        <w:ind w:firstLineChars="200" w:firstLine="480"/>
        <w:rPr>
          <w:szCs w:val="24"/>
          <w:lang w:val="zh-CN"/>
        </w:rPr>
      </w:pPr>
      <w:r>
        <w:rPr>
          <w:szCs w:val="24"/>
        </w:rPr>
        <w:t>分析评价：主体工程设计的表土剥离措施，有利于防治水土流失，经本《方案》复核之后，主体设计的表土剥离措施能满足要求，且项目已建设完成，目前不存在水土流失区域，因此，本方案不进行新增措施设计。</w:t>
      </w:r>
    </w:p>
    <w:p w:rsidR="00F44F7B" w:rsidRDefault="00730D49">
      <w:pPr>
        <w:pStyle w:val="08522"/>
        <w:spacing w:line="360" w:lineRule="auto"/>
        <w:ind w:firstLine="482"/>
        <w:rPr>
          <w:szCs w:val="24"/>
        </w:rPr>
      </w:pPr>
      <w:r>
        <w:rPr>
          <w:b/>
          <w:bCs/>
          <w:szCs w:val="24"/>
        </w:rPr>
        <w:t>（</w:t>
      </w:r>
      <w:r>
        <w:rPr>
          <w:b/>
          <w:bCs/>
          <w:szCs w:val="24"/>
        </w:rPr>
        <w:t>2</w:t>
      </w:r>
      <w:r>
        <w:rPr>
          <w:b/>
          <w:bCs/>
          <w:szCs w:val="24"/>
        </w:rPr>
        <w:t>）</w:t>
      </w:r>
      <w:r>
        <w:rPr>
          <w:rFonts w:hint="eastAsia"/>
          <w:b/>
          <w:bCs/>
          <w:szCs w:val="24"/>
        </w:rPr>
        <w:t>表土回覆</w:t>
      </w:r>
      <w:r>
        <w:rPr>
          <w:b/>
          <w:bCs/>
          <w:szCs w:val="24"/>
        </w:rPr>
        <w:t>：</w:t>
      </w:r>
      <w:r>
        <w:rPr>
          <w:bCs/>
          <w:kern w:val="0"/>
          <w:szCs w:val="24"/>
        </w:rPr>
        <w:t>主体设计在植物绿化之前进行</w:t>
      </w:r>
      <w:r>
        <w:rPr>
          <w:rFonts w:hint="eastAsia"/>
          <w:bCs/>
          <w:kern w:val="0"/>
          <w:szCs w:val="24"/>
        </w:rPr>
        <w:t>表土回覆</w:t>
      </w:r>
      <w:r>
        <w:rPr>
          <w:bCs/>
          <w:kern w:val="0"/>
          <w:szCs w:val="24"/>
        </w:rPr>
        <w:t>，</w:t>
      </w:r>
      <w:r>
        <w:rPr>
          <w:szCs w:val="24"/>
        </w:rPr>
        <w:t>覆土厚度</w:t>
      </w:r>
      <w:r>
        <w:rPr>
          <w:szCs w:val="24"/>
        </w:rPr>
        <w:t>0.25m</w:t>
      </w:r>
      <w:r>
        <w:rPr>
          <w:szCs w:val="24"/>
        </w:rPr>
        <w:t>，</w:t>
      </w:r>
      <w:r>
        <w:rPr>
          <w:bCs/>
          <w:kern w:val="0"/>
          <w:szCs w:val="24"/>
        </w:rPr>
        <w:t>覆土量</w:t>
      </w:r>
      <w:r>
        <w:rPr>
          <w:bCs/>
          <w:kern w:val="0"/>
          <w:szCs w:val="24"/>
        </w:rPr>
        <w:t>875m</w:t>
      </w:r>
      <w:r>
        <w:rPr>
          <w:bCs/>
          <w:kern w:val="0"/>
          <w:szCs w:val="24"/>
          <w:vertAlign w:val="superscript"/>
        </w:rPr>
        <w:t>3</w:t>
      </w:r>
      <w:r>
        <w:rPr>
          <w:bCs/>
          <w:kern w:val="0"/>
          <w:szCs w:val="24"/>
        </w:rPr>
        <w:t>，覆土来源于本项目前期剥离的表土。</w:t>
      </w:r>
      <w:r>
        <w:rPr>
          <w:szCs w:val="24"/>
        </w:rPr>
        <w:t>根据《生产建设项目水土保持技术标准（</w:t>
      </w:r>
      <w:r>
        <w:rPr>
          <w:szCs w:val="24"/>
        </w:rPr>
        <w:t>GB50433-2018</w:t>
      </w:r>
      <w:r>
        <w:rPr>
          <w:szCs w:val="24"/>
        </w:rPr>
        <w:t>）》附录</w:t>
      </w:r>
      <w:r>
        <w:rPr>
          <w:szCs w:val="24"/>
        </w:rPr>
        <w:t xml:space="preserve">D </w:t>
      </w:r>
      <w:r>
        <w:rPr>
          <w:szCs w:val="24"/>
        </w:rPr>
        <w:t>主体工程设计中水土保持措施界定，</w:t>
      </w:r>
      <w:r>
        <w:rPr>
          <w:rFonts w:hint="eastAsia"/>
          <w:szCs w:val="24"/>
        </w:rPr>
        <w:t>表土回覆</w:t>
      </w:r>
      <w:r>
        <w:rPr>
          <w:szCs w:val="24"/>
        </w:rPr>
        <w:t>应纳入水土保持工程措施。</w:t>
      </w:r>
    </w:p>
    <w:p w:rsidR="00F44F7B" w:rsidRDefault="00730D49">
      <w:pPr>
        <w:spacing w:line="360" w:lineRule="auto"/>
        <w:ind w:firstLineChars="200" w:firstLine="480"/>
        <w:rPr>
          <w:szCs w:val="24"/>
          <w:lang w:val="zh-CN"/>
        </w:rPr>
      </w:pPr>
      <w:r>
        <w:rPr>
          <w:szCs w:val="24"/>
        </w:rPr>
        <w:t>分析评价：主体工程设计的</w:t>
      </w:r>
      <w:r>
        <w:rPr>
          <w:rFonts w:hint="eastAsia"/>
          <w:szCs w:val="24"/>
        </w:rPr>
        <w:t>表土回覆</w:t>
      </w:r>
      <w:r>
        <w:rPr>
          <w:szCs w:val="24"/>
        </w:rPr>
        <w:t>措施，有利于防治水土流失，</w:t>
      </w:r>
      <w:r>
        <w:rPr>
          <w:szCs w:val="24"/>
        </w:rPr>
        <w:t>经本《方案》</w:t>
      </w:r>
      <w:r>
        <w:rPr>
          <w:szCs w:val="24"/>
        </w:rPr>
        <w:lastRenderedPageBreak/>
        <w:t>复核之后，主体设计的</w:t>
      </w:r>
      <w:r>
        <w:rPr>
          <w:rFonts w:hint="eastAsia"/>
          <w:szCs w:val="24"/>
        </w:rPr>
        <w:t>表土回覆</w:t>
      </w:r>
      <w:r>
        <w:rPr>
          <w:szCs w:val="24"/>
        </w:rPr>
        <w:t>措施能满足要求，且项目已建设完成，目前不存在水土流失区域，因此，本方案不进行新增措施设计。</w:t>
      </w:r>
    </w:p>
    <w:p w:rsidR="00F44F7B" w:rsidRDefault="00730D49">
      <w:pPr>
        <w:pStyle w:val="af3"/>
        <w:ind w:firstLine="482"/>
        <w:rPr>
          <w:b/>
          <w:bCs/>
          <w:color w:val="auto"/>
        </w:rPr>
      </w:pPr>
      <w:r>
        <w:rPr>
          <w:b/>
          <w:bCs/>
          <w:color w:val="auto"/>
        </w:rPr>
        <w:t>2</w:t>
      </w:r>
      <w:r>
        <w:rPr>
          <w:b/>
          <w:bCs/>
          <w:color w:val="auto"/>
        </w:rPr>
        <w:t>、植物措施</w:t>
      </w:r>
    </w:p>
    <w:p w:rsidR="00F44F7B" w:rsidRDefault="00730D49">
      <w:pPr>
        <w:pStyle w:val="08522"/>
        <w:spacing w:line="360" w:lineRule="auto"/>
        <w:ind w:firstLine="562"/>
        <w:rPr>
          <w:szCs w:val="32"/>
        </w:rPr>
      </w:pPr>
      <w:r>
        <w:t>根据主体设计资料及现场踏勘，主体在本区实施植物措施</w:t>
      </w:r>
      <w:r>
        <w:t>0.3hm</w:t>
      </w:r>
      <w:r>
        <w:rPr>
          <w:vertAlign w:val="superscript"/>
        </w:rPr>
        <w:t>2</w:t>
      </w:r>
      <w:r>
        <w:t>，均种植</w:t>
      </w:r>
      <w:r>
        <w:rPr>
          <w:rFonts w:hint="eastAsia"/>
        </w:rPr>
        <w:t>桂花树</w:t>
      </w:r>
      <w:r>
        <w:t>。</w:t>
      </w:r>
      <w:r>
        <w:rPr>
          <w:szCs w:val="32"/>
        </w:rPr>
        <w:t>单位投资</w:t>
      </w:r>
      <w:r>
        <w:rPr>
          <w:szCs w:val="32"/>
        </w:rPr>
        <w:t>82</w:t>
      </w:r>
      <w:r>
        <w:rPr>
          <w:rFonts w:hint="eastAsia"/>
          <w:szCs w:val="32"/>
        </w:rPr>
        <w:t>元</w:t>
      </w:r>
      <w:r>
        <w:rPr>
          <w:rFonts w:hint="eastAsia"/>
          <w:szCs w:val="32"/>
        </w:rPr>
        <w:t>/</w:t>
      </w:r>
      <w:r>
        <w:rPr>
          <w:rFonts w:hint="eastAsia"/>
          <w:szCs w:val="32"/>
        </w:rPr>
        <w:t>株</w:t>
      </w:r>
      <w:r>
        <w:rPr>
          <w:szCs w:val="32"/>
        </w:rPr>
        <w:t>，总投资共</w:t>
      </w:r>
      <w:r>
        <w:rPr>
          <w:szCs w:val="32"/>
        </w:rPr>
        <w:t>6806</w:t>
      </w:r>
      <w:r>
        <w:rPr>
          <w:szCs w:val="32"/>
        </w:rPr>
        <w:t>元。</w:t>
      </w:r>
    </w:p>
    <w:p w:rsidR="00F44F7B" w:rsidRDefault="00730D49">
      <w:pPr>
        <w:pStyle w:val="af1"/>
        <w:ind w:firstLine="480"/>
        <w:rPr>
          <w:color w:val="0000FF"/>
        </w:rPr>
      </w:pPr>
      <w:r>
        <w:rPr>
          <w:color w:val="0000FF"/>
          <w:szCs w:val="24"/>
        </w:rPr>
        <w:t>分析评价：本区为</w:t>
      </w:r>
      <w:r>
        <w:rPr>
          <w:rFonts w:hint="eastAsia"/>
          <w:color w:val="0000FF"/>
          <w:szCs w:val="24"/>
        </w:rPr>
        <w:t>配套设施区</w:t>
      </w:r>
      <w:r>
        <w:rPr>
          <w:color w:val="0000FF"/>
          <w:szCs w:val="24"/>
        </w:rPr>
        <w:t>，布置的</w:t>
      </w:r>
      <w:r>
        <w:rPr>
          <w:rFonts w:hint="eastAsia"/>
          <w:color w:val="0000FF"/>
          <w:szCs w:val="24"/>
        </w:rPr>
        <w:t>桂花树</w:t>
      </w:r>
      <w:r>
        <w:rPr>
          <w:color w:val="0000FF"/>
          <w:szCs w:val="24"/>
        </w:rPr>
        <w:t>数量充足且合理，能有效的防治水土流失，满足本区水土保持的要求</w:t>
      </w:r>
      <w:r>
        <w:rPr>
          <w:color w:val="0000FF"/>
          <w:kern w:val="28"/>
          <w:szCs w:val="24"/>
        </w:rPr>
        <w:t>，不再补充设计</w:t>
      </w:r>
      <w:r>
        <w:rPr>
          <w:color w:val="0000FF"/>
        </w:rPr>
        <w:t>。</w:t>
      </w:r>
    </w:p>
    <w:p w:rsidR="00F44F7B" w:rsidRDefault="00730D49">
      <w:pPr>
        <w:pStyle w:val="08522"/>
        <w:spacing w:line="360" w:lineRule="auto"/>
      </w:pPr>
      <w:r>
        <w:rPr>
          <w:b/>
          <w:bCs/>
          <w:szCs w:val="32"/>
        </w:rPr>
        <w:t>方案新增措施：</w:t>
      </w:r>
      <w:r>
        <w:rPr>
          <w:szCs w:val="32"/>
        </w:rPr>
        <w:t>经本方案复核，主体布设的措施能满足要求，本方案不对该区新增措施。</w:t>
      </w:r>
    </w:p>
    <w:p w:rsidR="00F44F7B" w:rsidRDefault="00730D49">
      <w:pPr>
        <w:pStyle w:val="2"/>
      </w:pPr>
      <w:bookmarkStart w:id="166" w:name="_Toc3157"/>
      <w:r>
        <w:t>5.2</w:t>
      </w:r>
      <w:r>
        <w:t>措施总体布局</w:t>
      </w:r>
      <w:bookmarkEnd w:id="166"/>
    </w:p>
    <w:p w:rsidR="00F44F7B" w:rsidRDefault="00730D49">
      <w:pPr>
        <w:pStyle w:val="30"/>
        <w:widowControl/>
        <w:spacing w:line="360" w:lineRule="auto"/>
        <w:ind w:firstLineChars="0" w:firstLine="0"/>
        <w:outlineLvl w:val="2"/>
        <w:rPr>
          <w:b/>
          <w:bCs/>
          <w:spacing w:val="-2"/>
          <w:szCs w:val="28"/>
        </w:rPr>
      </w:pPr>
      <w:r>
        <w:rPr>
          <w:b/>
          <w:bCs/>
          <w:spacing w:val="-2"/>
          <w:szCs w:val="28"/>
        </w:rPr>
        <w:t>5.2.1</w:t>
      </w:r>
      <w:r>
        <w:rPr>
          <w:b/>
          <w:bCs/>
          <w:spacing w:val="-2"/>
          <w:szCs w:val="28"/>
        </w:rPr>
        <w:t>防治措施体系</w:t>
      </w:r>
    </w:p>
    <w:p w:rsidR="00F44F7B" w:rsidRDefault="00730D49">
      <w:pPr>
        <w:pStyle w:val="30"/>
        <w:widowControl/>
        <w:adjustRightInd/>
        <w:snapToGrid/>
        <w:spacing w:line="360" w:lineRule="auto"/>
        <w:ind w:firstLine="472"/>
        <w:rPr>
          <w:spacing w:val="-2"/>
          <w:sz w:val="24"/>
          <w:szCs w:val="24"/>
        </w:rPr>
      </w:pPr>
      <w:r>
        <w:rPr>
          <w:spacing w:val="-2"/>
          <w:sz w:val="24"/>
          <w:szCs w:val="24"/>
        </w:rPr>
        <w:t>根据本项目特点和防治措施布局原则，水土保持防治措施体系由</w:t>
      </w:r>
      <w:r>
        <w:rPr>
          <w:rFonts w:hint="eastAsia"/>
          <w:bCs/>
          <w:sz w:val="24"/>
          <w:szCs w:val="24"/>
        </w:rPr>
        <w:t>路面</w:t>
      </w:r>
      <w:r>
        <w:rPr>
          <w:bCs/>
          <w:sz w:val="24"/>
          <w:szCs w:val="24"/>
        </w:rPr>
        <w:t>区、</w:t>
      </w:r>
      <w:r>
        <w:rPr>
          <w:rFonts w:hint="eastAsia"/>
          <w:bCs/>
          <w:sz w:val="24"/>
          <w:szCs w:val="24"/>
        </w:rPr>
        <w:t>人行</w:t>
      </w:r>
      <w:r>
        <w:rPr>
          <w:bCs/>
          <w:sz w:val="24"/>
          <w:szCs w:val="24"/>
        </w:rPr>
        <w:t>区</w:t>
      </w:r>
      <w:r>
        <w:rPr>
          <w:bCs/>
          <w:sz w:val="24"/>
          <w:szCs w:val="24"/>
        </w:rPr>
        <w:t>2</w:t>
      </w:r>
      <w:r>
        <w:rPr>
          <w:bCs/>
          <w:sz w:val="24"/>
          <w:szCs w:val="24"/>
        </w:rPr>
        <w:t>个</w:t>
      </w:r>
      <w:r>
        <w:rPr>
          <w:spacing w:val="-2"/>
          <w:sz w:val="24"/>
          <w:szCs w:val="24"/>
        </w:rPr>
        <w:t>防治区构成。根据本《方案》水土流失预测结果，结合主体工程已有水土保持工程等内容。建立以水土保持工程措施和植物措施相结合的生态恢复体系，最大限度地减少水土流失量。</w:t>
      </w:r>
    </w:p>
    <w:p w:rsidR="00F44F7B" w:rsidRDefault="00730D49">
      <w:pPr>
        <w:pStyle w:val="30"/>
        <w:widowControl/>
        <w:adjustRightInd/>
        <w:snapToGrid/>
        <w:spacing w:line="360" w:lineRule="auto"/>
        <w:ind w:firstLine="472"/>
        <w:rPr>
          <w:spacing w:val="-2"/>
          <w:sz w:val="24"/>
          <w:szCs w:val="24"/>
        </w:rPr>
      </w:pPr>
      <w:r>
        <w:rPr>
          <w:spacing w:val="-2"/>
          <w:sz w:val="24"/>
          <w:szCs w:val="24"/>
        </w:rPr>
        <w:t>项目工程水土流失治理措施体系由工程措施、植物措施构成。工程措施主要是</w:t>
      </w:r>
      <w:r>
        <w:rPr>
          <w:sz w:val="24"/>
          <w:szCs w:val="24"/>
        </w:rPr>
        <w:t>排水沟、</w:t>
      </w:r>
      <w:r>
        <w:rPr>
          <w:rFonts w:hint="eastAsia"/>
          <w:sz w:val="24"/>
          <w:szCs w:val="24"/>
        </w:rPr>
        <w:t>雨水管、</w:t>
      </w:r>
      <w:r>
        <w:rPr>
          <w:sz w:val="24"/>
          <w:szCs w:val="24"/>
        </w:rPr>
        <w:t>表土剥离、</w:t>
      </w:r>
      <w:r>
        <w:rPr>
          <w:rFonts w:hint="eastAsia"/>
          <w:sz w:val="24"/>
          <w:szCs w:val="24"/>
        </w:rPr>
        <w:t>表土回覆</w:t>
      </w:r>
      <w:r>
        <w:rPr>
          <w:spacing w:val="-2"/>
          <w:sz w:val="24"/>
          <w:szCs w:val="24"/>
        </w:rPr>
        <w:t>；植物措施</w:t>
      </w:r>
      <w:r>
        <w:rPr>
          <w:rFonts w:hint="eastAsia"/>
          <w:spacing w:val="-2"/>
          <w:sz w:val="24"/>
          <w:szCs w:val="24"/>
        </w:rPr>
        <w:t>以种树为主</w:t>
      </w:r>
      <w:r>
        <w:rPr>
          <w:spacing w:val="-2"/>
          <w:sz w:val="24"/>
          <w:szCs w:val="24"/>
        </w:rPr>
        <w:t>等。详见表</w:t>
      </w:r>
      <w:r>
        <w:rPr>
          <w:spacing w:val="-2"/>
          <w:sz w:val="24"/>
          <w:szCs w:val="24"/>
        </w:rPr>
        <w:t>5-4</w:t>
      </w:r>
      <w:r>
        <w:rPr>
          <w:spacing w:val="-2"/>
          <w:sz w:val="24"/>
          <w:szCs w:val="24"/>
        </w:rPr>
        <w:t>。</w:t>
      </w:r>
    </w:p>
    <w:p w:rsidR="00F44F7B" w:rsidRDefault="00730D49">
      <w:pPr>
        <w:widowControl/>
        <w:adjustRightInd/>
        <w:snapToGrid/>
        <w:jc w:val="center"/>
        <w:rPr>
          <w:b/>
          <w:sz w:val="22"/>
          <w:szCs w:val="22"/>
        </w:rPr>
      </w:pPr>
      <w:r>
        <w:rPr>
          <w:b/>
          <w:sz w:val="22"/>
          <w:szCs w:val="22"/>
        </w:rPr>
        <w:t>表</w:t>
      </w:r>
      <w:r>
        <w:rPr>
          <w:b/>
          <w:sz w:val="22"/>
          <w:szCs w:val="22"/>
        </w:rPr>
        <w:t>5-</w:t>
      </w:r>
      <w:r>
        <w:rPr>
          <w:rFonts w:hint="eastAsia"/>
          <w:b/>
          <w:sz w:val="22"/>
          <w:szCs w:val="22"/>
        </w:rPr>
        <w:t>3</w:t>
      </w:r>
      <w:r>
        <w:rPr>
          <w:b/>
          <w:sz w:val="22"/>
          <w:szCs w:val="22"/>
        </w:rPr>
        <w:t xml:space="preserve">              </w:t>
      </w:r>
      <w:r>
        <w:rPr>
          <w:b/>
          <w:sz w:val="22"/>
          <w:szCs w:val="22"/>
        </w:rPr>
        <w:t>水土保持分区防治措施体系表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7"/>
        <w:gridCol w:w="4575"/>
        <w:gridCol w:w="1675"/>
        <w:gridCol w:w="1371"/>
      </w:tblGrid>
      <w:tr w:rsidR="00F44F7B">
        <w:trPr>
          <w:trHeight w:val="23"/>
        </w:trPr>
        <w:tc>
          <w:tcPr>
            <w:tcW w:w="5000" w:type="pct"/>
            <w:gridSpan w:val="4"/>
            <w:tcBorders>
              <w:tl2br w:val="nil"/>
              <w:tr2bl w:val="nil"/>
            </w:tcBorders>
            <w:tcMar>
              <w:top w:w="15" w:type="dxa"/>
              <w:left w:w="15" w:type="dxa"/>
              <w:right w:w="15" w:type="dxa"/>
            </w:tcMar>
            <w:vAlign w:val="center"/>
          </w:tcPr>
          <w:p w:rsidR="00F44F7B" w:rsidRDefault="00730D49">
            <w:pPr>
              <w:widowControl/>
              <w:jc w:val="center"/>
              <w:textAlignment w:val="center"/>
              <w:rPr>
                <w:color w:val="0000FF"/>
                <w:sz w:val="20"/>
              </w:rPr>
            </w:pPr>
            <w:r>
              <w:rPr>
                <w:color w:val="0000FF"/>
                <w:kern w:val="0"/>
                <w:sz w:val="20"/>
                <w:lang w:bidi="ar"/>
              </w:rPr>
              <w:t>水土保持防治措施体系表</w:t>
            </w:r>
          </w:p>
        </w:tc>
      </w:tr>
      <w:tr w:rsidR="00F44F7B">
        <w:trPr>
          <w:trHeight w:val="23"/>
        </w:trPr>
        <w:tc>
          <w:tcPr>
            <w:tcW w:w="659" w:type="pct"/>
            <w:vMerge w:val="restart"/>
            <w:tcBorders>
              <w:tl2br w:val="nil"/>
              <w:tr2bl w:val="nil"/>
            </w:tcBorders>
            <w:tcMar>
              <w:top w:w="15" w:type="dxa"/>
              <w:left w:w="15" w:type="dxa"/>
              <w:right w:w="15" w:type="dxa"/>
            </w:tcMar>
            <w:vAlign w:val="center"/>
          </w:tcPr>
          <w:p w:rsidR="00F44F7B" w:rsidRDefault="00730D49">
            <w:pPr>
              <w:widowControl/>
              <w:jc w:val="center"/>
              <w:textAlignment w:val="center"/>
              <w:rPr>
                <w:color w:val="0000FF"/>
                <w:sz w:val="20"/>
              </w:rPr>
            </w:pPr>
            <w:r>
              <w:rPr>
                <w:color w:val="0000FF"/>
                <w:kern w:val="0"/>
                <w:sz w:val="20"/>
                <w:lang w:bidi="ar"/>
              </w:rPr>
              <w:t>项目组成</w:t>
            </w:r>
          </w:p>
        </w:tc>
        <w:tc>
          <w:tcPr>
            <w:tcW w:w="4340" w:type="pct"/>
            <w:gridSpan w:val="3"/>
            <w:tcBorders>
              <w:tl2br w:val="nil"/>
              <w:tr2bl w:val="nil"/>
            </w:tcBorders>
            <w:tcMar>
              <w:top w:w="15" w:type="dxa"/>
              <w:left w:w="15" w:type="dxa"/>
              <w:right w:w="15" w:type="dxa"/>
            </w:tcMar>
            <w:vAlign w:val="center"/>
          </w:tcPr>
          <w:p w:rsidR="00F44F7B" w:rsidRDefault="00730D49">
            <w:pPr>
              <w:widowControl/>
              <w:jc w:val="center"/>
              <w:textAlignment w:val="center"/>
              <w:rPr>
                <w:color w:val="0000FF"/>
                <w:sz w:val="20"/>
              </w:rPr>
            </w:pPr>
            <w:r>
              <w:rPr>
                <w:color w:val="0000FF"/>
                <w:kern w:val="0"/>
                <w:sz w:val="20"/>
                <w:lang w:bidi="ar"/>
              </w:rPr>
              <w:t>治</w:t>
            </w:r>
            <w:r>
              <w:rPr>
                <w:color w:val="0000FF"/>
                <w:kern w:val="0"/>
                <w:sz w:val="20"/>
                <w:lang w:bidi="ar"/>
              </w:rPr>
              <w:t xml:space="preserve">   </w:t>
            </w:r>
            <w:r>
              <w:rPr>
                <w:color w:val="0000FF"/>
                <w:kern w:val="0"/>
                <w:sz w:val="20"/>
                <w:lang w:bidi="ar"/>
              </w:rPr>
              <w:t>理</w:t>
            </w:r>
            <w:r>
              <w:rPr>
                <w:color w:val="0000FF"/>
                <w:kern w:val="0"/>
                <w:sz w:val="20"/>
                <w:lang w:bidi="ar"/>
              </w:rPr>
              <w:t xml:space="preserve">   </w:t>
            </w:r>
            <w:r>
              <w:rPr>
                <w:color w:val="0000FF"/>
                <w:kern w:val="0"/>
                <w:sz w:val="20"/>
                <w:lang w:bidi="ar"/>
              </w:rPr>
              <w:t>措</w:t>
            </w:r>
            <w:r>
              <w:rPr>
                <w:color w:val="0000FF"/>
                <w:kern w:val="0"/>
                <w:sz w:val="20"/>
                <w:lang w:bidi="ar"/>
              </w:rPr>
              <w:t xml:space="preserve">   </w:t>
            </w:r>
            <w:r>
              <w:rPr>
                <w:color w:val="0000FF"/>
                <w:kern w:val="0"/>
                <w:sz w:val="20"/>
                <w:lang w:bidi="ar"/>
              </w:rPr>
              <w:t>施</w:t>
            </w:r>
          </w:p>
        </w:tc>
      </w:tr>
      <w:tr w:rsidR="00F44F7B">
        <w:trPr>
          <w:trHeight w:val="23"/>
        </w:trPr>
        <w:tc>
          <w:tcPr>
            <w:tcW w:w="659" w:type="pct"/>
            <w:vMerge/>
            <w:tcBorders>
              <w:tl2br w:val="nil"/>
              <w:tr2bl w:val="nil"/>
            </w:tcBorders>
            <w:tcMar>
              <w:top w:w="15" w:type="dxa"/>
              <w:left w:w="15" w:type="dxa"/>
              <w:right w:w="15" w:type="dxa"/>
            </w:tcMar>
            <w:vAlign w:val="center"/>
          </w:tcPr>
          <w:p w:rsidR="00F44F7B" w:rsidRDefault="00F44F7B">
            <w:pPr>
              <w:jc w:val="center"/>
              <w:rPr>
                <w:color w:val="0000FF"/>
                <w:sz w:val="20"/>
              </w:rPr>
            </w:pPr>
          </w:p>
        </w:tc>
        <w:tc>
          <w:tcPr>
            <w:tcW w:w="2606" w:type="pct"/>
            <w:tcBorders>
              <w:tl2br w:val="nil"/>
              <w:tr2bl w:val="nil"/>
            </w:tcBorders>
            <w:tcMar>
              <w:top w:w="15" w:type="dxa"/>
              <w:left w:w="15" w:type="dxa"/>
              <w:right w:w="15" w:type="dxa"/>
            </w:tcMar>
            <w:vAlign w:val="center"/>
          </w:tcPr>
          <w:p w:rsidR="00F44F7B" w:rsidRDefault="00730D49">
            <w:pPr>
              <w:widowControl/>
              <w:jc w:val="center"/>
              <w:textAlignment w:val="center"/>
              <w:rPr>
                <w:color w:val="0000FF"/>
                <w:kern w:val="0"/>
                <w:sz w:val="20"/>
                <w:szCs w:val="22"/>
                <w:lang w:bidi="ar"/>
              </w:rPr>
            </w:pPr>
            <w:r>
              <w:rPr>
                <w:color w:val="0000FF"/>
                <w:kern w:val="0"/>
                <w:sz w:val="20"/>
                <w:szCs w:val="22"/>
                <w:lang w:bidi="ar"/>
              </w:rPr>
              <w:t>工程措施</w:t>
            </w:r>
          </w:p>
        </w:tc>
        <w:tc>
          <w:tcPr>
            <w:tcW w:w="954" w:type="pct"/>
            <w:tcBorders>
              <w:tl2br w:val="nil"/>
              <w:tr2bl w:val="nil"/>
            </w:tcBorders>
            <w:tcMar>
              <w:top w:w="15" w:type="dxa"/>
              <w:left w:w="15" w:type="dxa"/>
              <w:right w:w="15" w:type="dxa"/>
            </w:tcMar>
            <w:vAlign w:val="center"/>
          </w:tcPr>
          <w:p w:rsidR="00F44F7B" w:rsidRDefault="00730D49">
            <w:pPr>
              <w:widowControl/>
              <w:jc w:val="center"/>
              <w:textAlignment w:val="center"/>
              <w:rPr>
                <w:color w:val="0000FF"/>
                <w:kern w:val="0"/>
                <w:sz w:val="20"/>
                <w:szCs w:val="22"/>
                <w:lang w:bidi="ar"/>
              </w:rPr>
            </w:pPr>
            <w:r>
              <w:rPr>
                <w:color w:val="0000FF"/>
                <w:kern w:val="0"/>
                <w:sz w:val="20"/>
                <w:szCs w:val="22"/>
                <w:lang w:bidi="ar"/>
              </w:rPr>
              <w:t>植物措施</w:t>
            </w:r>
          </w:p>
        </w:tc>
        <w:tc>
          <w:tcPr>
            <w:tcW w:w="779" w:type="pct"/>
            <w:tcBorders>
              <w:tl2br w:val="nil"/>
              <w:tr2bl w:val="nil"/>
            </w:tcBorders>
            <w:tcMar>
              <w:top w:w="15" w:type="dxa"/>
              <w:left w:w="15" w:type="dxa"/>
              <w:right w:w="15" w:type="dxa"/>
            </w:tcMar>
            <w:vAlign w:val="center"/>
          </w:tcPr>
          <w:p w:rsidR="00F44F7B" w:rsidRDefault="00730D49">
            <w:pPr>
              <w:widowControl/>
              <w:jc w:val="center"/>
              <w:textAlignment w:val="center"/>
              <w:rPr>
                <w:color w:val="0000FF"/>
                <w:kern w:val="0"/>
                <w:sz w:val="20"/>
                <w:szCs w:val="22"/>
                <w:lang w:bidi="ar"/>
              </w:rPr>
            </w:pPr>
            <w:r>
              <w:rPr>
                <w:color w:val="0000FF"/>
                <w:kern w:val="0"/>
                <w:sz w:val="20"/>
                <w:szCs w:val="22"/>
                <w:lang w:bidi="ar"/>
              </w:rPr>
              <w:t>临时措施</w:t>
            </w:r>
          </w:p>
        </w:tc>
      </w:tr>
      <w:tr w:rsidR="00F44F7B">
        <w:trPr>
          <w:trHeight w:val="23"/>
        </w:trPr>
        <w:tc>
          <w:tcPr>
            <w:tcW w:w="659" w:type="pct"/>
            <w:tcBorders>
              <w:tl2br w:val="nil"/>
              <w:tr2bl w:val="nil"/>
            </w:tcBorders>
            <w:tcMar>
              <w:top w:w="15" w:type="dxa"/>
              <w:left w:w="15" w:type="dxa"/>
              <w:right w:w="15" w:type="dxa"/>
            </w:tcMar>
            <w:vAlign w:val="center"/>
          </w:tcPr>
          <w:p w:rsidR="00F44F7B" w:rsidRDefault="00730D49">
            <w:pPr>
              <w:widowControl/>
              <w:jc w:val="center"/>
              <w:textAlignment w:val="center"/>
              <w:rPr>
                <w:color w:val="0000FF"/>
                <w:sz w:val="20"/>
              </w:rPr>
            </w:pPr>
            <w:r>
              <w:rPr>
                <w:rFonts w:hint="eastAsia"/>
                <w:color w:val="0000FF"/>
                <w:kern w:val="0"/>
                <w:sz w:val="20"/>
                <w:lang w:bidi="ar"/>
              </w:rPr>
              <w:t>建构筑物区</w:t>
            </w:r>
          </w:p>
        </w:tc>
        <w:tc>
          <w:tcPr>
            <w:tcW w:w="2606" w:type="pct"/>
            <w:tcBorders>
              <w:tl2br w:val="nil"/>
              <w:tr2bl w:val="nil"/>
            </w:tcBorders>
            <w:tcMar>
              <w:top w:w="15" w:type="dxa"/>
              <w:left w:w="15" w:type="dxa"/>
              <w:right w:w="15" w:type="dxa"/>
            </w:tcMar>
            <w:vAlign w:val="center"/>
          </w:tcPr>
          <w:p w:rsidR="00F44F7B" w:rsidRDefault="00730D49">
            <w:pPr>
              <w:widowControl/>
              <w:jc w:val="center"/>
              <w:textAlignment w:val="center"/>
              <w:rPr>
                <w:color w:val="0000FF"/>
                <w:kern w:val="0"/>
                <w:sz w:val="20"/>
                <w:szCs w:val="22"/>
                <w:lang w:bidi="ar"/>
              </w:rPr>
            </w:pPr>
            <w:r>
              <w:rPr>
                <w:color w:val="0000FF"/>
                <w:kern w:val="0"/>
                <w:sz w:val="20"/>
                <w:szCs w:val="22"/>
                <w:lang w:bidi="ar"/>
              </w:rPr>
              <w:t>排水沟</w:t>
            </w:r>
            <w:r>
              <w:rPr>
                <w:rFonts w:hint="eastAsia"/>
                <w:color w:val="0000FF"/>
                <w:kern w:val="0"/>
                <w:sz w:val="20"/>
                <w:szCs w:val="22"/>
                <w:lang w:bidi="ar"/>
              </w:rPr>
              <w:t>120</w:t>
            </w:r>
            <w:r>
              <w:rPr>
                <w:color w:val="0000FF"/>
                <w:kern w:val="0"/>
                <w:sz w:val="20"/>
                <w:szCs w:val="22"/>
                <w:lang w:bidi="ar"/>
              </w:rPr>
              <w:t>m</w:t>
            </w:r>
            <w:r>
              <w:rPr>
                <w:color w:val="0000FF"/>
                <w:kern w:val="0"/>
                <w:sz w:val="20"/>
                <w:szCs w:val="22"/>
                <w:lang w:bidi="ar"/>
              </w:rPr>
              <w:t>、</w:t>
            </w:r>
            <w:r>
              <w:rPr>
                <w:rFonts w:hint="eastAsia"/>
                <w:color w:val="0000FF"/>
                <w:kern w:val="0"/>
                <w:sz w:val="20"/>
                <w:szCs w:val="22"/>
                <w:lang w:bidi="ar"/>
              </w:rPr>
              <w:t>雨水管</w:t>
            </w:r>
            <w:r>
              <w:rPr>
                <w:rFonts w:hint="eastAsia"/>
                <w:color w:val="0000FF"/>
                <w:kern w:val="0"/>
                <w:sz w:val="20"/>
                <w:szCs w:val="22"/>
                <w:lang w:bidi="ar"/>
              </w:rPr>
              <w:t>78m</w:t>
            </w:r>
            <w:r>
              <w:rPr>
                <w:rFonts w:hint="eastAsia"/>
                <w:color w:val="0000FF"/>
                <w:kern w:val="0"/>
                <w:sz w:val="20"/>
                <w:szCs w:val="22"/>
                <w:lang w:bidi="ar"/>
              </w:rPr>
              <w:t>、</w:t>
            </w:r>
            <w:r>
              <w:rPr>
                <w:color w:val="0000FF"/>
                <w:kern w:val="0"/>
                <w:sz w:val="20"/>
                <w:szCs w:val="22"/>
                <w:lang w:bidi="ar"/>
              </w:rPr>
              <w:t>表土剥离</w:t>
            </w:r>
            <w:r>
              <w:rPr>
                <w:color w:val="0000FF"/>
                <w:kern w:val="0"/>
                <w:sz w:val="20"/>
                <w:szCs w:val="22"/>
                <w:lang w:bidi="ar"/>
              </w:rPr>
              <w:t>1000m</w:t>
            </w:r>
            <w:r>
              <w:rPr>
                <w:color w:val="0000FF"/>
                <w:kern w:val="0"/>
                <w:sz w:val="20"/>
                <w:szCs w:val="22"/>
                <w:vertAlign w:val="superscript"/>
                <w:lang w:bidi="ar"/>
              </w:rPr>
              <w:t>3</w:t>
            </w:r>
            <w:r>
              <w:rPr>
                <w:color w:val="0000FF"/>
                <w:kern w:val="0"/>
                <w:sz w:val="20"/>
                <w:szCs w:val="22"/>
                <w:lang w:bidi="ar"/>
              </w:rPr>
              <w:t>、</w:t>
            </w:r>
          </w:p>
          <w:p w:rsidR="00F44F7B" w:rsidRDefault="00730D49">
            <w:pPr>
              <w:widowControl/>
              <w:jc w:val="center"/>
              <w:textAlignment w:val="center"/>
              <w:rPr>
                <w:color w:val="0000FF"/>
                <w:kern w:val="0"/>
                <w:sz w:val="20"/>
                <w:szCs w:val="22"/>
                <w:lang w:bidi="ar"/>
              </w:rPr>
            </w:pPr>
            <w:r>
              <w:rPr>
                <w:rFonts w:hint="eastAsia"/>
                <w:color w:val="0000FF"/>
                <w:kern w:val="0"/>
                <w:sz w:val="20"/>
                <w:szCs w:val="22"/>
                <w:lang w:bidi="ar"/>
              </w:rPr>
              <w:t>表土回覆</w:t>
            </w:r>
            <w:r>
              <w:rPr>
                <w:rFonts w:hint="eastAsia"/>
                <w:color w:val="0000FF"/>
                <w:kern w:val="0"/>
                <w:sz w:val="20"/>
                <w:szCs w:val="22"/>
                <w:lang w:bidi="ar"/>
              </w:rPr>
              <w:t>1</w:t>
            </w:r>
            <w:r>
              <w:rPr>
                <w:color w:val="0000FF"/>
                <w:kern w:val="0"/>
                <w:sz w:val="20"/>
                <w:szCs w:val="22"/>
                <w:lang w:bidi="ar"/>
              </w:rPr>
              <w:t>000m</w:t>
            </w:r>
            <w:r>
              <w:rPr>
                <w:color w:val="0000FF"/>
                <w:kern w:val="0"/>
                <w:sz w:val="20"/>
                <w:szCs w:val="22"/>
                <w:vertAlign w:val="superscript"/>
                <w:lang w:bidi="ar"/>
              </w:rPr>
              <w:t>3</w:t>
            </w:r>
            <w:r>
              <w:rPr>
                <w:rFonts w:hint="eastAsia"/>
                <w:color w:val="0000FF"/>
                <w:kern w:val="0"/>
                <w:sz w:val="20"/>
                <w:szCs w:val="22"/>
                <w:lang w:bidi="ar"/>
              </w:rPr>
              <w:t>，防雨布遮盖</w:t>
            </w:r>
            <w:r>
              <w:rPr>
                <w:rFonts w:hint="eastAsia"/>
                <w:color w:val="0000FF"/>
                <w:kern w:val="0"/>
                <w:sz w:val="20"/>
                <w:szCs w:val="22"/>
                <w:lang w:bidi="ar"/>
              </w:rPr>
              <w:t>300m</w:t>
            </w:r>
            <w:r>
              <w:rPr>
                <w:rFonts w:hint="eastAsia"/>
                <w:color w:val="0000FF"/>
                <w:kern w:val="0"/>
                <w:sz w:val="20"/>
                <w:szCs w:val="22"/>
                <w:vertAlign w:val="superscript"/>
                <w:lang w:bidi="ar"/>
              </w:rPr>
              <w:t>2</w:t>
            </w:r>
          </w:p>
        </w:tc>
        <w:tc>
          <w:tcPr>
            <w:tcW w:w="954" w:type="pct"/>
            <w:tcBorders>
              <w:tl2br w:val="nil"/>
              <w:tr2bl w:val="nil"/>
            </w:tcBorders>
            <w:tcMar>
              <w:top w:w="15" w:type="dxa"/>
              <w:left w:w="15" w:type="dxa"/>
              <w:right w:w="15" w:type="dxa"/>
            </w:tcMar>
            <w:vAlign w:val="center"/>
          </w:tcPr>
          <w:p w:rsidR="00F44F7B" w:rsidRDefault="00730D49">
            <w:pPr>
              <w:widowControl/>
              <w:jc w:val="center"/>
              <w:textAlignment w:val="center"/>
              <w:rPr>
                <w:color w:val="0000FF"/>
                <w:kern w:val="0"/>
                <w:sz w:val="20"/>
                <w:szCs w:val="22"/>
                <w:lang w:bidi="ar"/>
              </w:rPr>
            </w:pPr>
            <w:r>
              <w:rPr>
                <w:rFonts w:hint="eastAsia"/>
                <w:color w:val="0000FF"/>
                <w:kern w:val="0"/>
                <w:sz w:val="20"/>
                <w:szCs w:val="22"/>
                <w:lang w:bidi="ar"/>
              </w:rPr>
              <w:t>/</w:t>
            </w:r>
          </w:p>
        </w:tc>
        <w:tc>
          <w:tcPr>
            <w:tcW w:w="779" w:type="pct"/>
            <w:tcBorders>
              <w:tl2br w:val="nil"/>
              <w:tr2bl w:val="nil"/>
            </w:tcBorders>
            <w:tcMar>
              <w:top w:w="15" w:type="dxa"/>
              <w:left w:w="15" w:type="dxa"/>
              <w:right w:w="15" w:type="dxa"/>
            </w:tcMar>
            <w:vAlign w:val="center"/>
          </w:tcPr>
          <w:p w:rsidR="00F44F7B" w:rsidRDefault="00730D49">
            <w:pPr>
              <w:widowControl/>
              <w:jc w:val="center"/>
              <w:textAlignment w:val="center"/>
              <w:rPr>
                <w:color w:val="0000FF"/>
                <w:kern w:val="0"/>
                <w:sz w:val="20"/>
                <w:szCs w:val="22"/>
                <w:lang w:bidi="ar"/>
              </w:rPr>
            </w:pPr>
            <w:r>
              <w:rPr>
                <w:color w:val="0000FF"/>
                <w:kern w:val="0"/>
                <w:sz w:val="20"/>
                <w:szCs w:val="22"/>
                <w:lang w:bidi="ar"/>
              </w:rPr>
              <w:t>/</w:t>
            </w:r>
          </w:p>
        </w:tc>
      </w:tr>
      <w:tr w:rsidR="00F44F7B">
        <w:trPr>
          <w:trHeight w:val="90"/>
        </w:trPr>
        <w:tc>
          <w:tcPr>
            <w:tcW w:w="659" w:type="pct"/>
            <w:tcBorders>
              <w:tl2br w:val="nil"/>
              <w:tr2bl w:val="nil"/>
            </w:tcBorders>
            <w:tcMar>
              <w:top w:w="15" w:type="dxa"/>
              <w:left w:w="15" w:type="dxa"/>
              <w:right w:w="15" w:type="dxa"/>
            </w:tcMar>
            <w:vAlign w:val="center"/>
          </w:tcPr>
          <w:p w:rsidR="00F44F7B" w:rsidRDefault="00730D49">
            <w:pPr>
              <w:widowControl/>
              <w:jc w:val="center"/>
              <w:textAlignment w:val="center"/>
              <w:rPr>
                <w:color w:val="0000FF"/>
                <w:sz w:val="20"/>
              </w:rPr>
            </w:pPr>
            <w:r>
              <w:rPr>
                <w:rFonts w:hint="eastAsia"/>
                <w:color w:val="0000FF"/>
                <w:kern w:val="0"/>
                <w:sz w:val="20"/>
                <w:lang w:bidi="ar"/>
              </w:rPr>
              <w:t>配套设施</w:t>
            </w:r>
            <w:r>
              <w:rPr>
                <w:color w:val="0000FF"/>
                <w:kern w:val="0"/>
                <w:sz w:val="20"/>
                <w:lang w:bidi="ar"/>
              </w:rPr>
              <w:t>区</w:t>
            </w:r>
          </w:p>
        </w:tc>
        <w:tc>
          <w:tcPr>
            <w:tcW w:w="2606" w:type="pct"/>
            <w:tcBorders>
              <w:tl2br w:val="nil"/>
              <w:tr2bl w:val="nil"/>
            </w:tcBorders>
            <w:tcMar>
              <w:top w:w="15" w:type="dxa"/>
              <w:left w:w="15" w:type="dxa"/>
              <w:right w:w="15" w:type="dxa"/>
            </w:tcMar>
            <w:vAlign w:val="center"/>
          </w:tcPr>
          <w:p w:rsidR="00F44F7B" w:rsidRDefault="00730D49">
            <w:pPr>
              <w:widowControl/>
              <w:jc w:val="center"/>
              <w:textAlignment w:val="center"/>
              <w:rPr>
                <w:color w:val="0000FF"/>
                <w:kern w:val="0"/>
                <w:sz w:val="20"/>
                <w:szCs w:val="22"/>
                <w:lang w:bidi="ar"/>
              </w:rPr>
            </w:pPr>
            <w:r>
              <w:rPr>
                <w:color w:val="0000FF"/>
                <w:kern w:val="0"/>
                <w:sz w:val="20"/>
                <w:szCs w:val="22"/>
                <w:lang w:bidi="ar"/>
              </w:rPr>
              <w:t>表土剥离</w:t>
            </w:r>
            <w:r>
              <w:rPr>
                <w:rFonts w:hint="eastAsia"/>
                <w:color w:val="0000FF"/>
                <w:kern w:val="0"/>
                <w:sz w:val="20"/>
                <w:szCs w:val="22"/>
                <w:lang w:bidi="ar"/>
              </w:rPr>
              <w:t>3</w:t>
            </w:r>
            <w:r>
              <w:rPr>
                <w:color w:val="0000FF"/>
                <w:kern w:val="0"/>
                <w:sz w:val="20"/>
                <w:szCs w:val="22"/>
                <w:lang w:bidi="ar"/>
              </w:rPr>
              <w:t>75m</w:t>
            </w:r>
            <w:r>
              <w:rPr>
                <w:color w:val="0000FF"/>
                <w:kern w:val="0"/>
                <w:sz w:val="20"/>
                <w:szCs w:val="22"/>
                <w:vertAlign w:val="superscript"/>
                <w:lang w:bidi="ar"/>
              </w:rPr>
              <w:t>3</w:t>
            </w:r>
            <w:r>
              <w:rPr>
                <w:color w:val="0000FF"/>
                <w:kern w:val="0"/>
                <w:sz w:val="20"/>
                <w:szCs w:val="22"/>
                <w:lang w:bidi="ar"/>
              </w:rPr>
              <w:t>、</w:t>
            </w:r>
            <w:r>
              <w:rPr>
                <w:rFonts w:hint="eastAsia"/>
                <w:color w:val="0000FF"/>
                <w:kern w:val="0"/>
                <w:sz w:val="20"/>
                <w:szCs w:val="22"/>
                <w:lang w:bidi="ar"/>
              </w:rPr>
              <w:t>表土回覆</w:t>
            </w:r>
            <w:r>
              <w:rPr>
                <w:rFonts w:hint="eastAsia"/>
                <w:color w:val="0000FF"/>
                <w:kern w:val="0"/>
                <w:sz w:val="20"/>
                <w:szCs w:val="22"/>
                <w:lang w:bidi="ar"/>
              </w:rPr>
              <w:t>3</w:t>
            </w:r>
            <w:r>
              <w:rPr>
                <w:color w:val="0000FF"/>
                <w:kern w:val="0"/>
                <w:sz w:val="20"/>
                <w:szCs w:val="22"/>
                <w:lang w:bidi="ar"/>
              </w:rPr>
              <w:t>75m</w:t>
            </w:r>
            <w:r>
              <w:rPr>
                <w:color w:val="0000FF"/>
                <w:kern w:val="0"/>
                <w:sz w:val="20"/>
                <w:szCs w:val="22"/>
                <w:vertAlign w:val="superscript"/>
                <w:lang w:bidi="ar"/>
              </w:rPr>
              <w:t>3</w:t>
            </w:r>
            <w:r>
              <w:rPr>
                <w:rFonts w:hint="eastAsia"/>
                <w:color w:val="0000FF"/>
                <w:kern w:val="0"/>
                <w:sz w:val="20"/>
                <w:szCs w:val="22"/>
                <w:lang w:bidi="ar"/>
              </w:rPr>
              <w:t>、临时排水沟</w:t>
            </w:r>
            <w:r>
              <w:rPr>
                <w:rFonts w:hint="eastAsia"/>
                <w:color w:val="0000FF"/>
                <w:kern w:val="0"/>
                <w:sz w:val="20"/>
                <w:szCs w:val="22"/>
                <w:lang w:bidi="ar"/>
              </w:rPr>
              <w:t>90m</w:t>
            </w:r>
            <w:r>
              <w:rPr>
                <w:rFonts w:hint="eastAsia"/>
                <w:color w:val="0000FF"/>
                <w:kern w:val="0"/>
                <w:sz w:val="20"/>
                <w:szCs w:val="22"/>
                <w:lang w:bidi="ar"/>
              </w:rPr>
              <w:t>、防雨布遮盖</w:t>
            </w:r>
            <w:r>
              <w:rPr>
                <w:rFonts w:hint="eastAsia"/>
                <w:color w:val="0000FF"/>
                <w:kern w:val="0"/>
                <w:sz w:val="20"/>
                <w:szCs w:val="22"/>
                <w:lang w:bidi="ar"/>
              </w:rPr>
              <w:t>420m</w:t>
            </w:r>
            <w:r>
              <w:rPr>
                <w:rFonts w:hint="eastAsia"/>
                <w:color w:val="0000FF"/>
                <w:kern w:val="0"/>
                <w:sz w:val="20"/>
                <w:szCs w:val="22"/>
                <w:vertAlign w:val="superscript"/>
                <w:lang w:bidi="ar"/>
              </w:rPr>
              <w:t>2</w:t>
            </w:r>
          </w:p>
        </w:tc>
        <w:tc>
          <w:tcPr>
            <w:tcW w:w="954" w:type="pct"/>
            <w:tcBorders>
              <w:tl2br w:val="nil"/>
              <w:tr2bl w:val="nil"/>
            </w:tcBorders>
            <w:tcMar>
              <w:top w:w="15" w:type="dxa"/>
              <w:left w:w="15" w:type="dxa"/>
              <w:right w:w="15" w:type="dxa"/>
            </w:tcMar>
            <w:vAlign w:val="center"/>
          </w:tcPr>
          <w:p w:rsidR="00F44F7B" w:rsidRDefault="00730D49">
            <w:pPr>
              <w:widowControl/>
              <w:jc w:val="center"/>
              <w:textAlignment w:val="center"/>
              <w:rPr>
                <w:color w:val="0000FF"/>
                <w:kern w:val="0"/>
                <w:sz w:val="20"/>
                <w:szCs w:val="22"/>
                <w:lang w:bidi="ar"/>
              </w:rPr>
            </w:pPr>
            <w:r>
              <w:rPr>
                <w:color w:val="0000FF"/>
                <w:kern w:val="0"/>
                <w:sz w:val="20"/>
                <w:szCs w:val="22"/>
                <w:lang w:bidi="ar"/>
              </w:rPr>
              <w:t>植物措施</w:t>
            </w:r>
            <w:r>
              <w:rPr>
                <w:rFonts w:hint="eastAsia"/>
                <w:color w:val="0000FF"/>
                <w:kern w:val="0"/>
                <w:sz w:val="20"/>
                <w:szCs w:val="22"/>
                <w:lang w:bidi="ar"/>
              </w:rPr>
              <w:t>2</w:t>
            </w:r>
            <w:r>
              <w:rPr>
                <w:color w:val="0000FF"/>
                <w:kern w:val="0"/>
                <w:sz w:val="20"/>
                <w:szCs w:val="22"/>
                <w:lang w:bidi="ar"/>
              </w:rPr>
              <w:t>00m</w:t>
            </w:r>
            <w:r>
              <w:rPr>
                <w:color w:val="0000FF"/>
                <w:kern w:val="0"/>
                <w:sz w:val="20"/>
                <w:szCs w:val="22"/>
                <w:vertAlign w:val="superscript"/>
                <w:lang w:bidi="ar"/>
              </w:rPr>
              <w:t>2</w:t>
            </w:r>
          </w:p>
        </w:tc>
        <w:tc>
          <w:tcPr>
            <w:tcW w:w="779" w:type="pct"/>
            <w:tcBorders>
              <w:tl2br w:val="nil"/>
              <w:tr2bl w:val="nil"/>
            </w:tcBorders>
            <w:tcMar>
              <w:top w:w="15" w:type="dxa"/>
              <w:left w:w="15" w:type="dxa"/>
              <w:right w:w="15" w:type="dxa"/>
            </w:tcMar>
            <w:vAlign w:val="center"/>
          </w:tcPr>
          <w:p w:rsidR="00F44F7B" w:rsidRDefault="00730D49">
            <w:pPr>
              <w:widowControl/>
              <w:jc w:val="center"/>
              <w:textAlignment w:val="center"/>
              <w:rPr>
                <w:color w:val="0000FF"/>
                <w:kern w:val="0"/>
                <w:sz w:val="20"/>
                <w:szCs w:val="22"/>
                <w:lang w:bidi="ar"/>
              </w:rPr>
            </w:pPr>
            <w:r>
              <w:rPr>
                <w:color w:val="0000FF"/>
                <w:kern w:val="0"/>
                <w:sz w:val="20"/>
                <w:szCs w:val="22"/>
                <w:lang w:bidi="ar"/>
              </w:rPr>
              <w:t>/</w:t>
            </w:r>
          </w:p>
        </w:tc>
      </w:tr>
    </w:tbl>
    <w:p w:rsidR="00F44F7B" w:rsidRDefault="00730D49">
      <w:pPr>
        <w:pStyle w:val="30"/>
        <w:adjustRightInd/>
        <w:snapToGrid/>
        <w:spacing w:line="360" w:lineRule="auto"/>
        <w:ind w:firstLineChars="0" w:firstLine="0"/>
        <w:rPr>
          <w:color w:val="0000FF"/>
          <w:sz w:val="18"/>
          <w:szCs w:val="18"/>
        </w:rPr>
      </w:pPr>
      <w:r>
        <w:rPr>
          <w:b/>
          <w:bCs/>
          <w:color w:val="0000FF"/>
          <w:sz w:val="18"/>
          <w:szCs w:val="18"/>
        </w:rPr>
        <w:t>注：</w:t>
      </w:r>
      <w:r>
        <w:rPr>
          <w:rFonts w:hint="eastAsia"/>
          <w:b/>
          <w:bCs/>
          <w:color w:val="0000FF"/>
          <w:sz w:val="18"/>
          <w:szCs w:val="18"/>
        </w:rPr>
        <w:t>均</w:t>
      </w:r>
      <w:r>
        <w:rPr>
          <w:b/>
          <w:bCs/>
          <w:color w:val="0000FF"/>
          <w:sz w:val="18"/>
          <w:szCs w:val="18"/>
        </w:rPr>
        <w:t>为主体工程已设计措施。</w:t>
      </w:r>
    </w:p>
    <w:p w:rsidR="00F44F7B" w:rsidRDefault="00730D49">
      <w:pPr>
        <w:pStyle w:val="3"/>
        <w:rPr>
          <w:lang w:val="zh-CN"/>
        </w:rPr>
      </w:pPr>
      <w:r>
        <w:t>5.2.2</w:t>
      </w:r>
      <w:bookmarkEnd w:id="165"/>
      <w:r>
        <w:rPr>
          <w:lang w:val="zh-CN"/>
        </w:rPr>
        <w:t>水土保持措施布设的成果</w:t>
      </w:r>
    </w:p>
    <w:p w:rsidR="00F44F7B" w:rsidRDefault="00730D49">
      <w:pPr>
        <w:spacing w:line="360" w:lineRule="auto"/>
        <w:ind w:firstLine="472"/>
        <w:rPr>
          <w:spacing w:val="-2"/>
        </w:rPr>
      </w:pPr>
      <w:r>
        <w:rPr>
          <w:spacing w:val="-2"/>
        </w:rPr>
        <w:t>针对项目建设区过程中新增水土流失特征，在综合分析评价主体工程施工工艺的基础上，建立由各个分区构成的防治体系。结合本《方案》与主体工程分析结果，本项目工程水土流失综合防治措施体系分为工程措施、植物措施。</w:t>
      </w:r>
    </w:p>
    <w:p w:rsidR="00F44F7B" w:rsidRDefault="00730D49">
      <w:pPr>
        <w:spacing w:line="360" w:lineRule="auto"/>
        <w:ind w:firstLine="472"/>
        <w:rPr>
          <w:spacing w:val="-2"/>
        </w:rPr>
      </w:pPr>
      <w:r>
        <w:rPr>
          <w:spacing w:val="-2"/>
        </w:rPr>
        <w:t>根据主体设计资料及实际调查，对本项目各类水土保持措施进行设计，形成水土保持措施综合防护体系。项目建设区水土保持措施布局如下：</w:t>
      </w:r>
    </w:p>
    <w:p w:rsidR="00F44F7B" w:rsidRDefault="00730D49">
      <w:pPr>
        <w:pStyle w:val="af1"/>
        <w:ind w:firstLine="482"/>
        <w:rPr>
          <w:b/>
          <w:bCs/>
        </w:rPr>
      </w:pPr>
      <w:r>
        <w:rPr>
          <w:b/>
          <w:bCs/>
        </w:rPr>
        <w:t>（一）</w:t>
      </w:r>
      <w:r>
        <w:rPr>
          <w:rFonts w:hint="eastAsia"/>
          <w:b/>
          <w:bCs/>
        </w:rPr>
        <w:t>建构筑物区</w:t>
      </w:r>
    </w:p>
    <w:p w:rsidR="00F44F7B" w:rsidRDefault="00730D49">
      <w:pPr>
        <w:pStyle w:val="08522"/>
        <w:spacing w:line="360" w:lineRule="auto"/>
        <w:rPr>
          <w:color w:val="0000FF"/>
        </w:rPr>
      </w:pPr>
      <w:r>
        <w:rPr>
          <w:b/>
          <w:bCs/>
          <w:color w:val="0000FF"/>
        </w:rPr>
        <w:lastRenderedPageBreak/>
        <w:t>主体设计措施：</w:t>
      </w:r>
      <w:r>
        <w:rPr>
          <w:color w:val="0000FF"/>
        </w:rPr>
        <w:t>根据主体资料及现场调查，主体在施工在进行了</w:t>
      </w:r>
      <w:r>
        <w:rPr>
          <w:color w:val="0000FF"/>
          <w:spacing w:val="-2"/>
        </w:rPr>
        <w:t>表土剥离</w:t>
      </w:r>
      <w:r>
        <w:rPr>
          <w:color w:val="0000FF"/>
          <w:szCs w:val="22"/>
        </w:rPr>
        <w:t>1000m</w:t>
      </w:r>
      <w:r>
        <w:rPr>
          <w:color w:val="0000FF"/>
          <w:szCs w:val="22"/>
          <w:vertAlign w:val="superscript"/>
        </w:rPr>
        <w:t>3</w:t>
      </w:r>
      <w:r>
        <w:rPr>
          <w:color w:val="0000FF"/>
          <w:szCs w:val="32"/>
        </w:rPr>
        <w:t>。</w:t>
      </w:r>
      <w:r>
        <w:rPr>
          <w:rFonts w:hint="eastAsia"/>
          <w:color w:val="0000FF"/>
          <w:szCs w:val="24"/>
        </w:rPr>
        <w:t>在项目建设区四周设立排水沟，长</w:t>
      </w:r>
      <w:r>
        <w:rPr>
          <w:color w:val="0000FF"/>
          <w:szCs w:val="24"/>
        </w:rPr>
        <w:t>120</w:t>
      </w:r>
      <w:r>
        <w:rPr>
          <w:rFonts w:hint="eastAsia"/>
          <w:color w:val="0000FF"/>
          <w:szCs w:val="24"/>
        </w:rPr>
        <w:t>米；</w:t>
      </w:r>
      <w:r>
        <w:rPr>
          <w:rFonts w:hint="eastAsia"/>
          <w:color w:val="0000FF"/>
        </w:rPr>
        <w:t>完成雨水管</w:t>
      </w:r>
      <w:r>
        <w:rPr>
          <w:rFonts w:hint="eastAsia"/>
          <w:color w:val="0000FF"/>
        </w:rPr>
        <w:t>3</w:t>
      </w:r>
      <w:r>
        <w:rPr>
          <w:rFonts w:hint="eastAsia"/>
          <w:color w:val="0000FF"/>
        </w:rPr>
        <w:t>条，检查井</w:t>
      </w:r>
      <w:r>
        <w:rPr>
          <w:rFonts w:hint="eastAsia"/>
          <w:color w:val="0000FF"/>
        </w:rPr>
        <w:t>1</w:t>
      </w:r>
      <w:r>
        <w:rPr>
          <w:color w:val="0000FF"/>
        </w:rPr>
        <w:t>6</w:t>
      </w:r>
      <w:r>
        <w:rPr>
          <w:rFonts w:hint="eastAsia"/>
          <w:color w:val="0000FF"/>
        </w:rPr>
        <w:t>座。雨水管采用</w:t>
      </w:r>
      <w:r>
        <w:rPr>
          <w:rFonts w:hint="eastAsia"/>
          <w:color w:val="0000FF"/>
          <w:szCs w:val="24"/>
        </w:rPr>
        <w:t>Ⅱ级钢筋</w:t>
      </w:r>
      <w:r>
        <w:rPr>
          <w:rFonts w:hint="eastAsia"/>
          <w:color w:val="0000FF"/>
          <w:szCs w:val="24"/>
        </w:rPr>
        <w:t>混凝土管直径</w:t>
      </w:r>
      <w:r>
        <w:rPr>
          <w:rFonts w:hint="eastAsia"/>
          <w:color w:val="0000FF"/>
          <w:szCs w:val="24"/>
        </w:rPr>
        <w:t>8</w:t>
      </w:r>
      <w:r>
        <w:rPr>
          <w:color w:val="0000FF"/>
          <w:szCs w:val="24"/>
        </w:rPr>
        <w:t>00</w:t>
      </w:r>
      <w:r>
        <w:rPr>
          <w:rFonts w:hint="eastAsia"/>
          <w:color w:val="0000FF"/>
          <w:szCs w:val="24"/>
        </w:rPr>
        <w:t>，</w:t>
      </w:r>
      <w:r>
        <w:rPr>
          <w:rFonts w:hint="eastAsia"/>
          <w:color w:val="0000FF"/>
          <w:szCs w:val="24"/>
        </w:rPr>
        <w:t>1</w:t>
      </w:r>
      <w:r>
        <w:rPr>
          <w:color w:val="0000FF"/>
          <w:szCs w:val="24"/>
        </w:rPr>
        <w:t>20</w:t>
      </w:r>
      <w:r>
        <w:rPr>
          <w:rFonts w:hint="eastAsia"/>
          <w:color w:val="0000FF"/>
          <w:szCs w:val="24"/>
        </w:rPr>
        <w:t>度混凝土基础，雨水支管采用</w:t>
      </w:r>
      <w:r>
        <w:rPr>
          <w:rFonts w:hint="eastAsia"/>
          <w:color w:val="0000FF"/>
          <w:szCs w:val="24"/>
        </w:rPr>
        <w:t>D</w:t>
      </w:r>
      <w:r>
        <w:rPr>
          <w:color w:val="0000FF"/>
          <w:szCs w:val="24"/>
        </w:rPr>
        <w:t>N300</w:t>
      </w:r>
      <w:r>
        <w:rPr>
          <w:rFonts w:hint="eastAsia"/>
          <w:color w:val="0000FF"/>
          <w:szCs w:val="24"/>
        </w:rPr>
        <w:t>，</w:t>
      </w:r>
      <w:r>
        <w:rPr>
          <w:rFonts w:hint="eastAsia"/>
          <w:color w:val="0000FF"/>
          <w:szCs w:val="24"/>
        </w:rPr>
        <w:t>H</w:t>
      </w:r>
      <w:r>
        <w:rPr>
          <w:color w:val="0000FF"/>
          <w:szCs w:val="24"/>
        </w:rPr>
        <w:t>DPE</w:t>
      </w:r>
      <w:r>
        <w:rPr>
          <w:rFonts w:hint="eastAsia"/>
          <w:color w:val="0000FF"/>
          <w:szCs w:val="24"/>
        </w:rPr>
        <w:t>管，沙土垫层。</w:t>
      </w:r>
      <w:r>
        <w:rPr>
          <w:color w:val="0000FF"/>
          <w:szCs w:val="24"/>
        </w:rPr>
        <w:t>施工结束后，</w:t>
      </w:r>
      <w:r>
        <w:rPr>
          <w:bCs/>
          <w:color w:val="0000FF"/>
        </w:rPr>
        <w:t>在绿化区域进行</w:t>
      </w:r>
      <w:r>
        <w:rPr>
          <w:rFonts w:hint="eastAsia"/>
          <w:bCs/>
          <w:color w:val="0000FF"/>
        </w:rPr>
        <w:t>表土回覆</w:t>
      </w:r>
      <w:r>
        <w:rPr>
          <w:bCs/>
          <w:color w:val="0000FF"/>
        </w:rPr>
        <w:t>1375</w:t>
      </w:r>
      <w:r>
        <w:rPr>
          <w:color w:val="0000FF"/>
          <w:szCs w:val="22"/>
        </w:rPr>
        <w:t>m</w:t>
      </w:r>
      <w:r>
        <w:rPr>
          <w:color w:val="0000FF"/>
          <w:szCs w:val="22"/>
          <w:vertAlign w:val="superscript"/>
        </w:rPr>
        <w:t>3</w:t>
      </w:r>
      <w:r>
        <w:rPr>
          <w:bCs/>
          <w:color w:val="0000FF"/>
        </w:rPr>
        <w:t>。</w:t>
      </w:r>
      <w:r>
        <w:rPr>
          <w:color w:val="0000FF"/>
          <w:szCs w:val="32"/>
        </w:rPr>
        <w:t>经本方案复核，项目大部分已建设完成，主体布设的措施能满足要求，本方案不对该区新增措施。</w:t>
      </w:r>
    </w:p>
    <w:p w:rsidR="00F44F7B" w:rsidRDefault="00730D49">
      <w:pPr>
        <w:pStyle w:val="08522"/>
        <w:spacing w:line="360" w:lineRule="auto"/>
        <w:rPr>
          <w:b/>
          <w:bCs/>
        </w:rPr>
      </w:pPr>
      <w:r>
        <w:rPr>
          <w:b/>
          <w:bCs/>
        </w:rPr>
        <w:t>（二）</w:t>
      </w:r>
      <w:r>
        <w:rPr>
          <w:rFonts w:hint="eastAsia"/>
          <w:b/>
          <w:bCs/>
        </w:rPr>
        <w:t>配套设施</w:t>
      </w:r>
      <w:r>
        <w:rPr>
          <w:b/>
          <w:bCs/>
        </w:rPr>
        <w:t>区</w:t>
      </w:r>
    </w:p>
    <w:p w:rsidR="00F44F7B" w:rsidRDefault="00730D49">
      <w:pPr>
        <w:pStyle w:val="af1"/>
        <w:ind w:firstLine="482"/>
        <w:rPr>
          <w:color w:val="0000FF"/>
          <w:szCs w:val="32"/>
        </w:rPr>
      </w:pPr>
      <w:r>
        <w:rPr>
          <w:b/>
          <w:bCs/>
          <w:color w:val="0000FF"/>
        </w:rPr>
        <w:t>主体设计措施：</w:t>
      </w:r>
      <w:r>
        <w:rPr>
          <w:color w:val="0000FF"/>
        </w:rPr>
        <w:t>根据主体设计资料及现场调查，主体在施工在进行了</w:t>
      </w:r>
      <w:r>
        <w:rPr>
          <w:color w:val="0000FF"/>
          <w:spacing w:val="-2"/>
        </w:rPr>
        <w:t>表土剥离</w:t>
      </w:r>
      <w:r>
        <w:rPr>
          <w:color w:val="0000FF"/>
          <w:szCs w:val="22"/>
        </w:rPr>
        <w:t>375m</w:t>
      </w:r>
      <w:r>
        <w:rPr>
          <w:color w:val="0000FF"/>
          <w:szCs w:val="22"/>
          <w:vertAlign w:val="superscript"/>
        </w:rPr>
        <w:t>3</w:t>
      </w:r>
      <w:r>
        <w:rPr>
          <w:color w:val="0000FF"/>
        </w:rPr>
        <w:t>。</w:t>
      </w:r>
      <w:r>
        <w:rPr>
          <w:color w:val="0000FF"/>
          <w:szCs w:val="24"/>
        </w:rPr>
        <w:t>施工结束后，</w:t>
      </w:r>
      <w:r>
        <w:rPr>
          <w:bCs/>
          <w:color w:val="0000FF"/>
        </w:rPr>
        <w:t>在绿化区域进行</w:t>
      </w:r>
      <w:r>
        <w:rPr>
          <w:rFonts w:hint="eastAsia"/>
          <w:bCs/>
          <w:color w:val="0000FF"/>
        </w:rPr>
        <w:t>表土回覆</w:t>
      </w:r>
      <w:r>
        <w:rPr>
          <w:bCs/>
          <w:color w:val="0000FF"/>
        </w:rPr>
        <w:t>375</w:t>
      </w:r>
      <w:r>
        <w:rPr>
          <w:color w:val="0000FF"/>
          <w:szCs w:val="22"/>
        </w:rPr>
        <w:t>m</w:t>
      </w:r>
      <w:r>
        <w:rPr>
          <w:color w:val="0000FF"/>
          <w:szCs w:val="22"/>
          <w:vertAlign w:val="superscript"/>
        </w:rPr>
        <w:t>3</w:t>
      </w:r>
      <w:r>
        <w:rPr>
          <w:bCs/>
          <w:color w:val="0000FF"/>
        </w:rPr>
        <w:t>。在植物绿化区域种植</w:t>
      </w:r>
      <w:r>
        <w:rPr>
          <w:rFonts w:hint="eastAsia"/>
          <w:bCs/>
          <w:color w:val="0000FF"/>
        </w:rPr>
        <w:t>桂花树</w:t>
      </w:r>
      <w:r>
        <w:rPr>
          <w:rFonts w:hint="eastAsia"/>
          <w:color w:val="0000FF"/>
          <w:szCs w:val="32"/>
        </w:rPr>
        <w:t>和结缕草，面积</w:t>
      </w:r>
      <w:r>
        <w:rPr>
          <w:color w:val="0000FF"/>
          <w:szCs w:val="32"/>
        </w:rPr>
        <w:t>200</w:t>
      </w:r>
      <w:r>
        <w:rPr>
          <w:color w:val="0000FF"/>
        </w:rPr>
        <w:t>m</w:t>
      </w:r>
      <w:r>
        <w:rPr>
          <w:color w:val="0000FF"/>
          <w:vertAlign w:val="superscript"/>
        </w:rPr>
        <w:t>2</w:t>
      </w:r>
      <w:r>
        <w:rPr>
          <w:color w:val="0000FF"/>
          <w:szCs w:val="32"/>
        </w:rPr>
        <w:t>。经本方案复核，项目大部分已建设完成，主体布设的措施能满足要求，本方案不对该区新增措施。</w:t>
      </w:r>
    </w:p>
    <w:p w:rsidR="00F44F7B" w:rsidRDefault="00730D49">
      <w:pPr>
        <w:pStyle w:val="2"/>
      </w:pPr>
      <w:bookmarkStart w:id="167" w:name="_Toc2166"/>
      <w:r>
        <w:t>5.3</w:t>
      </w:r>
      <w:r>
        <w:rPr>
          <w:lang w:val="zh-CN"/>
        </w:rPr>
        <w:t>分区措施布设</w:t>
      </w:r>
      <w:bookmarkEnd w:id="167"/>
    </w:p>
    <w:p w:rsidR="00F44F7B" w:rsidRDefault="00730D49">
      <w:pPr>
        <w:pStyle w:val="af1"/>
        <w:ind w:firstLine="482"/>
        <w:rPr>
          <w:b/>
          <w:bCs/>
        </w:rPr>
      </w:pPr>
      <w:r>
        <w:rPr>
          <w:b/>
          <w:bCs/>
        </w:rPr>
        <w:t>（一）</w:t>
      </w:r>
      <w:r>
        <w:rPr>
          <w:rFonts w:hint="eastAsia"/>
          <w:b/>
          <w:bCs/>
        </w:rPr>
        <w:t>建构筑物区</w:t>
      </w:r>
    </w:p>
    <w:p w:rsidR="00F44F7B" w:rsidRDefault="00730D49">
      <w:pPr>
        <w:pStyle w:val="08522"/>
        <w:spacing w:line="360" w:lineRule="auto"/>
        <w:rPr>
          <w:bCs/>
        </w:rPr>
      </w:pPr>
      <w:r>
        <w:t>根据主体设计资料及现场调查</w:t>
      </w:r>
      <w:r>
        <w:rPr>
          <w:rFonts w:hint="eastAsia"/>
        </w:rPr>
        <w:t>，</w:t>
      </w:r>
      <w:r>
        <w:t>主体在施工在进行了</w:t>
      </w:r>
      <w:r>
        <w:rPr>
          <w:spacing w:val="-2"/>
        </w:rPr>
        <w:t>表土剥离</w:t>
      </w:r>
      <w:r>
        <w:rPr>
          <w:szCs w:val="22"/>
        </w:rPr>
        <w:t>1000m</w:t>
      </w:r>
      <w:r>
        <w:rPr>
          <w:szCs w:val="22"/>
          <w:vertAlign w:val="superscript"/>
        </w:rPr>
        <w:t>3</w:t>
      </w:r>
      <w:r>
        <w:rPr>
          <w:rFonts w:hint="eastAsia"/>
          <w:szCs w:val="22"/>
          <w:vertAlign w:val="superscript"/>
        </w:rPr>
        <w:t>。</w:t>
      </w:r>
      <w:r>
        <w:rPr>
          <w:rFonts w:hint="eastAsia"/>
          <w:szCs w:val="24"/>
        </w:rPr>
        <w:t>在项目建设区最左侧设立排水沟，长</w:t>
      </w:r>
      <w:r>
        <w:rPr>
          <w:szCs w:val="24"/>
        </w:rPr>
        <w:t>120</w:t>
      </w:r>
      <w:r>
        <w:rPr>
          <w:rFonts w:hint="eastAsia"/>
          <w:szCs w:val="24"/>
        </w:rPr>
        <w:t>米；</w:t>
      </w:r>
      <w:r>
        <w:rPr>
          <w:rFonts w:hint="eastAsia"/>
        </w:rPr>
        <w:t>完成雨水管</w:t>
      </w:r>
      <w:r>
        <w:rPr>
          <w:rFonts w:hint="eastAsia"/>
        </w:rPr>
        <w:t>3</w:t>
      </w:r>
      <w:r>
        <w:rPr>
          <w:rFonts w:hint="eastAsia"/>
        </w:rPr>
        <w:t>条，检查井</w:t>
      </w:r>
      <w:r>
        <w:rPr>
          <w:rFonts w:hint="eastAsia"/>
        </w:rPr>
        <w:t>1</w:t>
      </w:r>
      <w:r>
        <w:t>6</w:t>
      </w:r>
      <w:r>
        <w:rPr>
          <w:rFonts w:hint="eastAsia"/>
        </w:rPr>
        <w:t>座。雨水管采用</w:t>
      </w:r>
      <w:r>
        <w:rPr>
          <w:rFonts w:hint="eastAsia"/>
          <w:szCs w:val="24"/>
        </w:rPr>
        <w:t>Ⅱ级钢筋混凝土管直径</w:t>
      </w:r>
      <w:r>
        <w:rPr>
          <w:rFonts w:hint="eastAsia"/>
          <w:szCs w:val="24"/>
        </w:rPr>
        <w:t>8</w:t>
      </w:r>
      <w:r>
        <w:rPr>
          <w:szCs w:val="24"/>
        </w:rPr>
        <w:t>00</w:t>
      </w:r>
      <w:r>
        <w:rPr>
          <w:rFonts w:hint="eastAsia"/>
          <w:szCs w:val="24"/>
        </w:rPr>
        <w:t>，</w:t>
      </w:r>
      <w:r>
        <w:rPr>
          <w:rFonts w:hint="eastAsia"/>
          <w:szCs w:val="24"/>
        </w:rPr>
        <w:t>1</w:t>
      </w:r>
      <w:r>
        <w:rPr>
          <w:szCs w:val="24"/>
        </w:rPr>
        <w:t>20</w:t>
      </w:r>
      <w:r>
        <w:rPr>
          <w:rFonts w:hint="eastAsia"/>
          <w:szCs w:val="24"/>
        </w:rPr>
        <w:t>度混凝土基础，雨水支管采用</w:t>
      </w:r>
      <w:r>
        <w:rPr>
          <w:rFonts w:hint="eastAsia"/>
          <w:szCs w:val="24"/>
        </w:rPr>
        <w:t>D</w:t>
      </w:r>
      <w:r>
        <w:rPr>
          <w:szCs w:val="24"/>
        </w:rPr>
        <w:t>N300</w:t>
      </w:r>
      <w:r>
        <w:rPr>
          <w:rFonts w:hint="eastAsia"/>
          <w:szCs w:val="24"/>
        </w:rPr>
        <w:t>，</w:t>
      </w:r>
      <w:r>
        <w:rPr>
          <w:rFonts w:hint="eastAsia"/>
          <w:szCs w:val="24"/>
        </w:rPr>
        <w:t>H</w:t>
      </w:r>
      <w:r>
        <w:rPr>
          <w:szCs w:val="24"/>
        </w:rPr>
        <w:t>DPE</w:t>
      </w:r>
      <w:r>
        <w:rPr>
          <w:rFonts w:hint="eastAsia"/>
          <w:szCs w:val="24"/>
        </w:rPr>
        <w:t>管，沙土垫层。</w:t>
      </w:r>
      <w:r>
        <w:rPr>
          <w:szCs w:val="24"/>
        </w:rPr>
        <w:t>施工结束后，</w:t>
      </w:r>
      <w:r>
        <w:rPr>
          <w:bCs/>
        </w:rPr>
        <w:t>在绿化区域进行</w:t>
      </w:r>
      <w:r>
        <w:rPr>
          <w:rFonts w:hint="eastAsia"/>
          <w:bCs/>
        </w:rPr>
        <w:t>表土回覆</w:t>
      </w:r>
      <w:r>
        <w:rPr>
          <w:bCs/>
        </w:rPr>
        <w:t>1000</w:t>
      </w:r>
      <w:r>
        <w:rPr>
          <w:szCs w:val="22"/>
        </w:rPr>
        <w:t>m</w:t>
      </w:r>
      <w:r>
        <w:rPr>
          <w:szCs w:val="22"/>
          <w:vertAlign w:val="superscript"/>
        </w:rPr>
        <w:t>3</w:t>
      </w:r>
      <w:r>
        <w:rPr>
          <w:bCs/>
        </w:rPr>
        <w:t>。</w:t>
      </w:r>
    </w:p>
    <w:p w:rsidR="00F44F7B" w:rsidRDefault="00730D49">
      <w:pPr>
        <w:pStyle w:val="08522"/>
        <w:spacing w:line="360" w:lineRule="auto"/>
        <w:rPr>
          <w:b/>
          <w:bCs/>
        </w:rPr>
      </w:pPr>
      <w:r>
        <w:rPr>
          <w:b/>
          <w:bCs/>
        </w:rPr>
        <w:t>（二）</w:t>
      </w:r>
      <w:r>
        <w:rPr>
          <w:rFonts w:hint="eastAsia"/>
          <w:b/>
          <w:bCs/>
        </w:rPr>
        <w:t>配套设施</w:t>
      </w:r>
      <w:r>
        <w:rPr>
          <w:b/>
          <w:bCs/>
        </w:rPr>
        <w:t>区</w:t>
      </w:r>
    </w:p>
    <w:p w:rsidR="00F44F7B" w:rsidRDefault="00730D49">
      <w:pPr>
        <w:pStyle w:val="08522"/>
        <w:spacing w:line="360" w:lineRule="auto"/>
        <w:rPr>
          <w:szCs w:val="32"/>
        </w:rPr>
      </w:pPr>
      <w:r>
        <w:t>根据主体设计资料及现场调查，主体在施工在进行了</w:t>
      </w:r>
      <w:r>
        <w:rPr>
          <w:spacing w:val="-2"/>
        </w:rPr>
        <w:t>表土剥离</w:t>
      </w:r>
      <w:r>
        <w:rPr>
          <w:szCs w:val="22"/>
        </w:rPr>
        <w:t>375m</w:t>
      </w:r>
      <w:r>
        <w:rPr>
          <w:szCs w:val="22"/>
          <w:vertAlign w:val="superscript"/>
        </w:rPr>
        <w:t>3</w:t>
      </w:r>
      <w:r>
        <w:t>。</w:t>
      </w:r>
      <w:r>
        <w:rPr>
          <w:szCs w:val="24"/>
        </w:rPr>
        <w:t>施工结束后，</w:t>
      </w:r>
      <w:r>
        <w:rPr>
          <w:bCs/>
        </w:rPr>
        <w:t>在绿化区域进行</w:t>
      </w:r>
      <w:r>
        <w:rPr>
          <w:rFonts w:hint="eastAsia"/>
          <w:bCs/>
        </w:rPr>
        <w:t>表土回覆</w:t>
      </w:r>
      <w:r>
        <w:rPr>
          <w:bCs/>
        </w:rPr>
        <w:t>375</w:t>
      </w:r>
      <w:r>
        <w:rPr>
          <w:szCs w:val="22"/>
        </w:rPr>
        <w:t>m</w:t>
      </w:r>
      <w:r>
        <w:rPr>
          <w:szCs w:val="22"/>
          <w:vertAlign w:val="superscript"/>
        </w:rPr>
        <w:t>3</w:t>
      </w:r>
      <w:r>
        <w:rPr>
          <w:bCs/>
        </w:rPr>
        <w:t>。在植物绿化区域种植</w:t>
      </w:r>
      <w:r>
        <w:rPr>
          <w:rFonts w:hint="eastAsia"/>
          <w:bCs/>
        </w:rPr>
        <w:t>桂花树</w:t>
      </w:r>
      <w:r>
        <w:rPr>
          <w:szCs w:val="32"/>
        </w:rPr>
        <w:t>30</w:t>
      </w:r>
      <w:r>
        <w:rPr>
          <w:rFonts w:hint="eastAsia"/>
          <w:szCs w:val="32"/>
        </w:rPr>
        <w:t>株，面积</w:t>
      </w:r>
      <w:r>
        <w:rPr>
          <w:szCs w:val="32"/>
        </w:rPr>
        <w:t>200</w:t>
      </w:r>
      <w:r>
        <w:t>m</w:t>
      </w:r>
      <w:r>
        <w:rPr>
          <w:vertAlign w:val="superscript"/>
        </w:rPr>
        <w:t>2</w:t>
      </w:r>
      <w:r>
        <w:rPr>
          <w:szCs w:val="32"/>
        </w:rPr>
        <w:t>。</w:t>
      </w:r>
    </w:p>
    <w:p w:rsidR="00F44F7B" w:rsidRDefault="00730D49">
      <w:pPr>
        <w:pStyle w:val="08522"/>
        <w:spacing w:line="360" w:lineRule="auto"/>
        <w:rPr>
          <w:szCs w:val="24"/>
        </w:rPr>
      </w:pPr>
      <w:r>
        <w:rPr>
          <w:szCs w:val="24"/>
        </w:rPr>
        <w:t>由于本项目大部分建设完成，施工期水土流失已得到妥善治理，已实施的各项水土保持防护措施完善，现状及后期已无水土流失产生，方案着重对已建成的水土保持措施运行管理提出要求，为及早完成水土保持工程竣工验收，提高工程运行管理水平，巩固完善综合防护体系，发挥工程的整体效益而提出以下几点要求。</w:t>
      </w:r>
    </w:p>
    <w:p w:rsidR="00F44F7B" w:rsidRDefault="00730D49">
      <w:pPr>
        <w:pStyle w:val="ad"/>
        <w:ind w:firstLine="480"/>
        <w:rPr>
          <w:szCs w:val="24"/>
        </w:rPr>
      </w:pPr>
      <w:r>
        <w:rPr>
          <w:szCs w:val="24"/>
        </w:rPr>
        <w:t>（</w:t>
      </w:r>
      <w:r>
        <w:rPr>
          <w:szCs w:val="24"/>
        </w:rPr>
        <w:t>1</w:t>
      </w:r>
      <w:r>
        <w:rPr>
          <w:szCs w:val="24"/>
        </w:rPr>
        <w:t>）健全水土保持工程运行技术制度，加强工程的统一管理，保证各项工程安全运行。</w:t>
      </w:r>
    </w:p>
    <w:p w:rsidR="00F44F7B" w:rsidRDefault="00730D49">
      <w:pPr>
        <w:pStyle w:val="ad"/>
        <w:ind w:firstLine="480"/>
        <w:rPr>
          <w:szCs w:val="24"/>
        </w:rPr>
      </w:pPr>
      <w:r>
        <w:rPr>
          <w:szCs w:val="24"/>
        </w:rPr>
        <w:t>（</w:t>
      </w:r>
      <w:r>
        <w:rPr>
          <w:szCs w:val="24"/>
        </w:rPr>
        <w:t>2</w:t>
      </w:r>
      <w:r>
        <w:rPr>
          <w:szCs w:val="24"/>
        </w:rPr>
        <w:t>）坚持</w:t>
      </w:r>
      <w:r>
        <w:rPr>
          <w:szCs w:val="24"/>
        </w:rPr>
        <w:t>“</w:t>
      </w:r>
      <w:r>
        <w:rPr>
          <w:szCs w:val="24"/>
        </w:rPr>
        <w:t>谁受益，谁管理</w:t>
      </w:r>
      <w:r>
        <w:rPr>
          <w:szCs w:val="24"/>
        </w:rPr>
        <w:t>”</w:t>
      </w:r>
      <w:r>
        <w:rPr>
          <w:szCs w:val="24"/>
        </w:rPr>
        <w:t>，落实工程管护的责任主体。</w:t>
      </w:r>
    </w:p>
    <w:p w:rsidR="00F44F7B" w:rsidRDefault="00730D49">
      <w:pPr>
        <w:pStyle w:val="0"/>
        <w:spacing w:line="360" w:lineRule="auto"/>
        <w:rPr>
          <w:rFonts w:ascii="Times New Roman" w:hAnsi="Times New Roman"/>
          <w:color w:val="auto"/>
          <w:kern w:val="2"/>
          <w:szCs w:val="24"/>
        </w:rPr>
      </w:pPr>
      <w:r>
        <w:rPr>
          <w:rFonts w:ascii="Times New Roman" w:hAnsi="Times New Roman"/>
          <w:color w:val="auto"/>
          <w:kern w:val="2"/>
          <w:szCs w:val="24"/>
        </w:rPr>
        <w:t>（</w:t>
      </w:r>
      <w:r>
        <w:rPr>
          <w:rFonts w:ascii="Times New Roman" w:hAnsi="Times New Roman"/>
          <w:color w:val="auto"/>
          <w:kern w:val="2"/>
          <w:szCs w:val="24"/>
        </w:rPr>
        <w:t>3</w:t>
      </w:r>
      <w:r>
        <w:rPr>
          <w:rFonts w:ascii="Times New Roman" w:hAnsi="Times New Roman"/>
          <w:color w:val="auto"/>
          <w:kern w:val="2"/>
          <w:szCs w:val="24"/>
        </w:rPr>
        <w:t>）坚持日常维护管理和重点检查维护相结合的原则，落实好植被的定期管护，为提高保存率，栽植后应</w:t>
      </w:r>
      <w:r>
        <w:rPr>
          <w:rFonts w:ascii="Times New Roman" w:hAnsi="Times New Roman"/>
          <w:color w:val="auto"/>
          <w:kern w:val="2"/>
          <w:szCs w:val="24"/>
        </w:rPr>
        <w:t>根据造林立地条件、生长发育时期要求等，及时进行松土、除草、踏穴、培土、选苗、定株、抹芽、打杈和必要的修枝、病虫害防治、护林防火等抚育管理措施，严禁人为破坏。</w:t>
      </w:r>
    </w:p>
    <w:p w:rsidR="00F44F7B" w:rsidRDefault="00730D49">
      <w:pPr>
        <w:pStyle w:val="0"/>
        <w:spacing w:line="360" w:lineRule="auto"/>
        <w:rPr>
          <w:rFonts w:ascii="Times New Roman" w:hAnsi="Times New Roman"/>
          <w:color w:val="auto"/>
        </w:rPr>
      </w:pPr>
      <w:r>
        <w:rPr>
          <w:rFonts w:ascii="Times New Roman" w:hAnsi="Times New Roman"/>
          <w:color w:val="auto"/>
        </w:rPr>
        <w:lastRenderedPageBreak/>
        <w:t>现阶段项目大部分已建设完成，现有的水土保持措施能够满足水土流失的防治要求，本《方案》不再新增任何水土保持的措施。各项措施工程量详见表</w:t>
      </w:r>
      <w:r>
        <w:rPr>
          <w:rFonts w:ascii="Times New Roman" w:hAnsi="Times New Roman"/>
          <w:color w:val="auto"/>
        </w:rPr>
        <w:t>5-5</w:t>
      </w:r>
      <w:r>
        <w:rPr>
          <w:rFonts w:ascii="Times New Roman" w:hAnsi="Times New Roman"/>
          <w:color w:val="auto"/>
        </w:rPr>
        <w:t>。</w:t>
      </w:r>
    </w:p>
    <w:p w:rsidR="00F44F7B" w:rsidRDefault="00730D49">
      <w:pPr>
        <w:pStyle w:val="0"/>
        <w:ind w:firstLineChars="0" w:firstLine="0"/>
        <w:jc w:val="center"/>
        <w:rPr>
          <w:rFonts w:ascii="Times New Roman" w:hAnsi="Times New Roman"/>
          <w:b/>
          <w:color w:val="auto"/>
          <w:kern w:val="2"/>
          <w:sz w:val="22"/>
          <w:szCs w:val="22"/>
        </w:rPr>
      </w:pPr>
      <w:r>
        <w:rPr>
          <w:rFonts w:ascii="Times New Roman" w:hAnsi="Times New Roman"/>
          <w:b/>
          <w:color w:val="auto"/>
          <w:kern w:val="2"/>
          <w:sz w:val="22"/>
          <w:szCs w:val="22"/>
        </w:rPr>
        <w:t>表</w:t>
      </w:r>
      <w:r>
        <w:rPr>
          <w:rFonts w:ascii="Times New Roman" w:hAnsi="Times New Roman"/>
          <w:b/>
          <w:color w:val="auto"/>
          <w:kern w:val="2"/>
          <w:sz w:val="22"/>
          <w:szCs w:val="22"/>
        </w:rPr>
        <w:t>5-</w:t>
      </w:r>
      <w:r>
        <w:rPr>
          <w:rFonts w:ascii="Times New Roman" w:hAnsi="Times New Roman" w:hint="eastAsia"/>
          <w:b/>
          <w:color w:val="auto"/>
          <w:kern w:val="2"/>
          <w:sz w:val="22"/>
          <w:szCs w:val="22"/>
        </w:rPr>
        <w:t>4</w:t>
      </w:r>
      <w:r>
        <w:rPr>
          <w:rFonts w:ascii="Times New Roman" w:hAnsi="Times New Roman"/>
          <w:b/>
          <w:color w:val="auto"/>
          <w:kern w:val="2"/>
          <w:sz w:val="22"/>
          <w:szCs w:val="22"/>
        </w:rPr>
        <w:t xml:space="preserve"> </w:t>
      </w:r>
      <w:r>
        <w:rPr>
          <w:rFonts w:ascii="Times New Roman" w:hAnsi="Times New Roman" w:hint="eastAsia"/>
          <w:b/>
          <w:color w:val="auto"/>
          <w:kern w:val="2"/>
          <w:sz w:val="22"/>
          <w:szCs w:val="22"/>
        </w:rPr>
        <w:t xml:space="preserve">      </w:t>
      </w:r>
      <w:r>
        <w:rPr>
          <w:rFonts w:ascii="Times New Roman" w:hAnsi="Times New Roman"/>
          <w:b/>
          <w:color w:val="auto"/>
          <w:kern w:val="2"/>
          <w:sz w:val="22"/>
          <w:szCs w:val="22"/>
        </w:rPr>
        <w:t>主体设计的水土保持措施工程量及投资统计表</w:t>
      </w:r>
    </w:p>
    <w:tbl>
      <w:tblPr>
        <w:tblW w:w="4998" w:type="pct"/>
        <w:tblCellMar>
          <w:left w:w="0" w:type="dxa"/>
          <w:right w:w="0" w:type="dxa"/>
        </w:tblCellMar>
        <w:tblLook w:val="04A0" w:firstRow="1" w:lastRow="0" w:firstColumn="1" w:lastColumn="0" w:noHBand="0" w:noVBand="1"/>
      </w:tblPr>
      <w:tblGrid>
        <w:gridCol w:w="1560"/>
        <w:gridCol w:w="967"/>
        <w:gridCol w:w="967"/>
        <w:gridCol w:w="1118"/>
        <w:gridCol w:w="967"/>
        <w:gridCol w:w="1035"/>
        <w:gridCol w:w="1080"/>
        <w:gridCol w:w="1080"/>
      </w:tblGrid>
      <w:tr w:rsidR="00F44F7B">
        <w:trPr>
          <w:trHeight w:val="283"/>
          <w:tblHeader/>
        </w:trPr>
        <w:tc>
          <w:tcPr>
            <w:tcW w:w="905"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项目组成</w:t>
            </w: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措施类型</w:t>
            </w: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措施名称</w:t>
            </w:r>
          </w:p>
        </w:tc>
        <w:tc>
          <w:tcPr>
            <w:tcW w:w="65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规格</w:t>
            </w: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单位</w:t>
            </w:r>
          </w:p>
        </w:tc>
        <w:tc>
          <w:tcPr>
            <w:tcW w:w="60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数量</w:t>
            </w: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单价（元）</w:t>
            </w: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总价（元）</w:t>
            </w:r>
          </w:p>
        </w:tc>
      </w:tr>
      <w:tr w:rsidR="00F44F7B">
        <w:trPr>
          <w:trHeight w:val="285"/>
        </w:trPr>
        <w:tc>
          <w:tcPr>
            <w:tcW w:w="905" w:type="pct"/>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建构筑物区</w:t>
            </w:r>
          </w:p>
        </w:tc>
        <w:tc>
          <w:tcPr>
            <w:tcW w:w="567" w:type="pct"/>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工程措施</w:t>
            </w: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雨水管</w:t>
            </w:r>
          </w:p>
        </w:tc>
        <w:tc>
          <w:tcPr>
            <w:tcW w:w="65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DH800</w:t>
            </w: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m</w:t>
            </w:r>
          </w:p>
        </w:tc>
        <w:tc>
          <w:tcPr>
            <w:tcW w:w="60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78</w:t>
            </w: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102</w:t>
            </w: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 xml:space="preserve">0.80 </w:t>
            </w:r>
          </w:p>
        </w:tc>
      </w:tr>
      <w:tr w:rsidR="00F44F7B">
        <w:trPr>
          <w:trHeight w:val="285"/>
        </w:trPr>
        <w:tc>
          <w:tcPr>
            <w:tcW w:w="905"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jc w:val="center"/>
              <w:rPr>
                <w:color w:val="0000FF"/>
                <w:sz w:val="21"/>
                <w:szCs w:val="21"/>
              </w:rPr>
            </w:pPr>
          </w:p>
        </w:tc>
        <w:tc>
          <w:tcPr>
            <w:tcW w:w="567"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jc w:val="center"/>
              <w:rPr>
                <w:color w:val="0000FF"/>
                <w:sz w:val="21"/>
                <w:szCs w:val="21"/>
              </w:rPr>
            </w:pP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排水沟</w:t>
            </w:r>
          </w:p>
        </w:tc>
        <w:tc>
          <w:tcPr>
            <w:tcW w:w="65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0.5*0.6</w:t>
            </w: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m</w:t>
            </w:r>
          </w:p>
        </w:tc>
        <w:tc>
          <w:tcPr>
            <w:tcW w:w="60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120</w:t>
            </w: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115.5</w:t>
            </w: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 xml:space="preserve">1.39 </w:t>
            </w:r>
          </w:p>
        </w:tc>
      </w:tr>
      <w:tr w:rsidR="00F44F7B">
        <w:trPr>
          <w:trHeight w:val="285"/>
        </w:trPr>
        <w:tc>
          <w:tcPr>
            <w:tcW w:w="905"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jc w:val="center"/>
              <w:rPr>
                <w:color w:val="0000FF"/>
                <w:sz w:val="21"/>
                <w:szCs w:val="21"/>
              </w:rPr>
            </w:pPr>
          </w:p>
        </w:tc>
        <w:tc>
          <w:tcPr>
            <w:tcW w:w="567"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jc w:val="center"/>
              <w:rPr>
                <w:color w:val="0000FF"/>
                <w:sz w:val="21"/>
                <w:szCs w:val="21"/>
              </w:rPr>
            </w:pP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表土剥离</w:t>
            </w:r>
          </w:p>
        </w:tc>
        <w:tc>
          <w:tcPr>
            <w:tcW w:w="65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jc w:val="center"/>
              <w:rPr>
                <w:color w:val="0000FF"/>
                <w:sz w:val="21"/>
                <w:szCs w:val="21"/>
              </w:rPr>
            </w:pP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m</w:t>
            </w:r>
            <w:r>
              <w:rPr>
                <w:color w:val="0000FF"/>
                <w:kern w:val="0"/>
                <w:sz w:val="21"/>
                <w:szCs w:val="21"/>
                <w:vertAlign w:val="superscript"/>
                <w:lang w:bidi="ar"/>
              </w:rPr>
              <w:t>3</w:t>
            </w:r>
          </w:p>
        </w:tc>
        <w:tc>
          <w:tcPr>
            <w:tcW w:w="60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1000</w:t>
            </w: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19.92</w:t>
            </w: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 xml:space="preserve">1.99 </w:t>
            </w:r>
          </w:p>
        </w:tc>
      </w:tr>
      <w:tr w:rsidR="00F44F7B">
        <w:trPr>
          <w:trHeight w:val="285"/>
        </w:trPr>
        <w:tc>
          <w:tcPr>
            <w:tcW w:w="905"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jc w:val="center"/>
              <w:rPr>
                <w:color w:val="0000FF"/>
                <w:sz w:val="21"/>
                <w:szCs w:val="21"/>
              </w:rPr>
            </w:pPr>
          </w:p>
        </w:tc>
        <w:tc>
          <w:tcPr>
            <w:tcW w:w="567"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jc w:val="center"/>
              <w:rPr>
                <w:color w:val="0000FF"/>
                <w:sz w:val="21"/>
                <w:szCs w:val="21"/>
              </w:rPr>
            </w:pP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表土回覆</w:t>
            </w:r>
          </w:p>
        </w:tc>
        <w:tc>
          <w:tcPr>
            <w:tcW w:w="65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jc w:val="center"/>
              <w:rPr>
                <w:color w:val="0000FF"/>
                <w:sz w:val="21"/>
                <w:szCs w:val="21"/>
              </w:rPr>
            </w:pP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m</w:t>
            </w:r>
            <w:r>
              <w:rPr>
                <w:color w:val="0000FF"/>
                <w:kern w:val="0"/>
                <w:sz w:val="21"/>
                <w:szCs w:val="21"/>
                <w:vertAlign w:val="superscript"/>
                <w:lang w:bidi="ar"/>
              </w:rPr>
              <w:t>3</w:t>
            </w:r>
          </w:p>
        </w:tc>
        <w:tc>
          <w:tcPr>
            <w:tcW w:w="60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1000</w:t>
            </w: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22.42</w:t>
            </w: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 xml:space="preserve">2.24 </w:t>
            </w:r>
          </w:p>
        </w:tc>
      </w:tr>
      <w:tr w:rsidR="00F44F7B">
        <w:trPr>
          <w:trHeight w:val="285"/>
        </w:trPr>
        <w:tc>
          <w:tcPr>
            <w:tcW w:w="905"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jc w:val="center"/>
              <w:rPr>
                <w:color w:val="0000FF"/>
                <w:sz w:val="21"/>
                <w:szCs w:val="21"/>
              </w:rPr>
            </w:pP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临时措施</w:t>
            </w: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临时遮盖</w:t>
            </w:r>
          </w:p>
        </w:tc>
        <w:tc>
          <w:tcPr>
            <w:tcW w:w="65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防雨布</w:t>
            </w: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m</w:t>
            </w:r>
            <w:r>
              <w:rPr>
                <w:color w:val="0000FF"/>
                <w:kern w:val="0"/>
                <w:sz w:val="21"/>
                <w:szCs w:val="21"/>
                <w:vertAlign w:val="superscript"/>
                <w:lang w:bidi="ar"/>
              </w:rPr>
              <w:t>2</w:t>
            </w:r>
          </w:p>
        </w:tc>
        <w:tc>
          <w:tcPr>
            <w:tcW w:w="60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300</w:t>
            </w: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5.8</w:t>
            </w: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 xml:space="preserve">0.17 </w:t>
            </w:r>
          </w:p>
        </w:tc>
      </w:tr>
      <w:tr w:rsidR="00F44F7B">
        <w:trPr>
          <w:trHeight w:val="285"/>
        </w:trPr>
        <w:tc>
          <w:tcPr>
            <w:tcW w:w="905" w:type="pct"/>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配套设施区</w:t>
            </w:r>
          </w:p>
        </w:tc>
        <w:tc>
          <w:tcPr>
            <w:tcW w:w="567" w:type="pct"/>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工程措施</w:t>
            </w: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表土剥离</w:t>
            </w:r>
          </w:p>
        </w:tc>
        <w:tc>
          <w:tcPr>
            <w:tcW w:w="65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jc w:val="center"/>
              <w:rPr>
                <w:color w:val="0000FF"/>
                <w:sz w:val="21"/>
                <w:szCs w:val="21"/>
              </w:rPr>
            </w:pP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m</w:t>
            </w:r>
            <w:r>
              <w:rPr>
                <w:color w:val="0000FF"/>
                <w:kern w:val="0"/>
                <w:sz w:val="21"/>
                <w:szCs w:val="21"/>
                <w:vertAlign w:val="superscript"/>
                <w:lang w:bidi="ar"/>
              </w:rPr>
              <w:t>3</w:t>
            </w:r>
          </w:p>
        </w:tc>
        <w:tc>
          <w:tcPr>
            <w:tcW w:w="60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375</w:t>
            </w: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19.92</w:t>
            </w: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 xml:space="preserve">0.75 </w:t>
            </w:r>
          </w:p>
        </w:tc>
      </w:tr>
      <w:tr w:rsidR="00F44F7B">
        <w:trPr>
          <w:trHeight w:val="285"/>
        </w:trPr>
        <w:tc>
          <w:tcPr>
            <w:tcW w:w="905"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jc w:val="center"/>
              <w:rPr>
                <w:color w:val="0000FF"/>
                <w:sz w:val="21"/>
                <w:szCs w:val="21"/>
              </w:rPr>
            </w:pPr>
          </w:p>
        </w:tc>
        <w:tc>
          <w:tcPr>
            <w:tcW w:w="567"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jc w:val="center"/>
              <w:rPr>
                <w:color w:val="0000FF"/>
                <w:sz w:val="21"/>
                <w:szCs w:val="21"/>
              </w:rPr>
            </w:pP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表土回覆</w:t>
            </w:r>
          </w:p>
        </w:tc>
        <w:tc>
          <w:tcPr>
            <w:tcW w:w="65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jc w:val="center"/>
              <w:rPr>
                <w:color w:val="0000FF"/>
                <w:sz w:val="21"/>
                <w:szCs w:val="21"/>
              </w:rPr>
            </w:pP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m</w:t>
            </w:r>
            <w:r>
              <w:rPr>
                <w:color w:val="0000FF"/>
                <w:kern w:val="0"/>
                <w:sz w:val="21"/>
                <w:szCs w:val="21"/>
                <w:vertAlign w:val="superscript"/>
                <w:lang w:bidi="ar"/>
              </w:rPr>
              <w:t>3</w:t>
            </w:r>
          </w:p>
        </w:tc>
        <w:tc>
          <w:tcPr>
            <w:tcW w:w="60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375</w:t>
            </w: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22.42</w:t>
            </w: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 xml:space="preserve">0.84 </w:t>
            </w:r>
          </w:p>
        </w:tc>
      </w:tr>
      <w:tr w:rsidR="00F44F7B">
        <w:trPr>
          <w:trHeight w:val="285"/>
        </w:trPr>
        <w:tc>
          <w:tcPr>
            <w:tcW w:w="905"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jc w:val="center"/>
              <w:rPr>
                <w:color w:val="0000FF"/>
                <w:sz w:val="21"/>
                <w:szCs w:val="21"/>
              </w:rPr>
            </w:pP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植物措施</w:t>
            </w: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桂花树</w:t>
            </w:r>
          </w:p>
        </w:tc>
        <w:tc>
          <w:tcPr>
            <w:tcW w:w="65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jc w:val="center"/>
              <w:rPr>
                <w:color w:val="0000FF"/>
                <w:sz w:val="21"/>
                <w:szCs w:val="21"/>
              </w:rPr>
            </w:pP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株</w:t>
            </w:r>
          </w:p>
        </w:tc>
        <w:tc>
          <w:tcPr>
            <w:tcW w:w="60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30</w:t>
            </w: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82</w:t>
            </w: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 xml:space="preserve">0.25 </w:t>
            </w:r>
          </w:p>
        </w:tc>
      </w:tr>
      <w:tr w:rsidR="00F44F7B">
        <w:trPr>
          <w:trHeight w:val="285"/>
        </w:trPr>
        <w:tc>
          <w:tcPr>
            <w:tcW w:w="905"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jc w:val="center"/>
              <w:rPr>
                <w:color w:val="0000FF"/>
                <w:sz w:val="21"/>
                <w:szCs w:val="21"/>
              </w:rPr>
            </w:pPr>
          </w:p>
        </w:tc>
        <w:tc>
          <w:tcPr>
            <w:tcW w:w="567" w:type="pct"/>
            <w:vMerge w:val="restar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临时措施</w:t>
            </w: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排水沟</w:t>
            </w:r>
          </w:p>
        </w:tc>
        <w:tc>
          <w:tcPr>
            <w:tcW w:w="65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土质</w:t>
            </w: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m</w:t>
            </w:r>
          </w:p>
        </w:tc>
        <w:tc>
          <w:tcPr>
            <w:tcW w:w="60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90</w:t>
            </w: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20</w:t>
            </w: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 xml:space="preserve">0.18 </w:t>
            </w:r>
          </w:p>
        </w:tc>
      </w:tr>
      <w:tr w:rsidR="00F44F7B">
        <w:trPr>
          <w:trHeight w:val="285"/>
        </w:trPr>
        <w:tc>
          <w:tcPr>
            <w:tcW w:w="905"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jc w:val="center"/>
              <w:rPr>
                <w:color w:val="0000FF"/>
                <w:sz w:val="21"/>
                <w:szCs w:val="21"/>
              </w:rPr>
            </w:pPr>
          </w:p>
        </w:tc>
        <w:tc>
          <w:tcPr>
            <w:tcW w:w="567" w:type="pct"/>
            <w:vMerge/>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jc w:val="center"/>
              <w:rPr>
                <w:color w:val="0000FF"/>
                <w:sz w:val="21"/>
                <w:szCs w:val="21"/>
              </w:rPr>
            </w:pP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临时遮盖</w:t>
            </w:r>
          </w:p>
        </w:tc>
        <w:tc>
          <w:tcPr>
            <w:tcW w:w="65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防雨布</w:t>
            </w: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m</w:t>
            </w:r>
            <w:r>
              <w:rPr>
                <w:color w:val="0000FF"/>
                <w:kern w:val="0"/>
                <w:sz w:val="21"/>
                <w:szCs w:val="21"/>
                <w:vertAlign w:val="superscript"/>
                <w:lang w:bidi="ar"/>
              </w:rPr>
              <w:t>2</w:t>
            </w:r>
          </w:p>
        </w:tc>
        <w:tc>
          <w:tcPr>
            <w:tcW w:w="60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420</w:t>
            </w: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5.8</w:t>
            </w: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 xml:space="preserve">0.24 </w:t>
            </w:r>
          </w:p>
        </w:tc>
      </w:tr>
      <w:tr w:rsidR="00F44F7B">
        <w:trPr>
          <w:trHeight w:val="285"/>
        </w:trPr>
        <w:tc>
          <w:tcPr>
            <w:tcW w:w="1472" w:type="pct"/>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合计</w:t>
            </w: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jc w:val="center"/>
              <w:rPr>
                <w:color w:val="0000FF"/>
                <w:sz w:val="21"/>
                <w:szCs w:val="21"/>
              </w:rPr>
            </w:pPr>
          </w:p>
        </w:tc>
        <w:tc>
          <w:tcPr>
            <w:tcW w:w="653"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jc w:val="center"/>
              <w:rPr>
                <w:color w:val="0000FF"/>
                <w:sz w:val="21"/>
                <w:szCs w:val="21"/>
              </w:rPr>
            </w:pP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jc w:val="center"/>
              <w:rPr>
                <w:color w:val="0000FF"/>
                <w:sz w:val="21"/>
                <w:szCs w:val="21"/>
              </w:rPr>
            </w:pPr>
          </w:p>
        </w:tc>
        <w:tc>
          <w:tcPr>
            <w:tcW w:w="606"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jc w:val="center"/>
              <w:rPr>
                <w:color w:val="0000FF"/>
                <w:sz w:val="21"/>
                <w:szCs w:val="21"/>
              </w:rPr>
            </w:pP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F44F7B">
            <w:pPr>
              <w:jc w:val="center"/>
              <w:rPr>
                <w:color w:val="0000FF"/>
                <w:sz w:val="21"/>
                <w:szCs w:val="21"/>
              </w:rPr>
            </w:pPr>
          </w:p>
        </w:tc>
        <w:tc>
          <w:tcPr>
            <w:tcW w:w="567"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 xml:space="preserve">8.85 </w:t>
            </w:r>
          </w:p>
        </w:tc>
      </w:tr>
    </w:tbl>
    <w:p w:rsidR="00F44F7B" w:rsidRDefault="00F44F7B">
      <w:bookmarkStart w:id="168" w:name="_Toc30431"/>
      <w:bookmarkStart w:id="169" w:name="_Toc17005"/>
      <w:bookmarkStart w:id="170" w:name="_Toc61602719"/>
      <w:bookmarkStart w:id="171" w:name="_Toc61601223"/>
      <w:bookmarkStart w:id="172" w:name="_Toc61605706"/>
      <w:bookmarkEnd w:id="45"/>
      <w:bookmarkEnd w:id="46"/>
      <w:bookmarkEnd w:id="47"/>
      <w:bookmarkEnd w:id="48"/>
      <w:bookmarkEnd w:id="49"/>
      <w:bookmarkEnd w:id="50"/>
      <w:bookmarkEnd w:id="84"/>
      <w:bookmarkEnd w:id="85"/>
      <w:bookmarkEnd w:id="86"/>
      <w:bookmarkEnd w:id="87"/>
      <w:bookmarkEnd w:id="88"/>
      <w:bookmarkEnd w:id="89"/>
      <w:bookmarkEnd w:id="90"/>
      <w:bookmarkEnd w:id="91"/>
      <w:bookmarkEnd w:id="154"/>
    </w:p>
    <w:p w:rsidR="00F44F7B" w:rsidRDefault="00730D49">
      <w:pPr>
        <w:pStyle w:val="1"/>
        <w:rPr>
          <w:szCs w:val="22"/>
        </w:rPr>
      </w:pPr>
      <w:bookmarkStart w:id="173" w:name="_Toc6328"/>
      <w:r>
        <w:rPr>
          <w:rFonts w:hint="eastAsia"/>
          <w:szCs w:val="22"/>
        </w:rPr>
        <w:t>6</w:t>
      </w:r>
      <w:r>
        <w:rPr>
          <w:rFonts w:hint="eastAsia"/>
          <w:szCs w:val="22"/>
        </w:rPr>
        <w:t>水土保持监测</w:t>
      </w:r>
      <w:bookmarkEnd w:id="173"/>
    </w:p>
    <w:p w:rsidR="00F44F7B" w:rsidRDefault="00730D49">
      <w:pPr>
        <w:pStyle w:val="2"/>
        <w:spacing w:beforeLines="50" w:before="156"/>
        <w:rPr>
          <w:color w:val="0000FF"/>
          <w:szCs w:val="22"/>
        </w:rPr>
      </w:pPr>
      <w:bookmarkStart w:id="174" w:name="_Toc5749"/>
      <w:r>
        <w:rPr>
          <w:rFonts w:hint="eastAsia"/>
          <w:color w:val="0000FF"/>
          <w:szCs w:val="22"/>
        </w:rPr>
        <w:t>6.1</w:t>
      </w:r>
      <w:r>
        <w:rPr>
          <w:rFonts w:hint="eastAsia"/>
          <w:color w:val="0000FF"/>
          <w:szCs w:val="22"/>
        </w:rPr>
        <w:t>监测范围</w:t>
      </w:r>
      <w:bookmarkEnd w:id="168"/>
      <w:bookmarkEnd w:id="169"/>
      <w:bookmarkEnd w:id="174"/>
    </w:p>
    <w:p w:rsidR="00F44F7B" w:rsidRDefault="00730D49">
      <w:pPr>
        <w:pStyle w:val="13"/>
        <w:ind w:firstLine="480"/>
        <w:rPr>
          <w:color w:val="0000FF"/>
          <w:kern w:val="0"/>
        </w:rPr>
      </w:pPr>
      <w:r>
        <w:rPr>
          <w:color w:val="0000FF"/>
        </w:rPr>
        <w:t>本项目为建设类项目，根据《生产建设项目水土保持监测与评价标准》（</w:t>
      </w:r>
      <w:r>
        <w:rPr>
          <w:color w:val="0000FF"/>
        </w:rPr>
        <w:t>GB/T51240-2018</w:t>
      </w:r>
      <w:r>
        <w:rPr>
          <w:color w:val="0000FF"/>
        </w:rPr>
        <w:t>），水土保持监测范围包括工程建设征占、使用和其他扰动区域。结合本项目水土流失防治责任范围，确定本项目水土保持监测范围为</w:t>
      </w:r>
      <w:r>
        <w:rPr>
          <w:color w:val="0000FF"/>
          <w:kern w:val="0"/>
        </w:rPr>
        <w:t>建构筑物区、</w:t>
      </w:r>
      <w:r>
        <w:rPr>
          <w:color w:val="0000FF"/>
          <w:kern w:val="0"/>
        </w:rPr>
        <w:t>道路及硬化铺装区</w:t>
      </w:r>
      <w:r>
        <w:rPr>
          <w:color w:val="0000FF"/>
          <w:kern w:val="0"/>
        </w:rPr>
        <w:t>、景观绿化区及地下</w:t>
      </w:r>
      <w:r>
        <w:rPr>
          <w:rFonts w:hint="eastAsia"/>
          <w:color w:val="0000FF"/>
          <w:kern w:val="0"/>
        </w:rPr>
        <w:t>建构筑物区</w:t>
      </w:r>
      <w:r>
        <w:rPr>
          <w:color w:val="0000FF"/>
          <w:kern w:val="0"/>
        </w:rPr>
        <w:t>，防治范围共</w:t>
      </w:r>
      <w:r>
        <w:rPr>
          <w:rFonts w:hint="eastAsia"/>
          <w:color w:val="0000FF"/>
          <w:kern w:val="0"/>
        </w:rPr>
        <w:t>0.43</w:t>
      </w:r>
      <w:r>
        <w:rPr>
          <w:color w:val="0000FF"/>
          <w:kern w:val="0"/>
        </w:rPr>
        <w:t>hm</w:t>
      </w:r>
      <w:r>
        <w:rPr>
          <w:color w:val="0000FF"/>
          <w:kern w:val="0"/>
          <w:vertAlign w:val="superscript"/>
        </w:rPr>
        <w:t>2</w:t>
      </w:r>
      <w:r>
        <w:rPr>
          <w:color w:val="0000FF"/>
          <w:kern w:val="0"/>
        </w:rPr>
        <w:t>。</w:t>
      </w:r>
    </w:p>
    <w:p w:rsidR="00F44F7B" w:rsidRDefault="00730D49">
      <w:pPr>
        <w:pStyle w:val="13"/>
        <w:ind w:firstLine="480"/>
        <w:rPr>
          <w:color w:val="0000FF"/>
        </w:rPr>
      </w:pPr>
      <w:r>
        <w:rPr>
          <w:rFonts w:hint="eastAsia"/>
          <w:color w:val="0000FF"/>
        </w:rPr>
        <w:t>监测时段：</w:t>
      </w:r>
      <w:r>
        <w:rPr>
          <w:color w:val="0000FF"/>
        </w:rPr>
        <w:t>按照《开发建设项目水土保持技术规范》，该项目属于建设类点型项目。监测时段应从施工准备期前的背景值监测开始，至设计水平年结束。</w:t>
      </w:r>
    </w:p>
    <w:p w:rsidR="00F44F7B" w:rsidRDefault="00730D49">
      <w:pPr>
        <w:pStyle w:val="13"/>
        <w:ind w:firstLine="480"/>
        <w:rPr>
          <w:color w:val="0000FF"/>
          <w:lang w:val="zh-CN"/>
        </w:rPr>
      </w:pPr>
      <w:r>
        <w:rPr>
          <w:color w:val="0000FF"/>
          <w:kern w:val="0"/>
        </w:rPr>
        <w:t>由于本项目已于</w:t>
      </w:r>
      <w:r>
        <w:rPr>
          <w:color w:val="0000FF"/>
          <w:kern w:val="0"/>
        </w:rPr>
        <w:t>201</w:t>
      </w:r>
      <w:r>
        <w:rPr>
          <w:rFonts w:hint="eastAsia"/>
          <w:color w:val="0000FF"/>
          <w:kern w:val="0"/>
        </w:rPr>
        <w:t>7</w:t>
      </w:r>
      <w:r>
        <w:rPr>
          <w:color w:val="0000FF"/>
          <w:kern w:val="0"/>
        </w:rPr>
        <w:t>年</w:t>
      </w:r>
      <w:r>
        <w:rPr>
          <w:rFonts w:hint="eastAsia"/>
          <w:color w:val="0000FF"/>
          <w:kern w:val="0"/>
        </w:rPr>
        <w:t>12</w:t>
      </w:r>
      <w:r>
        <w:rPr>
          <w:color w:val="0000FF"/>
          <w:kern w:val="0"/>
        </w:rPr>
        <w:t>月</w:t>
      </w:r>
      <w:r>
        <w:rPr>
          <w:color w:val="0000FF"/>
          <w:kern w:val="0"/>
        </w:rPr>
        <w:t>底施工结束，本项目建设期间未开展水土保持监测工作，鉴于此，本方案补充试运行期间的监测，重点对项目林草恢复、工程措施运行及其防治效果进行监测。</w:t>
      </w:r>
      <w:r>
        <w:rPr>
          <w:rFonts w:hint="eastAsia"/>
          <w:color w:val="0000FF"/>
          <w:kern w:val="0"/>
        </w:rPr>
        <w:t>由于本方案布设了植物措施，故本项目</w:t>
      </w:r>
      <w:r>
        <w:rPr>
          <w:rFonts w:hint="eastAsia"/>
          <w:color w:val="0000FF"/>
          <w:kern w:val="0"/>
        </w:rPr>
        <w:t>监测时段至</w:t>
      </w:r>
      <w:r>
        <w:rPr>
          <w:rFonts w:hint="eastAsia"/>
          <w:color w:val="0000FF"/>
          <w:kern w:val="0"/>
        </w:rPr>
        <w:t>2021</w:t>
      </w:r>
      <w:r>
        <w:rPr>
          <w:rFonts w:hint="eastAsia"/>
          <w:color w:val="0000FF"/>
          <w:kern w:val="0"/>
        </w:rPr>
        <w:t>年</w:t>
      </w:r>
      <w:r>
        <w:rPr>
          <w:rFonts w:hint="eastAsia"/>
          <w:color w:val="0000FF"/>
          <w:kern w:val="0"/>
        </w:rPr>
        <w:t>12</w:t>
      </w:r>
      <w:r>
        <w:rPr>
          <w:rFonts w:hint="eastAsia"/>
          <w:color w:val="0000FF"/>
          <w:kern w:val="0"/>
        </w:rPr>
        <w:t>月底。监测时长为</w:t>
      </w:r>
      <w:r>
        <w:rPr>
          <w:rFonts w:hint="eastAsia"/>
          <w:color w:val="0000FF"/>
        </w:rPr>
        <w:t>10</w:t>
      </w:r>
      <w:r>
        <w:rPr>
          <w:rFonts w:hint="eastAsia"/>
          <w:color w:val="0000FF"/>
        </w:rPr>
        <w:t>个月</w:t>
      </w:r>
      <w:r>
        <w:rPr>
          <w:color w:val="0000FF"/>
          <w:lang w:val="zh-CN"/>
        </w:rPr>
        <w:t>。</w:t>
      </w:r>
    </w:p>
    <w:p w:rsidR="00F44F7B" w:rsidRDefault="00730D49">
      <w:pPr>
        <w:pStyle w:val="2"/>
        <w:spacing w:beforeLines="50" w:before="156"/>
        <w:rPr>
          <w:color w:val="0000FF"/>
          <w:szCs w:val="22"/>
          <w:lang w:val="zh-CN"/>
        </w:rPr>
      </w:pPr>
      <w:bookmarkStart w:id="175" w:name="_Toc7269"/>
      <w:bookmarkStart w:id="176" w:name="_Toc31433"/>
      <w:bookmarkStart w:id="177" w:name="_Toc20520"/>
      <w:r>
        <w:rPr>
          <w:rFonts w:hint="eastAsia"/>
          <w:color w:val="0000FF"/>
          <w:szCs w:val="22"/>
        </w:rPr>
        <w:t>6.2</w:t>
      </w:r>
      <w:r>
        <w:rPr>
          <w:rFonts w:hint="eastAsia"/>
          <w:color w:val="0000FF"/>
          <w:szCs w:val="22"/>
          <w:lang w:val="zh-CN"/>
        </w:rPr>
        <w:t>监测内容</w:t>
      </w:r>
      <w:bookmarkEnd w:id="175"/>
      <w:bookmarkEnd w:id="176"/>
      <w:bookmarkEnd w:id="177"/>
    </w:p>
    <w:p w:rsidR="00F44F7B" w:rsidRDefault="00730D49">
      <w:pPr>
        <w:pStyle w:val="13"/>
        <w:ind w:firstLine="480"/>
        <w:rPr>
          <w:color w:val="0000FF"/>
        </w:rPr>
      </w:pPr>
      <w:r>
        <w:rPr>
          <w:color w:val="0000FF"/>
        </w:rPr>
        <w:t>按照《生产建设项目水土保持监测与评价标准》（</w:t>
      </w:r>
      <w:r>
        <w:rPr>
          <w:color w:val="0000FF"/>
        </w:rPr>
        <w:t>GB/T51240-2018</w:t>
      </w:r>
      <w:r>
        <w:rPr>
          <w:color w:val="0000FF"/>
        </w:rPr>
        <w:t>）的规定，生产建设项目水土保持监测内容主要包括水土流失影响因子、水土流失状况、水土流失危害和水土保持措施的监测。</w:t>
      </w:r>
    </w:p>
    <w:p w:rsidR="00F44F7B" w:rsidRDefault="00730D49">
      <w:pPr>
        <w:pStyle w:val="13"/>
        <w:ind w:firstLine="480"/>
        <w:rPr>
          <w:color w:val="0000FF"/>
          <w:kern w:val="0"/>
        </w:rPr>
      </w:pPr>
      <w:r>
        <w:rPr>
          <w:color w:val="0000FF"/>
        </w:rPr>
        <w:t>本项目主体工程已经完工，构建筑物及道路区域已硬化，无水土流失产生，绿化</w:t>
      </w:r>
      <w:r>
        <w:rPr>
          <w:color w:val="0000FF"/>
        </w:rPr>
        <w:lastRenderedPageBreak/>
        <w:t>区域也已完工，因此，</w:t>
      </w:r>
      <w:r>
        <w:rPr>
          <w:color w:val="0000FF"/>
          <w:kern w:val="0"/>
        </w:rPr>
        <w:t>重点对项目林草恢复、工程措施运行及其防治效果进行监测。主要为以下方面：</w:t>
      </w:r>
    </w:p>
    <w:p w:rsidR="00F44F7B" w:rsidRDefault="00730D49">
      <w:pPr>
        <w:pStyle w:val="13"/>
        <w:ind w:firstLine="480"/>
        <w:rPr>
          <w:color w:val="0000FF"/>
          <w:kern w:val="0"/>
        </w:rPr>
      </w:pPr>
      <w:r>
        <w:rPr>
          <w:color w:val="0000FF"/>
          <w:kern w:val="0"/>
        </w:rPr>
        <w:t>（</w:t>
      </w:r>
      <w:r>
        <w:rPr>
          <w:color w:val="0000FF"/>
          <w:kern w:val="0"/>
        </w:rPr>
        <w:t>1</w:t>
      </w:r>
      <w:r>
        <w:rPr>
          <w:color w:val="0000FF"/>
          <w:kern w:val="0"/>
        </w:rPr>
        <w:t>）植物措施的种类、面积、分布、生长状况、成活率、保存率和林草覆盖率；</w:t>
      </w:r>
    </w:p>
    <w:p w:rsidR="00F44F7B" w:rsidRDefault="00730D49">
      <w:pPr>
        <w:pStyle w:val="13"/>
        <w:ind w:firstLine="480"/>
        <w:rPr>
          <w:color w:val="0000FF"/>
          <w:kern w:val="0"/>
        </w:rPr>
      </w:pPr>
      <w:r>
        <w:rPr>
          <w:color w:val="0000FF"/>
          <w:kern w:val="0"/>
        </w:rPr>
        <w:t>（</w:t>
      </w:r>
      <w:r>
        <w:rPr>
          <w:color w:val="0000FF"/>
          <w:kern w:val="0"/>
        </w:rPr>
        <w:t>2</w:t>
      </w:r>
      <w:r>
        <w:rPr>
          <w:color w:val="0000FF"/>
          <w:kern w:val="0"/>
        </w:rPr>
        <w:t>）工程措施的类型、数量、分布和完好程度；</w:t>
      </w:r>
    </w:p>
    <w:p w:rsidR="00F44F7B" w:rsidRDefault="00730D49">
      <w:pPr>
        <w:pStyle w:val="13"/>
        <w:ind w:firstLine="480"/>
        <w:rPr>
          <w:color w:val="0000FF"/>
          <w:kern w:val="0"/>
        </w:rPr>
      </w:pPr>
      <w:r>
        <w:rPr>
          <w:color w:val="0000FF"/>
          <w:kern w:val="0"/>
        </w:rPr>
        <w:t>（</w:t>
      </w:r>
      <w:r>
        <w:rPr>
          <w:color w:val="0000FF"/>
          <w:kern w:val="0"/>
        </w:rPr>
        <w:t>3</w:t>
      </w:r>
      <w:r>
        <w:rPr>
          <w:color w:val="0000FF"/>
          <w:kern w:val="0"/>
        </w:rPr>
        <w:t>）临时措施的类型、数量和分布；</w:t>
      </w:r>
    </w:p>
    <w:p w:rsidR="00F44F7B" w:rsidRDefault="00730D49">
      <w:pPr>
        <w:pStyle w:val="13"/>
        <w:ind w:firstLine="480"/>
        <w:rPr>
          <w:color w:val="0000FF"/>
          <w:kern w:val="0"/>
        </w:rPr>
      </w:pPr>
      <w:r>
        <w:rPr>
          <w:color w:val="0000FF"/>
          <w:kern w:val="0"/>
        </w:rPr>
        <w:t>（</w:t>
      </w:r>
      <w:r>
        <w:rPr>
          <w:color w:val="0000FF"/>
          <w:kern w:val="0"/>
        </w:rPr>
        <w:t>4</w:t>
      </w:r>
      <w:r>
        <w:rPr>
          <w:color w:val="0000FF"/>
          <w:kern w:val="0"/>
        </w:rPr>
        <w:t>）主体工程和各项水土保持的实施进展情况；</w:t>
      </w:r>
    </w:p>
    <w:p w:rsidR="00F44F7B" w:rsidRDefault="00730D49">
      <w:pPr>
        <w:pStyle w:val="13"/>
        <w:ind w:firstLine="480"/>
        <w:rPr>
          <w:color w:val="0000FF"/>
          <w:kern w:val="0"/>
        </w:rPr>
      </w:pPr>
      <w:r>
        <w:rPr>
          <w:color w:val="0000FF"/>
          <w:kern w:val="0"/>
        </w:rPr>
        <w:t>（</w:t>
      </w:r>
      <w:r>
        <w:rPr>
          <w:color w:val="0000FF"/>
          <w:kern w:val="0"/>
        </w:rPr>
        <w:t>5</w:t>
      </w:r>
      <w:r>
        <w:rPr>
          <w:color w:val="0000FF"/>
          <w:kern w:val="0"/>
        </w:rPr>
        <w:t>）水土保持措施对周边生态环境发挥的作用。</w:t>
      </w:r>
    </w:p>
    <w:p w:rsidR="00F44F7B" w:rsidRDefault="00730D49">
      <w:pPr>
        <w:pStyle w:val="2"/>
        <w:spacing w:beforeLines="50" w:before="156"/>
        <w:rPr>
          <w:color w:val="0000FF"/>
          <w:szCs w:val="22"/>
          <w:lang w:val="zh-CN"/>
        </w:rPr>
      </w:pPr>
      <w:bookmarkStart w:id="178" w:name="_Toc893"/>
      <w:bookmarkStart w:id="179" w:name="_Toc11533"/>
      <w:bookmarkStart w:id="180" w:name="_Toc30941"/>
      <w:r>
        <w:rPr>
          <w:rFonts w:hint="eastAsia"/>
          <w:color w:val="0000FF"/>
          <w:szCs w:val="22"/>
        </w:rPr>
        <w:t>6.3</w:t>
      </w:r>
      <w:r>
        <w:rPr>
          <w:rFonts w:hint="eastAsia"/>
          <w:color w:val="0000FF"/>
          <w:szCs w:val="22"/>
          <w:lang w:val="zh-CN"/>
        </w:rPr>
        <w:t>监测方法</w:t>
      </w:r>
      <w:bookmarkEnd w:id="178"/>
      <w:bookmarkEnd w:id="179"/>
      <w:bookmarkEnd w:id="180"/>
    </w:p>
    <w:p w:rsidR="00F44F7B" w:rsidRDefault="00730D49">
      <w:pPr>
        <w:pStyle w:val="13"/>
        <w:ind w:firstLine="482"/>
        <w:rPr>
          <w:b/>
          <w:bCs/>
          <w:color w:val="0000FF"/>
          <w:lang w:val="zh-CN"/>
        </w:rPr>
      </w:pPr>
      <w:r>
        <w:rPr>
          <w:rFonts w:hint="eastAsia"/>
          <w:b/>
          <w:bCs/>
          <w:color w:val="0000FF"/>
          <w:lang w:val="zh-CN"/>
        </w:rPr>
        <w:t>（一）</w:t>
      </w:r>
      <w:r>
        <w:rPr>
          <w:b/>
          <w:bCs/>
          <w:color w:val="0000FF"/>
          <w:lang w:val="zh-CN"/>
        </w:rPr>
        <w:t>资料分析法</w:t>
      </w:r>
    </w:p>
    <w:p w:rsidR="00F44F7B" w:rsidRDefault="00730D49">
      <w:pPr>
        <w:pStyle w:val="13"/>
        <w:ind w:firstLine="480"/>
        <w:rPr>
          <w:color w:val="0000FF"/>
          <w:lang w:val="zh-CN"/>
        </w:rPr>
      </w:pPr>
      <w:r>
        <w:rPr>
          <w:color w:val="0000FF"/>
          <w:lang w:val="zh-CN"/>
        </w:rPr>
        <w:t>前期建设水土保持状况摸底监测方案主要采用资料收集与室内分析相结合方法。</w:t>
      </w:r>
    </w:p>
    <w:p w:rsidR="00F44F7B" w:rsidRDefault="00730D49">
      <w:pPr>
        <w:pStyle w:val="13"/>
        <w:ind w:firstLine="480"/>
        <w:rPr>
          <w:color w:val="0000FF"/>
        </w:rPr>
      </w:pPr>
      <w:r>
        <w:rPr>
          <w:color w:val="0000FF"/>
        </w:rPr>
        <w:t>（</w:t>
      </w:r>
      <w:r>
        <w:rPr>
          <w:color w:val="0000FF"/>
        </w:rPr>
        <w:t>1</w:t>
      </w:r>
      <w:r>
        <w:rPr>
          <w:color w:val="0000FF"/>
        </w:rPr>
        <w:t>）收集、分析资料。收集内容包括：主体设计方案、施工组织设计、施工记录、施工监理资料、施工时气象水文资料等。</w:t>
      </w:r>
    </w:p>
    <w:p w:rsidR="00F44F7B" w:rsidRDefault="00730D49">
      <w:pPr>
        <w:pStyle w:val="13"/>
        <w:ind w:firstLine="480"/>
        <w:rPr>
          <w:color w:val="0000FF"/>
        </w:rPr>
      </w:pPr>
      <w:r>
        <w:rPr>
          <w:color w:val="0000FF"/>
        </w:rPr>
        <w:t>（</w:t>
      </w:r>
      <w:r>
        <w:rPr>
          <w:color w:val="0000FF"/>
        </w:rPr>
        <w:t>2</w:t>
      </w:r>
      <w:r>
        <w:rPr>
          <w:color w:val="0000FF"/>
        </w:rPr>
        <w:t>）具体内容和方法：根据项目施工记录及施工监理资料，结合项目主体设计方案、施工组织设计、咨询建设单位和施工单位，得出项目施工过程中产生的水土流失类型、强度，推断施工过程中产生的水土流失危害和影响。</w:t>
      </w:r>
    </w:p>
    <w:p w:rsidR="00F44F7B" w:rsidRDefault="00730D49">
      <w:pPr>
        <w:pStyle w:val="13"/>
        <w:ind w:firstLine="482"/>
        <w:rPr>
          <w:b/>
          <w:bCs/>
          <w:color w:val="0000FF"/>
          <w:lang w:val="zh-CN"/>
        </w:rPr>
      </w:pPr>
      <w:r>
        <w:rPr>
          <w:rFonts w:hint="eastAsia"/>
          <w:b/>
          <w:bCs/>
          <w:color w:val="0000FF"/>
          <w:lang w:val="zh-CN"/>
        </w:rPr>
        <w:t>（二）</w:t>
      </w:r>
      <w:r>
        <w:rPr>
          <w:b/>
          <w:bCs/>
          <w:color w:val="0000FF"/>
          <w:lang w:val="zh-CN"/>
        </w:rPr>
        <w:t>实地调查监测</w:t>
      </w:r>
    </w:p>
    <w:p w:rsidR="00F44F7B" w:rsidRDefault="00730D49">
      <w:pPr>
        <w:pStyle w:val="13"/>
        <w:ind w:firstLine="480"/>
        <w:rPr>
          <w:color w:val="0000FF"/>
        </w:rPr>
      </w:pPr>
      <w:r>
        <w:rPr>
          <w:color w:val="0000FF"/>
        </w:rPr>
        <w:t>通过现场调查，以了解</w:t>
      </w:r>
      <w:r>
        <w:rPr>
          <w:color w:val="0000FF"/>
          <w:kern w:val="0"/>
        </w:rPr>
        <w:t>工程措施运行情况及其防治效果</w:t>
      </w:r>
      <w:r>
        <w:rPr>
          <w:color w:val="0000FF"/>
        </w:rPr>
        <w:t>，对植被恢复情况采取设置样方的方式进行调查。</w:t>
      </w:r>
    </w:p>
    <w:p w:rsidR="00F44F7B" w:rsidRDefault="00730D49">
      <w:pPr>
        <w:pStyle w:val="13"/>
        <w:ind w:firstLine="480"/>
        <w:rPr>
          <w:color w:val="0000FF"/>
        </w:rPr>
      </w:pPr>
      <w:r>
        <w:rPr>
          <w:rFonts w:hint="eastAsia"/>
          <w:color w:val="0000FF"/>
          <w:lang w:val="zh-CN"/>
        </w:rPr>
        <w:t>监测点位：</w:t>
      </w:r>
      <w:r>
        <w:rPr>
          <w:color w:val="0000FF"/>
        </w:rPr>
        <w:t>考虑到本项目主体工程已完工，因此本项目仅对植被恢复期进行水土保持监测，由于本项目林草恢复期主要为景观绿化，因此水土保持监测重点设定为景观绿化区，设</w:t>
      </w:r>
      <w:r>
        <w:rPr>
          <w:rFonts w:hint="eastAsia"/>
          <w:color w:val="0000FF"/>
        </w:rPr>
        <w:t>2</w:t>
      </w:r>
      <w:r>
        <w:rPr>
          <w:color w:val="0000FF"/>
        </w:rPr>
        <w:t>个监测点</w:t>
      </w:r>
      <w:r>
        <w:rPr>
          <w:color w:val="0000FF"/>
        </w:rPr>
        <w:t>。</w:t>
      </w:r>
    </w:p>
    <w:p w:rsidR="00F44F7B" w:rsidRDefault="00F44F7B">
      <w:pPr>
        <w:pStyle w:val="13"/>
        <w:ind w:firstLine="480"/>
        <w:rPr>
          <w:color w:val="0000FF"/>
        </w:rPr>
      </w:pPr>
    </w:p>
    <w:p w:rsidR="00F44F7B" w:rsidRDefault="00730D49">
      <w:pPr>
        <w:pStyle w:val="1"/>
        <w:rPr>
          <w:szCs w:val="22"/>
        </w:rPr>
      </w:pPr>
      <w:bookmarkStart w:id="181" w:name="_Toc29655"/>
      <w:r>
        <w:rPr>
          <w:rFonts w:hint="eastAsia"/>
          <w:szCs w:val="22"/>
        </w:rPr>
        <w:t>7</w:t>
      </w:r>
      <w:r>
        <w:rPr>
          <w:rFonts w:hint="eastAsia"/>
          <w:szCs w:val="22"/>
        </w:rPr>
        <w:t>水土保持投资概算及效益分析</w:t>
      </w:r>
      <w:bookmarkEnd w:id="181"/>
    </w:p>
    <w:p w:rsidR="00F44F7B" w:rsidRDefault="00730D49">
      <w:pPr>
        <w:pStyle w:val="2"/>
      </w:pPr>
      <w:bookmarkStart w:id="182" w:name="_Toc21669"/>
      <w:bookmarkStart w:id="183" w:name="_Toc141666439"/>
      <w:bookmarkStart w:id="184" w:name="_Toc205693026"/>
      <w:bookmarkStart w:id="185" w:name="_Toc158454429"/>
      <w:bookmarkStart w:id="186" w:name="_Toc7858"/>
      <w:r>
        <w:rPr>
          <w:rFonts w:hint="eastAsia"/>
        </w:rPr>
        <w:t>7</w:t>
      </w:r>
      <w:r>
        <w:t>.1</w:t>
      </w:r>
      <w:r>
        <w:t>投资概算</w:t>
      </w:r>
      <w:bookmarkEnd w:id="182"/>
    </w:p>
    <w:p w:rsidR="00F44F7B" w:rsidRDefault="00730D49">
      <w:pPr>
        <w:pStyle w:val="3"/>
      </w:pPr>
      <w:r>
        <w:rPr>
          <w:rFonts w:hint="eastAsia"/>
        </w:rPr>
        <w:t>7</w:t>
      </w:r>
      <w:r>
        <w:t>.1.1</w:t>
      </w:r>
      <w:r>
        <w:t>编制原则</w:t>
      </w:r>
      <w:bookmarkEnd w:id="183"/>
      <w:bookmarkEnd w:id="184"/>
      <w:bookmarkEnd w:id="185"/>
      <w:r>
        <w:t>及依据</w:t>
      </w:r>
    </w:p>
    <w:p w:rsidR="00F44F7B" w:rsidRDefault="00730D49">
      <w:pPr>
        <w:keepNext/>
        <w:keepLines/>
        <w:spacing w:line="360" w:lineRule="auto"/>
        <w:ind w:firstLineChars="200" w:firstLine="482"/>
        <w:rPr>
          <w:b/>
          <w:bCs/>
        </w:rPr>
      </w:pPr>
      <w:bookmarkStart w:id="187" w:name="OLE_LINK301"/>
      <w:bookmarkStart w:id="188" w:name="_Toc317684759"/>
      <w:r>
        <w:rPr>
          <w:b/>
          <w:bCs/>
        </w:rPr>
        <w:t>一、</w:t>
      </w:r>
      <w:r>
        <w:rPr>
          <w:b/>
          <w:bCs/>
          <w:lang w:val="zh-CN"/>
        </w:rPr>
        <w:t>编制原则</w:t>
      </w:r>
    </w:p>
    <w:p w:rsidR="00F44F7B" w:rsidRDefault="00730D49">
      <w:pPr>
        <w:spacing w:line="360" w:lineRule="auto"/>
        <w:ind w:firstLine="480"/>
        <w:rPr>
          <w:bCs/>
          <w:iCs/>
        </w:rPr>
      </w:pPr>
      <w:r>
        <w:rPr>
          <w:bCs/>
          <w:iCs/>
        </w:rPr>
        <w:t>（</w:t>
      </w:r>
      <w:r>
        <w:rPr>
          <w:bCs/>
          <w:iCs/>
        </w:rPr>
        <w:t>1</w:t>
      </w:r>
      <w:r>
        <w:rPr>
          <w:bCs/>
          <w:iCs/>
        </w:rPr>
        <w:t>）遵循国家和地方颁布的有关水土保持政策法规；</w:t>
      </w:r>
    </w:p>
    <w:p w:rsidR="00F44F7B" w:rsidRDefault="00730D49">
      <w:pPr>
        <w:spacing w:line="360" w:lineRule="auto"/>
        <w:ind w:firstLine="480"/>
        <w:rPr>
          <w:bCs/>
          <w:iCs/>
        </w:rPr>
      </w:pPr>
      <w:r>
        <w:rPr>
          <w:bCs/>
          <w:iCs/>
        </w:rPr>
        <w:t>（</w:t>
      </w:r>
      <w:r>
        <w:rPr>
          <w:bCs/>
          <w:iCs/>
        </w:rPr>
        <w:t>2</w:t>
      </w:r>
      <w:r>
        <w:rPr>
          <w:bCs/>
          <w:iCs/>
        </w:rPr>
        <w:t>）编制深度与主体工程一致，按初步设计阶段编制投资概算；</w:t>
      </w:r>
    </w:p>
    <w:p w:rsidR="00F44F7B" w:rsidRDefault="00730D49">
      <w:pPr>
        <w:spacing w:line="360" w:lineRule="auto"/>
        <w:ind w:firstLine="480"/>
        <w:rPr>
          <w:bCs/>
          <w:iCs/>
        </w:rPr>
      </w:pPr>
      <w:r>
        <w:rPr>
          <w:bCs/>
          <w:iCs/>
        </w:rPr>
        <w:lastRenderedPageBreak/>
        <w:t>（</w:t>
      </w:r>
      <w:r>
        <w:rPr>
          <w:bCs/>
          <w:iCs/>
        </w:rPr>
        <w:t>3</w:t>
      </w:r>
      <w:r>
        <w:rPr>
          <w:bCs/>
          <w:iCs/>
        </w:rPr>
        <w:t>）本方案编制的价格水平年以</w:t>
      </w:r>
      <w:r>
        <w:rPr>
          <w:bCs/>
          <w:iCs/>
        </w:rPr>
        <w:t>20</w:t>
      </w:r>
      <w:r>
        <w:rPr>
          <w:rFonts w:hint="eastAsia"/>
          <w:bCs/>
          <w:iCs/>
        </w:rPr>
        <w:t>21</w:t>
      </w:r>
      <w:r>
        <w:rPr>
          <w:bCs/>
          <w:iCs/>
        </w:rPr>
        <w:t>年第</w:t>
      </w:r>
      <w:r>
        <w:rPr>
          <w:rFonts w:hint="eastAsia"/>
          <w:bCs/>
          <w:iCs/>
        </w:rPr>
        <w:t>一</w:t>
      </w:r>
      <w:r>
        <w:rPr>
          <w:bCs/>
          <w:iCs/>
        </w:rPr>
        <w:t>季度市场价格为准；</w:t>
      </w:r>
    </w:p>
    <w:p w:rsidR="00F44F7B" w:rsidRDefault="00730D49">
      <w:pPr>
        <w:spacing w:line="360" w:lineRule="auto"/>
        <w:ind w:firstLineChars="200" w:firstLine="480"/>
        <w:rPr>
          <w:bCs/>
          <w:iCs/>
          <w:szCs w:val="24"/>
        </w:rPr>
      </w:pPr>
      <w:r>
        <w:rPr>
          <w:bCs/>
          <w:iCs/>
        </w:rPr>
        <w:t>（</w:t>
      </w:r>
      <w:r>
        <w:rPr>
          <w:bCs/>
          <w:iCs/>
        </w:rPr>
        <w:t>4</w:t>
      </w:r>
      <w:r>
        <w:rPr>
          <w:bCs/>
          <w:iCs/>
        </w:rPr>
        <w:t>）</w:t>
      </w:r>
      <w:r>
        <w:rPr>
          <w:bCs/>
          <w:iCs/>
          <w:szCs w:val="24"/>
        </w:rPr>
        <w:t>主体工程已有单价采用主体工程单价，未计列部分按水利部水总〔</w:t>
      </w:r>
      <w:r>
        <w:rPr>
          <w:bCs/>
          <w:iCs/>
          <w:szCs w:val="24"/>
        </w:rPr>
        <w:t>2003</w:t>
      </w:r>
      <w:r>
        <w:rPr>
          <w:bCs/>
          <w:iCs/>
          <w:szCs w:val="24"/>
        </w:rPr>
        <w:t>〕</w:t>
      </w:r>
      <w:r>
        <w:rPr>
          <w:bCs/>
          <w:iCs/>
          <w:szCs w:val="24"/>
        </w:rPr>
        <w:t>67</w:t>
      </w:r>
      <w:r>
        <w:rPr>
          <w:bCs/>
          <w:iCs/>
          <w:szCs w:val="24"/>
        </w:rPr>
        <w:t>号及</w:t>
      </w:r>
      <w:r>
        <w:rPr>
          <w:szCs w:val="24"/>
        </w:rPr>
        <w:t>《水利工程概（估）算编制规定》（水总</w:t>
      </w:r>
      <w:r>
        <w:rPr>
          <w:bCs/>
          <w:iCs/>
          <w:szCs w:val="24"/>
        </w:rPr>
        <w:t>〔</w:t>
      </w:r>
      <w:r>
        <w:rPr>
          <w:bCs/>
          <w:iCs/>
          <w:szCs w:val="24"/>
        </w:rPr>
        <w:t>2014</w:t>
      </w:r>
      <w:r>
        <w:rPr>
          <w:bCs/>
          <w:iCs/>
          <w:szCs w:val="24"/>
        </w:rPr>
        <w:t>〕</w:t>
      </w:r>
      <w:r>
        <w:rPr>
          <w:szCs w:val="24"/>
        </w:rPr>
        <w:t>429</w:t>
      </w:r>
      <w:r>
        <w:rPr>
          <w:szCs w:val="24"/>
        </w:rPr>
        <w:t>号）等</w:t>
      </w:r>
      <w:r>
        <w:rPr>
          <w:bCs/>
          <w:iCs/>
          <w:szCs w:val="24"/>
        </w:rPr>
        <w:t>文件补充完善；</w:t>
      </w:r>
    </w:p>
    <w:p w:rsidR="00F44F7B" w:rsidRDefault="00730D49">
      <w:pPr>
        <w:spacing w:line="360" w:lineRule="auto"/>
        <w:ind w:firstLine="480"/>
        <w:rPr>
          <w:bCs/>
          <w:iCs/>
        </w:rPr>
      </w:pPr>
      <w:r>
        <w:rPr>
          <w:bCs/>
          <w:iCs/>
        </w:rPr>
        <w:t>（</w:t>
      </w:r>
      <w:r>
        <w:rPr>
          <w:bCs/>
          <w:iCs/>
        </w:rPr>
        <w:t>5</w:t>
      </w:r>
      <w:r>
        <w:rPr>
          <w:bCs/>
          <w:iCs/>
        </w:rPr>
        <w:t>）建设过程中发生的水土流失防治费用，从基本建设投资中列支；</w:t>
      </w:r>
    </w:p>
    <w:p w:rsidR="00F44F7B" w:rsidRDefault="00730D49">
      <w:pPr>
        <w:spacing w:line="360" w:lineRule="auto"/>
        <w:ind w:firstLine="480"/>
        <w:rPr>
          <w:bCs/>
          <w:iCs/>
        </w:rPr>
      </w:pPr>
      <w:r>
        <w:rPr>
          <w:bCs/>
          <w:iCs/>
        </w:rPr>
        <w:t>（</w:t>
      </w:r>
      <w:r>
        <w:rPr>
          <w:bCs/>
          <w:iCs/>
        </w:rPr>
        <w:t>6</w:t>
      </w:r>
      <w:r>
        <w:rPr>
          <w:bCs/>
          <w:iCs/>
        </w:rPr>
        <w:t>）本工程水土保持投资概算作为主体工程投资概算组成部分，计入总投资概算中。</w:t>
      </w:r>
    </w:p>
    <w:p w:rsidR="00F44F7B" w:rsidRDefault="00730D49">
      <w:pPr>
        <w:keepNext/>
        <w:keepLines/>
        <w:spacing w:line="360" w:lineRule="auto"/>
        <w:ind w:firstLineChars="200" w:firstLine="482"/>
        <w:rPr>
          <w:b/>
          <w:bCs/>
          <w:lang w:val="zh-CN"/>
        </w:rPr>
      </w:pPr>
      <w:r>
        <w:rPr>
          <w:b/>
          <w:bCs/>
        </w:rPr>
        <w:t>二、</w:t>
      </w:r>
      <w:r>
        <w:rPr>
          <w:b/>
          <w:bCs/>
          <w:lang w:val="zh-CN"/>
        </w:rPr>
        <w:t>编制依据</w:t>
      </w:r>
    </w:p>
    <w:p w:rsidR="00F44F7B" w:rsidRDefault="00730D49">
      <w:pPr>
        <w:spacing w:line="360" w:lineRule="auto"/>
        <w:ind w:firstLine="480"/>
        <w:rPr>
          <w:bCs/>
          <w:iCs/>
          <w:szCs w:val="22"/>
        </w:rPr>
      </w:pPr>
      <w:r>
        <w:rPr>
          <w:bCs/>
          <w:iCs/>
          <w:szCs w:val="22"/>
        </w:rPr>
        <w:t>本工程水土保持方案费用估算主要编制依据包括：</w:t>
      </w:r>
    </w:p>
    <w:p w:rsidR="00F44F7B" w:rsidRDefault="00730D49">
      <w:pPr>
        <w:spacing w:line="360" w:lineRule="auto"/>
        <w:ind w:firstLine="480"/>
        <w:rPr>
          <w:bCs/>
          <w:iCs/>
          <w:szCs w:val="22"/>
        </w:rPr>
      </w:pPr>
      <w:r>
        <w:rPr>
          <w:rFonts w:hint="eastAsia"/>
          <w:bCs/>
          <w:iCs/>
          <w:szCs w:val="22"/>
        </w:rPr>
        <w:t>（</w:t>
      </w:r>
      <w:r>
        <w:rPr>
          <w:rFonts w:hint="eastAsia"/>
          <w:bCs/>
          <w:iCs/>
          <w:szCs w:val="22"/>
        </w:rPr>
        <w:t>1</w:t>
      </w:r>
      <w:r>
        <w:rPr>
          <w:rFonts w:hint="eastAsia"/>
          <w:bCs/>
          <w:iCs/>
          <w:szCs w:val="22"/>
        </w:rPr>
        <w:t>）</w:t>
      </w:r>
      <w:r>
        <w:rPr>
          <w:bCs/>
          <w:iCs/>
          <w:szCs w:val="22"/>
        </w:rPr>
        <w:t>《水土保持工程概（估）算编制规定和定额》（水总</w:t>
      </w:r>
      <w:r>
        <w:rPr>
          <w:bCs/>
          <w:iCs/>
          <w:szCs w:val="22"/>
        </w:rPr>
        <w:t>[2003]67</w:t>
      </w:r>
      <w:r>
        <w:rPr>
          <w:bCs/>
          <w:iCs/>
          <w:szCs w:val="22"/>
        </w:rPr>
        <w:t>号文）；</w:t>
      </w:r>
    </w:p>
    <w:p w:rsidR="00F44F7B" w:rsidRDefault="00730D49">
      <w:pPr>
        <w:spacing w:line="360" w:lineRule="auto"/>
        <w:ind w:firstLine="480"/>
        <w:rPr>
          <w:bCs/>
          <w:iCs/>
          <w:szCs w:val="22"/>
        </w:rPr>
      </w:pPr>
      <w:r>
        <w:rPr>
          <w:rFonts w:hint="eastAsia"/>
          <w:bCs/>
          <w:iCs/>
          <w:szCs w:val="22"/>
        </w:rPr>
        <w:t>（</w:t>
      </w:r>
      <w:r>
        <w:rPr>
          <w:rFonts w:hint="eastAsia"/>
          <w:bCs/>
          <w:iCs/>
          <w:szCs w:val="22"/>
        </w:rPr>
        <w:t>2</w:t>
      </w:r>
      <w:r>
        <w:rPr>
          <w:rFonts w:hint="eastAsia"/>
          <w:bCs/>
          <w:iCs/>
          <w:szCs w:val="22"/>
        </w:rPr>
        <w:t>）</w:t>
      </w:r>
      <w:r>
        <w:rPr>
          <w:rFonts w:hint="eastAsia"/>
          <w:bCs/>
          <w:iCs/>
          <w:szCs w:val="22"/>
        </w:rPr>
        <w:t>《四川省水利水电工程设计概</w:t>
      </w:r>
      <w:r>
        <w:rPr>
          <w:rFonts w:hint="eastAsia"/>
          <w:bCs/>
          <w:iCs/>
          <w:szCs w:val="22"/>
        </w:rPr>
        <w:t>(</w:t>
      </w:r>
      <w:r>
        <w:rPr>
          <w:rFonts w:hint="eastAsia"/>
          <w:bCs/>
          <w:iCs/>
          <w:szCs w:val="22"/>
        </w:rPr>
        <w:t>估</w:t>
      </w:r>
      <w:r>
        <w:rPr>
          <w:rFonts w:hint="eastAsia"/>
          <w:bCs/>
          <w:iCs/>
          <w:szCs w:val="22"/>
        </w:rPr>
        <w:t>)</w:t>
      </w:r>
      <w:r>
        <w:rPr>
          <w:rFonts w:hint="eastAsia"/>
          <w:bCs/>
          <w:iCs/>
          <w:szCs w:val="22"/>
        </w:rPr>
        <w:t>算编制规定》（川水发</w:t>
      </w:r>
      <w:r>
        <w:rPr>
          <w:rFonts w:hint="eastAsia"/>
          <w:bCs/>
          <w:iCs/>
          <w:szCs w:val="22"/>
        </w:rPr>
        <w:t>[2015]9</w:t>
      </w:r>
      <w:r>
        <w:rPr>
          <w:rFonts w:hint="eastAsia"/>
          <w:bCs/>
          <w:iCs/>
          <w:szCs w:val="22"/>
        </w:rPr>
        <w:t>号）；</w:t>
      </w:r>
    </w:p>
    <w:p w:rsidR="00F44F7B" w:rsidRDefault="00730D49">
      <w:pPr>
        <w:spacing w:line="360" w:lineRule="auto"/>
        <w:ind w:firstLine="480"/>
        <w:rPr>
          <w:bCs/>
          <w:iCs/>
          <w:szCs w:val="22"/>
        </w:rPr>
      </w:pPr>
      <w:r>
        <w:rPr>
          <w:rFonts w:hint="eastAsia"/>
          <w:bCs/>
          <w:iCs/>
          <w:szCs w:val="22"/>
        </w:rPr>
        <w:t>（</w:t>
      </w:r>
      <w:r>
        <w:rPr>
          <w:rFonts w:hint="eastAsia"/>
          <w:bCs/>
          <w:iCs/>
          <w:szCs w:val="22"/>
        </w:rPr>
        <w:t>3</w:t>
      </w:r>
      <w:r>
        <w:rPr>
          <w:rFonts w:hint="eastAsia"/>
          <w:bCs/>
          <w:iCs/>
          <w:szCs w:val="22"/>
        </w:rPr>
        <w:t>）水利部办公厅《关于调整水利工程计价依据增值税计算标准的通知》（办财务函</w:t>
      </w:r>
      <w:r>
        <w:rPr>
          <w:rFonts w:hint="eastAsia"/>
          <w:bCs/>
          <w:iCs/>
          <w:szCs w:val="22"/>
        </w:rPr>
        <w:t>[2019]448</w:t>
      </w:r>
      <w:r>
        <w:rPr>
          <w:rFonts w:hint="eastAsia"/>
          <w:bCs/>
          <w:iCs/>
          <w:szCs w:val="22"/>
        </w:rPr>
        <w:t>号）；</w:t>
      </w:r>
    </w:p>
    <w:p w:rsidR="00F44F7B" w:rsidRDefault="00730D49">
      <w:pPr>
        <w:spacing w:line="360" w:lineRule="auto"/>
        <w:ind w:firstLine="480"/>
        <w:rPr>
          <w:bCs/>
          <w:iCs/>
          <w:szCs w:val="22"/>
        </w:rPr>
      </w:pPr>
      <w:r>
        <w:rPr>
          <w:rFonts w:hint="eastAsia"/>
          <w:bCs/>
          <w:iCs/>
          <w:szCs w:val="22"/>
        </w:rPr>
        <w:t>（</w:t>
      </w:r>
      <w:r>
        <w:rPr>
          <w:rFonts w:hint="eastAsia"/>
          <w:bCs/>
          <w:iCs/>
          <w:szCs w:val="22"/>
        </w:rPr>
        <w:t>4</w:t>
      </w:r>
      <w:r>
        <w:rPr>
          <w:rFonts w:hint="eastAsia"/>
          <w:bCs/>
          <w:iCs/>
          <w:szCs w:val="22"/>
        </w:rPr>
        <w:t>）四川省水利厅关于印发《增值税税率调整后</w:t>
      </w:r>
      <w:r>
        <w:rPr>
          <w:rFonts w:hint="eastAsia"/>
          <w:bCs/>
          <w:iCs/>
          <w:szCs w:val="22"/>
        </w:rPr>
        <w:t>&lt;</w:t>
      </w:r>
      <w:r>
        <w:rPr>
          <w:rFonts w:hint="eastAsia"/>
          <w:bCs/>
          <w:iCs/>
          <w:szCs w:val="22"/>
        </w:rPr>
        <w:t>四川省水利水电工程设计概（估）算编制规定</w:t>
      </w:r>
      <w:r>
        <w:rPr>
          <w:rFonts w:hint="eastAsia"/>
          <w:bCs/>
          <w:iCs/>
          <w:szCs w:val="22"/>
        </w:rPr>
        <w:t>&gt;</w:t>
      </w:r>
      <w:r>
        <w:rPr>
          <w:rFonts w:hint="eastAsia"/>
          <w:bCs/>
          <w:iCs/>
          <w:szCs w:val="22"/>
        </w:rPr>
        <w:t>相应调整办法》的通知（川水函</w:t>
      </w:r>
      <w:r>
        <w:rPr>
          <w:rFonts w:hint="eastAsia"/>
          <w:bCs/>
          <w:iCs/>
          <w:szCs w:val="22"/>
        </w:rPr>
        <w:t>[2019]610</w:t>
      </w:r>
      <w:r>
        <w:rPr>
          <w:rFonts w:hint="eastAsia"/>
          <w:bCs/>
          <w:iCs/>
          <w:szCs w:val="22"/>
        </w:rPr>
        <w:t>号）；</w:t>
      </w:r>
      <w:r>
        <w:rPr>
          <w:rFonts w:hint="eastAsia"/>
          <w:bCs/>
          <w:iCs/>
          <w:szCs w:val="22"/>
        </w:rPr>
        <w:t xml:space="preserve"> </w:t>
      </w:r>
    </w:p>
    <w:p w:rsidR="00F44F7B" w:rsidRDefault="00730D49">
      <w:pPr>
        <w:spacing w:line="360" w:lineRule="auto"/>
        <w:ind w:firstLine="480"/>
        <w:rPr>
          <w:bCs/>
          <w:iCs/>
          <w:szCs w:val="22"/>
        </w:rPr>
      </w:pPr>
      <w:r>
        <w:rPr>
          <w:rFonts w:hint="eastAsia"/>
          <w:bCs/>
          <w:iCs/>
          <w:szCs w:val="22"/>
        </w:rPr>
        <w:t>（</w:t>
      </w:r>
      <w:r>
        <w:rPr>
          <w:rFonts w:hint="eastAsia"/>
          <w:bCs/>
          <w:iCs/>
          <w:szCs w:val="22"/>
        </w:rPr>
        <w:t>5</w:t>
      </w:r>
      <w:r>
        <w:rPr>
          <w:rFonts w:hint="eastAsia"/>
          <w:bCs/>
          <w:iCs/>
          <w:szCs w:val="22"/>
        </w:rPr>
        <w:t>）四川省发展和改革委员会、四川省财政厅印发《关于制定水土保持补偿费收费标准的通知》（川发改价格</w:t>
      </w:r>
      <w:r>
        <w:rPr>
          <w:rFonts w:hint="eastAsia"/>
          <w:bCs/>
          <w:iCs/>
          <w:szCs w:val="22"/>
        </w:rPr>
        <w:t>[2017]347</w:t>
      </w:r>
      <w:r>
        <w:rPr>
          <w:rFonts w:hint="eastAsia"/>
          <w:bCs/>
          <w:iCs/>
          <w:szCs w:val="22"/>
        </w:rPr>
        <w:t>号）；</w:t>
      </w:r>
    </w:p>
    <w:p w:rsidR="00F44F7B" w:rsidRDefault="00730D49">
      <w:pPr>
        <w:spacing w:line="360" w:lineRule="auto"/>
        <w:ind w:firstLine="480"/>
        <w:rPr>
          <w:bCs/>
          <w:iCs/>
          <w:szCs w:val="22"/>
        </w:rPr>
      </w:pPr>
      <w:r>
        <w:rPr>
          <w:rFonts w:hint="eastAsia"/>
          <w:bCs/>
          <w:iCs/>
          <w:szCs w:val="22"/>
        </w:rPr>
        <w:t>（</w:t>
      </w:r>
      <w:r>
        <w:rPr>
          <w:rFonts w:hint="eastAsia"/>
          <w:bCs/>
          <w:iCs/>
          <w:szCs w:val="22"/>
        </w:rPr>
        <w:t>6</w:t>
      </w:r>
      <w:r>
        <w:rPr>
          <w:rFonts w:hint="eastAsia"/>
          <w:bCs/>
          <w:iCs/>
          <w:szCs w:val="22"/>
        </w:rPr>
        <w:t>）</w:t>
      </w:r>
      <w:r>
        <w:rPr>
          <w:bCs/>
          <w:iCs/>
          <w:szCs w:val="22"/>
        </w:rPr>
        <w:t>《成都市等</w:t>
      </w:r>
      <w:r>
        <w:rPr>
          <w:bCs/>
          <w:iCs/>
          <w:szCs w:val="22"/>
        </w:rPr>
        <w:t>18</w:t>
      </w:r>
      <w:r>
        <w:rPr>
          <w:bCs/>
          <w:iCs/>
          <w:szCs w:val="22"/>
        </w:rPr>
        <w:t>个市、州</w:t>
      </w:r>
      <w:r>
        <w:rPr>
          <w:bCs/>
          <w:iCs/>
          <w:szCs w:val="22"/>
        </w:rPr>
        <w:t>2015</w:t>
      </w:r>
      <w:r>
        <w:rPr>
          <w:bCs/>
          <w:iCs/>
          <w:szCs w:val="22"/>
        </w:rPr>
        <w:t>年《四川省建设工程工程量清单计价</w:t>
      </w:r>
      <w:r>
        <w:rPr>
          <w:bCs/>
          <w:iCs/>
          <w:szCs w:val="22"/>
        </w:rPr>
        <w:t>定额》人工费调整幅度及计日工人工单价》。</w:t>
      </w:r>
    </w:p>
    <w:p w:rsidR="00F44F7B" w:rsidRDefault="00730D49">
      <w:pPr>
        <w:keepNext/>
        <w:keepLines/>
        <w:spacing w:line="360" w:lineRule="auto"/>
        <w:ind w:firstLineChars="200" w:firstLine="482"/>
        <w:rPr>
          <w:b/>
          <w:bCs/>
          <w:lang w:val="zh-CN"/>
        </w:rPr>
      </w:pPr>
      <w:r>
        <w:rPr>
          <w:b/>
          <w:bCs/>
        </w:rPr>
        <w:t>三、</w:t>
      </w:r>
      <w:r>
        <w:rPr>
          <w:b/>
          <w:bCs/>
          <w:lang w:val="zh-CN"/>
        </w:rPr>
        <w:t>编制方法及计算标准</w:t>
      </w:r>
    </w:p>
    <w:p w:rsidR="00F44F7B" w:rsidRDefault="00730D49">
      <w:pPr>
        <w:spacing w:line="360" w:lineRule="auto"/>
        <w:ind w:firstLineChars="192" w:firstLine="461"/>
      </w:pPr>
      <w:r>
        <w:t>水土保持工程投资分为水土保持工程静态投资和水土保持补偿费两大部分。水土保持工程静态投资由水土保持工程措施、植物措施、监测措施、临时措施、独立费用和预备费</w:t>
      </w:r>
      <w:r>
        <w:t>6</w:t>
      </w:r>
      <w:r>
        <w:t>部分组成。</w:t>
      </w:r>
    </w:p>
    <w:p w:rsidR="00F44F7B" w:rsidRDefault="00730D49">
      <w:pPr>
        <w:spacing w:line="360" w:lineRule="auto"/>
        <w:ind w:firstLineChars="192" w:firstLine="461"/>
      </w:pPr>
      <w:r>
        <w:t>1</w:t>
      </w:r>
      <w:r>
        <w:t>、基础单价</w:t>
      </w:r>
    </w:p>
    <w:p w:rsidR="00F44F7B" w:rsidRDefault="00730D49">
      <w:pPr>
        <w:spacing w:line="360" w:lineRule="auto"/>
        <w:ind w:firstLineChars="192" w:firstLine="461"/>
      </w:pPr>
      <w:r>
        <w:t>（</w:t>
      </w:r>
      <w:r>
        <w:t>1</w:t>
      </w:r>
      <w:r>
        <w:t>）人工预算单价</w:t>
      </w:r>
    </w:p>
    <w:p w:rsidR="00F44F7B" w:rsidRDefault="00730D49">
      <w:pPr>
        <w:pStyle w:val="ad"/>
        <w:ind w:firstLine="480"/>
      </w:pPr>
      <w:r>
        <w:t>引用主体。人工费（含机械工）单价按</w:t>
      </w:r>
      <w:r>
        <w:t>73.2</w:t>
      </w:r>
      <w:r>
        <w:t>元</w:t>
      </w:r>
      <w:r>
        <w:t>/</w:t>
      </w:r>
      <w:r>
        <w:t>工日，</w:t>
      </w:r>
      <w:r>
        <w:t>9.15</w:t>
      </w:r>
      <w:r>
        <w:t>元</w:t>
      </w:r>
      <w:r>
        <w:t>/</w:t>
      </w:r>
      <w:r>
        <w:t>工时。</w:t>
      </w:r>
    </w:p>
    <w:p w:rsidR="00F44F7B" w:rsidRDefault="00730D49">
      <w:pPr>
        <w:spacing w:line="360" w:lineRule="auto"/>
        <w:ind w:firstLineChars="192" w:firstLine="461"/>
      </w:pPr>
      <w:r>
        <w:t>（</w:t>
      </w:r>
      <w:r>
        <w:t>2</w:t>
      </w:r>
      <w:r>
        <w:t>）主要材料预算价格。</w:t>
      </w:r>
    </w:p>
    <w:p w:rsidR="00F44F7B" w:rsidRDefault="00730D49">
      <w:pPr>
        <w:pStyle w:val="ad"/>
        <w:ind w:firstLine="480"/>
      </w:pPr>
      <w:r>
        <w:t>工程单价及材料预算价格引用主体工程相关单价以及采用《</w:t>
      </w:r>
      <w:r>
        <w:rPr>
          <w:rFonts w:hint="eastAsia"/>
        </w:rPr>
        <w:t>四川</w:t>
      </w:r>
      <w:r>
        <w:t>省建设工程造价信息》（</w:t>
      </w:r>
      <w:r>
        <w:t>20</w:t>
      </w:r>
      <w:r>
        <w:rPr>
          <w:rFonts w:hint="eastAsia"/>
        </w:rPr>
        <w:t>21</w:t>
      </w:r>
      <w:r>
        <w:t>年第</w:t>
      </w:r>
      <w:r>
        <w:rPr>
          <w:rFonts w:hint="eastAsia"/>
        </w:rPr>
        <w:t>1</w:t>
      </w:r>
      <w:r>
        <w:rPr>
          <w:rFonts w:hint="eastAsia"/>
        </w:rPr>
        <w:t>季度</w:t>
      </w:r>
      <w:r>
        <w:t>）的价格，工程单价及材料预算价格如：</w:t>
      </w:r>
    </w:p>
    <w:p w:rsidR="00F44F7B" w:rsidRDefault="00730D49">
      <w:pPr>
        <w:pStyle w:val="af5"/>
        <w:widowControl w:val="0"/>
        <w:adjustRightInd w:val="0"/>
        <w:snapToGrid w:val="0"/>
        <w:jc w:val="center"/>
      </w:pPr>
      <w:r>
        <w:rPr>
          <w:sz w:val="22"/>
          <w:szCs w:val="22"/>
        </w:rPr>
        <w:t>表</w:t>
      </w:r>
      <w:r>
        <w:rPr>
          <w:rFonts w:hint="eastAsia"/>
          <w:sz w:val="22"/>
          <w:szCs w:val="22"/>
        </w:rPr>
        <w:t>7</w:t>
      </w:r>
      <w:r>
        <w:rPr>
          <w:sz w:val="22"/>
          <w:szCs w:val="22"/>
        </w:rPr>
        <w:t xml:space="preserve">-1   </w:t>
      </w:r>
      <w:r>
        <w:rPr>
          <w:sz w:val="22"/>
          <w:szCs w:val="22"/>
        </w:rPr>
        <w:t xml:space="preserve"> </w:t>
      </w:r>
      <w:r>
        <w:rPr>
          <w:sz w:val="22"/>
          <w:szCs w:val="22"/>
        </w:rPr>
        <w:t>材料价格汇总表</w:t>
      </w:r>
    </w:p>
    <w:tbl>
      <w:tblPr>
        <w:tblW w:w="5000" w:type="pct"/>
        <w:tblCellMar>
          <w:top w:w="15" w:type="dxa"/>
          <w:left w:w="15" w:type="dxa"/>
          <w:bottom w:w="15" w:type="dxa"/>
          <w:right w:w="15" w:type="dxa"/>
        </w:tblCellMar>
        <w:tblLook w:val="04A0" w:firstRow="1" w:lastRow="0" w:firstColumn="1" w:lastColumn="0" w:noHBand="0" w:noVBand="1"/>
      </w:tblPr>
      <w:tblGrid>
        <w:gridCol w:w="1212"/>
        <w:gridCol w:w="1829"/>
        <w:gridCol w:w="1510"/>
        <w:gridCol w:w="1938"/>
        <w:gridCol w:w="2289"/>
      </w:tblGrid>
      <w:tr w:rsidR="00F44F7B">
        <w:trPr>
          <w:trHeight w:hRule="exact" w:val="330"/>
        </w:trPr>
        <w:tc>
          <w:tcPr>
            <w:tcW w:w="690" w:type="pct"/>
            <w:tcBorders>
              <w:top w:val="single" w:sz="4" w:space="0" w:color="000000"/>
              <w:left w:val="single" w:sz="4" w:space="0" w:color="000000"/>
              <w:bottom w:val="single" w:sz="4" w:space="0" w:color="000000"/>
              <w:right w:val="single" w:sz="4" w:space="0" w:color="000000"/>
            </w:tcBorders>
            <w:vAlign w:val="center"/>
          </w:tcPr>
          <w:p w:rsidR="00F44F7B" w:rsidRDefault="00730D49">
            <w:pPr>
              <w:widowControl/>
              <w:jc w:val="center"/>
              <w:textAlignment w:val="center"/>
              <w:rPr>
                <w:kern w:val="0"/>
                <w:sz w:val="21"/>
                <w:szCs w:val="21"/>
                <w:lang w:bidi="ar"/>
              </w:rPr>
            </w:pPr>
            <w:r>
              <w:rPr>
                <w:kern w:val="0"/>
                <w:sz w:val="21"/>
                <w:szCs w:val="21"/>
                <w:lang w:bidi="ar"/>
              </w:rPr>
              <w:t>序号</w:t>
            </w:r>
          </w:p>
        </w:tc>
        <w:tc>
          <w:tcPr>
            <w:tcW w:w="1041" w:type="pct"/>
            <w:tcBorders>
              <w:top w:val="single" w:sz="4" w:space="0" w:color="000000"/>
              <w:left w:val="single" w:sz="4" w:space="0" w:color="000000"/>
              <w:bottom w:val="single" w:sz="4" w:space="0" w:color="000000"/>
              <w:right w:val="single" w:sz="4" w:space="0" w:color="000000"/>
            </w:tcBorders>
            <w:vAlign w:val="center"/>
          </w:tcPr>
          <w:p w:rsidR="00F44F7B" w:rsidRDefault="00730D49">
            <w:pPr>
              <w:widowControl/>
              <w:jc w:val="center"/>
              <w:textAlignment w:val="center"/>
              <w:rPr>
                <w:kern w:val="0"/>
                <w:sz w:val="21"/>
                <w:szCs w:val="21"/>
                <w:lang w:bidi="ar"/>
              </w:rPr>
            </w:pPr>
            <w:r>
              <w:rPr>
                <w:kern w:val="0"/>
                <w:sz w:val="21"/>
                <w:szCs w:val="21"/>
                <w:lang w:bidi="ar"/>
              </w:rPr>
              <w:t>名称及规格</w:t>
            </w:r>
          </w:p>
        </w:tc>
        <w:tc>
          <w:tcPr>
            <w:tcW w:w="860" w:type="pct"/>
            <w:tcBorders>
              <w:top w:val="single" w:sz="4" w:space="0" w:color="000000"/>
              <w:left w:val="single" w:sz="4" w:space="0" w:color="000000"/>
              <w:bottom w:val="single" w:sz="4" w:space="0" w:color="000000"/>
              <w:right w:val="single" w:sz="4" w:space="0" w:color="000000"/>
            </w:tcBorders>
            <w:vAlign w:val="center"/>
          </w:tcPr>
          <w:p w:rsidR="00F44F7B" w:rsidRDefault="00730D49">
            <w:pPr>
              <w:widowControl/>
              <w:jc w:val="center"/>
              <w:textAlignment w:val="center"/>
              <w:rPr>
                <w:kern w:val="0"/>
                <w:sz w:val="21"/>
                <w:szCs w:val="21"/>
                <w:lang w:bidi="ar"/>
              </w:rPr>
            </w:pPr>
            <w:r>
              <w:rPr>
                <w:kern w:val="0"/>
                <w:sz w:val="21"/>
                <w:szCs w:val="21"/>
                <w:lang w:bidi="ar"/>
              </w:rPr>
              <w:t>单位</w:t>
            </w:r>
          </w:p>
        </w:tc>
        <w:tc>
          <w:tcPr>
            <w:tcW w:w="1104" w:type="pct"/>
            <w:tcBorders>
              <w:top w:val="single" w:sz="4" w:space="0" w:color="000000"/>
              <w:left w:val="single" w:sz="4" w:space="0" w:color="000000"/>
              <w:bottom w:val="single" w:sz="4" w:space="0" w:color="000000"/>
              <w:right w:val="single" w:sz="4" w:space="0" w:color="000000"/>
            </w:tcBorders>
            <w:vAlign w:val="center"/>
          </w:tcPr>
          <w:p w:rsidR="00F44F7B" w:rsidRDefault="00730D49">
            <w:pPr>
              <w:widowControl/>
              <w:jc w:val="center"/>
              <w:textAlignment w:val="center"/>
              <w:rPr>
                <w:kern w:val="0"/>
                <w:sz w:val="21"/>
                <w:szCs w:val="21"/>
                <w:lang w:bidi="ar"/>
              </w:rPr>
            </w:pPr>
            <w:r>
              <w:rPr>
                <w:kern w:val="0"/>
                <w:sz w:val="21"/>
                <w:szCs w:val="21"/>
                <w:lang w:bidi="ar"/>
              </w:rPr>
              <w:t>价格依据</w:t>
            </w:r>
          </w:p>
        </w:tc>
        <w:tc>
          <w:tcPr>
            <w:tcW w:w="1303" w:type="pct"/>
            <w:tcBorders>
              <w:top w:val="single" w:sz="4" w:space="0" w:color="000000"/>
              <w:left w:val="single" w:sz="4" w:space="0" w:color="000000"/>
              <w:bottom w:val="single" w:sz="4" w:space="0" w:color="000000"/>
              <w:right w:val="single" w:sz="4" w:space="0" w:color="000000"/>
            </w:tcBorders>
            <w:vAlign w:val="center"/>
          </w:tcPr>
          <w:p w:rsidR="00F44F7B" w:rsidRDefault="00730D49">
            <w:pPr>
              <w:widowControl/>
              <w:jc w:val="center"/>
              <w:textAlignment w:val="center"/>
              <w:rPr>
                <w:kern w:val="0"/>
                <w:sz w:val="21"/>
                <w:szCs w:val="21"/>
                <w:lang w:bidi="ar"/>
              </w:rPr>
            </w:pPr>
            <w:r>
              <w:rPr>
                <w:kern w:val="0"/>
                <w:sz w:val="21"/>
                <w:szCs w:val="21"/>
                <w:lang w:bidi="ar"/>
              </w:rPr>
              <w:t>概算价格（元）</w:t>
            </w:r>
          </w:p>
        </w:tc>
      </w:tr>
      <w:tr w:rsidR="00F44F7B">
        <w:trPr>
          <w:trHeight w:hRule="exact" w:val="414"/>
        </w:trPr>
        <w:tc>
          <w:tcPr>
            <w:tcW w:w="690" w:type="pct"/>
            <w:tcBorders>
              <w:top w:val="single" w:sz="4" w:space="0" w:color="000000"/>
              <w:left w:val="single" w:sz="4" w:space="0" w:color="000000"/>
              <w:bottom w:val="single" w:sz="4" w:space="0" w:color="000000"/>
              <w:right w:val="single" w:sz="4" w:space="0" w:color="000000"/>
            </w:tcBorders>
            <w:vAlign w:val="center"/>
          </w:tcPr>
          <w:p w:rsidR="00F44F7B" w:rsidRDefault="00730D49">
            <w:pPr>
              <w:widowControl/>
              <w:jc w:val="center"/>
              <w:textAlignment w:val="center"/>
              <w:rPr>
                <w:kern w:val="0"/>
                <w:sz w:val="21"/>
                <w:szCs w:val="21"/>
                <w:lang w:bidi="ar"/>
              </w:rPr>
            </w:pPr>
            <w:r>
              <w:rPr>
                <w:kern w:val="0"/>
                <w:sz w:val="21"/>
                <w:szCs w:val="21"/>
                <w:lang w:bidi="ar"/>
              </w:rPr>
              <w:lastRenderedPageBreak/>
              <w:t>1</w:t>
            </w:r>
          </w:p>
        </w:tc>
        <w:tc>
          <w:tcPr>
            <w:tcW w:w="1041" w:type="pct"/>
            <w:tcBorders>
              <w:top w:val="single" w:sz="4" w:space="0" w:color="000000"/>
              <w:left w:val="single" w:sz="4" w:space="0" w:color="000000"/>
              <w:bottom w:val="single" w:sz="4" w:space="0" w:color="000000"/>
              <w:right w:val="single" w:sz="4" w:space="0" w:color="000000"/>
            </w:tcBorders>
            <w:vAlign w:val="center"/>
          </w:tcPr>
          <w:p w:rsidR="00F44F7B" w:rsidRDefault="00730D49">
            <w:pPr>
              <w:widowControl/>
              <w:jc w:val="center"/>
              <w:textAlignment w:val="center"/>
              <w:rPr>
                <w:kern w:val="0"/>
                <w:sz w:val="21"/>
                <w:szCs w:val="21"/>
                <w:lang w:bidi="ar"/>
              </w:rPr>
            </w:pPr>
            <w:r>
              <w:rPr>
                <w:kern w:val="0"/>
                <w:sz w:val="21"/>
                <w:szCs w:val="21"/>
                <w:lang w:bidi="ar"/>
              </w:rPr>
              <w:t>42.5</w:t>
            </w:r>
            <w:r>
              <w:rPr>
                <w:kern w:val="0"/>
                <w:sz w:val="21"/>
                <w:szCs w:val="21"/>
                <w:lang w:bidi="ar"/>
              </w:rPr>
              <w:t>水泥（袋装）</w:t>
            </w:r>
          </w:p>
        </w:tc>
        <w:tc>
          <w:tcPr>
            <w:tcW w:w="860" w:type="pct"/>
            <w:tcBorders>
              <w:top w:val="single" w:sz="4" w:space="0" w:color="000000"/>
              <w:left w:val="single" w:sz="4" w:space="0" w:color="000000"/>
              <w:bottom w:val="single" w:sz="4" w:space="0" w:color="000000"/>
              <w:right w:val="single" w:sz="4" w:space="0" w:color="000000"/>
            </w:tcBorders>
            <w:vAlign w:val="center"/>
          </w:tcPr>
          <w:p w:rsidR="00F44F7B" w:rsidRDefault="00730D49">
            <w:pPr>
              <w:widowControl/>
              <w:jc w:val="center"/>
              <w:textAlignment w:val="center"/>
              <w:rPr>
                <w:kern w:val="0"/>
                <w:sz w:val="21"/>
                <w:szCs w:val="21"/>
                <w:lang w:bidi="ar"/>
              </w:rPr>
            </w:pPr>
            <w:r>
              <w:rPr>
                <w:kern w:val="0"/>
                <w:sz w:val="21"/>
                <w:szCs w:val="21"/>
                <w:lang w:bidi="ar"/>
              </w:rPr>
              <w:t>t</w:t>
            </w:r>
          </w:p>
        </w:tc>
        <w:tc>
          <w:tcPr>
            <w:tcW w:w="1104" w:type="pct"/>
            <w:tcBorders>
              <w:top w:val="single" w:sz="4" w:space="0" w:color="000000"/>
              <w:left w:val="single" w:sz="4" w:space="0" w:color="000000"/>
              <w:bottom w:val="single" w:sz="4" w:space="0" w:color="000000"/>
              <w:right w:val="single" w:sz="4" w:space="0" w:color="000000"/>
            </w:tcBorders>
            <w:vAlign w:val="center"/>
          </w:tcPr>
          <w:p w:rsidR="00F44F7B" w:rsidRDefault="00730D49">
            <w:pPr>
              <w:widowControl/>
              <w:jc w:val="center"/>
              <w:textAlignment w:val="center"/>
              <w:rPr>
                <w:kern w:val="0"/>
                <w:sz w:val="21"/>
                <w:szCs w:val="21"/>
                <w:lang w:bidi="ar"/>
              </w:rPr>
            </w:pPr>
            <w:r>
              <w:rPr>
                <w:kern w:val="0"/>
                <w:sz w:val="21"/>
                <w:szCs w:val="21"/>
                <w:lang w:bidi="ar"/>
              </w:rPr>
              <w:t>引用主体</w:t>
            </w:r>
          </w:p>
        </w:tc>
        <w:tc>
          <w:tcPr>
            <w:tcW w:w="1303" w:type="pct"/>
            <w:tcBorders>
              <w:top w:val="single" w:sz="4" w:space="0" w:color="000000"/>
              <w:left w:val="single" w:sz="4" w:space="0" w:color="000000"/>
              <w:bottom w:val="single" w:sz="4" w:space="0" w:color="000000"/>
              <w:right w:val="single" w:sz="4" w:space="0" w:color="000000"/>
            </w:tcBorders>
            <w:vAlign w:val="center"/>
          </w:tcPr>
          <w:p w:rsidR="00F44F7B" w:rsidRDefault="00730D49">
            <w:pPr>
              <w:widowControl/>
              <w:jc w:val="center"/>
              <w:textAlignment w:val="center"/>
              <w:rPr>
                <w:kern w:val="0"/>
                <w:sz w:val="21"/>
                <w:szCs w:val="21"/>
                <w:lang w:bidi="ar"/>
              </w:rPr>
            </w:pPr>
            <w:r>
              <w:rPr>
                <w:kern w:val="0"/>
                <w:sz w:val="21"/>
                <w:szCs w:val="21"/>
                <w:lang w:bidi="ar"/>
              </w:rPr>
              <w:t>432.91</w:t>
            </w:r>
          </w:p>
        </w:tc>
      </w:tr>
      <w:tr w:rsidR="00F44F7B">
        <w:trPr>
          <w:trHeight w:hRule="exact" w:val="404"/>
        </w:trPr>
        <w:tc>
          <w:tcPr>
            <w:tcW w:w="690" w:type="pct"/>
            <w:tcBorders>
              <w:top w:val="single" w:sz="4" w:space="0" w:color="000000"/>
              <w:left w:val="single" w:sz="4" w:space="0" w:color="000000"/>
              <w:bottom w:val="single" w:sz="4" w:space="0" w:color="000000"/>
              <w:right w:val="single" w:sz="4" w:space="0" w:color="000000"/>
            </w:tcBorders>
            <w:vAlign w:val="center"/>
          </w:tcPr>
          <w:p w:rsidR="00F44F7B" w:rsidRDefault="00730D49">
            <w:pPr>
              <w:widowControl/>
              <w:jc w:val="center"/>
              <w:textAlignment w:val="center"/>
              <w:rPr>
                <w:kern w:val="0"/>
                <w:sz w:val="21"/>
                <w:szCs w:val="21"/>
                <w:lang w:bidi="ar"/>
              </w:rPr>
            </w:pPr>
            <w:r>
              <w:rPr>
                <w:kern w:val="0"/>
                <w:sz w:val="21"/>
                <w:szCs w:val="21"/>
                <w:lang w:bidi="ar"/>
              </w:rPr>
              <w:t>2</w:t>
            </w:r>
          </w:p>
        </w:tc>
        <w:tc>
          <w:tcPr>
            <w:tcW w:w="1041" w:type="pct"/>
            <w:tcBorders>
              <w:top w:val="single" w:sz="4" w:space="0" w:color="000000"/>
              <w:left w:val="single" w:sz="4" w:space="0" w:color="000000"/>
              <w:bottom w:val="single" w:sz="4" w:space="0" w:color="000000"/>
              <w:right w:val="single" w:sz="4" w:space="0" w:color="000000"/>
            </w:tcBorders>
            <w:vAlign w:val="center"/>
          </w:tcPr>
          <w:p w:rsidR="00F44F7B" w:rsidRDefault="00730D49">
            <w:pPr>
              <w:widowControl/>
              <w:jc w:val="center"/>
              <w:textAlignment w:val="center"/>
              <w:rPr>
                <w:kern w:val="0"/>
                <w:sz w:val="21"/>
                <w:szCs w:val="21"/>
                <w:lang w:bidi="ar"/>
              </w:rPr>
            </w:pPr>
            <w:r>
              <w:rPr>
                <w:kern w:val="0"/>
                <w:sz w:val="21"/>
                <w:szCs w:val="21"/>
                <w:lang w:bidi="ar"/>
              </w:rPr>
              <w:t>炸药</w:t>
            </w:r>
          </w:p>
        </w:tc>
        <w:tc>
          <w:tcPr>
            <w:tcW w:w="860" w:type="pct"/>
            <w:tcBorders>
              <w:top w:val="single" w:sz="4" w:space="0" w:color="000000"/>
              <w:left w:val="single" w:sz="4" w:space="0" w:color="000000"/>
              <w:bottom w:val="single" w:sz="4" w:space="0" w:color="000000"/>
              <w:right w:val="single" w:sz="4" w:space="0" w:color="000000"/>
            </w:tcBorders>
            <w:vAlign w:val="center"/>
          </w:tcPr>
          <w:p w:rsidR="00F44F7B" w:rsidRDefault="00730D49">
            <w:pPr>
              <w:widowControl/>
              <w:jc w:val="center"/>
              <w:textAlignment w:val="center"/>
              <w:rPr>
                <w:kern w:val="0"/>
                <w:sz w:val="21"/>
                <w:szCs w:val="21"/>
                <w:lang w:bidi="ar"/>
              </w:rPr>
            </w:pPr>
            <w:r>
              <w:rPr>
                <w:kern w:val="0"/>
                <w:sz w:val="21"/>
                <w:szCs w:val="21"/>
                <w:lang w:bidi="ar"/>
              </w:rPr>
              <w:t>kg</w:t>
            </w:r>
          </w:p>
        </w:tc>
        <w:tc>
          <w:tcPr>
            <w:tcW w:w="1104" w:type="pct"/>
            <w:tcBorders>
              <w:top w:val="single" w:sz="4" w:space="0" w:color="000000"/>
              <w:left w:val="single" w:sz="4" w:space="0" w:color="000000"/>
              <w:bottom w:val="single" w:sz="4" w:space="0" w:color="000000"/>
              <w:right w:val="single" w:sz="4" w:space="0" w:color="000000"/>
            </w:tcBorders>
            <w:vAlign w:val="center"/>
          </w:tcPr>
          <w:p w:rsidR="00F44F7B" w:rsidRDefault="00730D49">
            <w:pPr>
              <w:widowControl/>
              <w:jc w:val="center"/>
              <w:textAlignment w:val="center"/>
              <w:rPr>
                <w:kern w:val="0"/>
                <w:sz w:val="21"/>
                <w:szCs w:val="21"/>
                <w:lang w:bidi="ar"/>
              </w:rPr>
            </w:pPr>
            <w:r>
              <w:rPr>
                <w:kern w:val="0"/>
                <w:sz w:val="21"/>
                <w:szCs w:val="21"/>
                <w:lang w:bidi="ar"/>
              </w:rPr>
              <w:t>引用主体</w:t>
            </w:r>
          </w:p>
        </w:tc>
        <w:tc>
          <w:tcPr>
            <w:tcW w:w="1303" w:type="pct"/>
            <w:tcBorders>
              <w:top w:val="single" w:sz="4" w:space="0" w:color="000000"/>
              <w:left w:val="single" w:sz="4" w:space="0" w:color="000000"/>
              <w:bottom w:val="single" w:sz="4" w:space="0" w:color="000000"/>
              <w:right w:val="single" w:sz="4" w:space="0" w:color="000000"/>
            </w:tcBorders>
            <w:vAlign w:val="center"/>
          </w:tcPr>
          <w:p w:rsidR="00F44F7B" w:rsidRDefault="00730D49">
            <w:pPr>
              <w:widowControl/>
              <w:jc w:val="center"/>
              <w:textAlignment w:val="center"/>
              <w:rPr>
                <w:kern w:val="0"/>
                <w:sz w:val="21"/>
                <w:szCs w:val="21"/>
                <w:lang w:bidi="ar"/>
              </w:rPr>
            </w:pPr>
            <w:r>
              <w:rPr>
                <w:kern w:val="0"/>
                <w:sz w:val="21"/>
                <w:szCs w:val="21"/>
                <w:lang w:bidi="ar"/>
              </w:rPr>
              <w:t>25.42</w:t>
            </w:r>
          </w:p>
        </w:tc>
      </w:tr>
      <w:tr w:rsidR="00F44F7B">
        <w:trPr>
          <w:trHeight w:hRule="exact" w:val="380"/>
        </w:trPr>
        <w:tc>
          <w:tcPr>
            <w:tcW w:w="690" w:type="pct"/>
            <w:tcBorders>
              <w:top w:val="single" w:sz="4" w:space="0" w:color="000000"/>
              <w:left w:val="single" w:sz="4" w:space="0" w:color="000000"/>
              <w:bottom w:val="single" w:sz="4" w:space="0" w:color="000000"/>
              <w:right w:val="single" w:sz="4" w:space="0" w:color="000000"/>
            </w:tcBorders>
            <w:vAlign w:val="center"/>
          </w:tcPr>
          <w:p w:rsidR="00F44F7B" w:rsidRDefault="00730D49">
            <w:pPr>
              <w:widowControl/>
              <w:jc w:val="center"/>
              <w:textAlignment w:val="center"/>
              <w:rPr>
                <w:kern w:val="0"/>
                <w:sz w:val="21"/>
                <w:szCs w:val="21"/>
                <w:lang w:bidi="ar"/>
              </w:rPr>
            </w:pPr>
            <w:r>
              <w:rPr>
                <w:kern w:val="0"/>
                <w:sz w:val="21"/>
                <w:szCs w:val="21"/>
                <w:lang w:bidi="ar"/>
              </w:rPr>
              <w:t>3</w:t>
            </w:r>
          </w:p>
        </w:tc>
        <w:tc>
          <w:tcPr>
            <w:tcW w:w="1041" w:type="pct"/>
            <w:tcBorders>
              <w:top w:val="single" w:sz="4" w:space="0" w:color="000000"/>
              <w:left w:val="single" w:sz="4" w:space="0" w:color="000000"/>
              <w:bottom w:val="single" w:sz="4" w:space="0" w:color="000000"/>
              <w:right w:val="single" w:sz="4" w:space="0" w:color="000000"/>
            </w:tcBorders>
            <w:vAlign w:val="center"/>
          </w:tcPr>
          <w:p w:rsidR="00F44F7B" w:rsidRDefault="00730D49">
            <w:pPr>
              <w:widowControl/>
              <w:jc w:val="center"/>
              <w:textAlignment w:val="center"/>
              <w:rPr>
                <w:kern w:val="0"/>
                <w:sz w:val="21"/>
                <w:szCs w:val="21"/>
                <w:lang w:bidi="ar"/>
              </w:rPr>
            </w:pPr>
            <w:r>
              <w:rPr>
                <w:kern w:val="0"/>
                <w:sz w:val="21"/>
                <w:szCs w:val="21"/>
                <w:lang w:bidi="ar"/>
              </w:rPr>
              <w:t>雷管</w:t>
            </w:r>
          </w:p>
        </w:tc>
        <w:tc>
          <w:tcPr>
            <w:tcW w:w="860" w:type="pct"/>
            <w:tcBorders>
              <w:top w:val="single" w:sz="4" w:space="0" w:color="000000"/>
              <w:left w:val="single" w:sz="4" w:space="0" w:color="000000"/>
              <w:bottom w:val="single" w:sz="4" w:space="0" w:color="000000"/>
              <w:right w:val="single" w:sz="4" w:space="0" w:color="000000"/>
            </w:tcBorders>
            <w:vAlign w:val="center"/>
          </w:tcPr>
          <w:p w:rsidR="00F44F7B" w:rsidRDefault="00730D49">
            <w:pPr>
              <w:widowControl/>
              <w:jc w:val="center"/>
              <w:textAlignment w:val="center"/>
              <w:rPr>
                <w:kern w:val="0"/>
                <w:sz w:val="21"/>
                <w:szCs w:val="21"/>
                <w:lang w:bidi="ar"/>
              </w:rPr>
            </w:pPr>
            <w:r>
              <w:rPr>
                <w:kern w:val="0"/>
                <w:sz w:val="21"/>
                <w:szCs w:val="21"/>
                <w:lang w:bidi="ar"/>
              </w:rPr>
              <w:t>个</w:t>
            </w:r>
          </w:p>
        </w:tc>
        <w:tc>
          <w:tcPr>
            <w:tcW w:w="1104" w:type="pct"/>
            <w:tcBorders>
              <w:top w:val="single" w:sz="4" w:space="0" w:color="000000"/>
              <w:left w:val="single" w:sz="4" w:space="0" w:color="000000"/>
              <w:bottom w:val="single" w:sz="4" w:space="0" w:color="000000"/>
              <w:right w:val="single" w:sz="4" w:space="0" w:color="000000"/>
            </w:tcBorders>
            <w:vAlign w:val="center"/>
          </w:tcPr>
          <w:p w:rsidR="00F44F7B" w:rsidRDefault="00730D49">
            <w:pPr>
              <w:widowControl/>
              <w:jc w:val="center"/>
              <w:textAlignment w:val="center"/>
              <w:rPr>
                <w:kern w:val="0"/>
                <w:sz w:val="21"/>
                <w:szCs w:val="21"/>
                <w:lang w:bidi="ar"/>
              </w:rPr>
            </w:pPr>
            <w:r>
              <w:rPr>
                <w:kern w:val="0"/>
                <w:sz w:val="21"/>
                <w:szCs w:val="21"/>
                <w:lang w:bidi="ar"/>
              </w:rPr>
              <w:t>引用主体</w:t>
            </w:r>
          </w:p>
        </w:tc>
        <w:tc>
          <w:tcPr>
            <w:tcW w:w="1303" w:type="pct"/>
            <w:tcBorders>
              <w:top w:val="single" w:sz="4" w:space="0" w:color="000000"/>
              <w:left w:val="single" w:sz="4" w:space="0" w:color="000000"/>
              <w:bottom w:val="single" w:sz="4" w:space="0" w:color="000000"/>
              <w:right w:val="single" w:sz="4" w:space="0" w:color="000000"/>
            </w:tcBorders>
            <w:vAlign w:val="center"/>
          </w:tcPr>
          <w:p w:rsidR="00F44F7B" w:rsidRDefault="00730D49">
            <w:pPr>
              <w:widowControl/>
              <w:jc w:val="center"/>
              <w:textAlignment w:val="center"/>
              <w:rPr>
                <w:kern w:val="0"/>
                <w:sz w:val="21"/>
                <w:szCs w:val="21"/>
                <w:lang w:bidi="ar"/>
              </w:rPr>
            </w:pPr>
            <w:r>
              <w:rPr>
                <w:kern w:val="0"/>
                <w:sz w:val="21"/>
                <w:szCs w:val="21"/>
                <w:lang w:bidi="ar"/>
              </w:rPr>
              <w:t>4.2</w:t>
            </w:r>
          </w:p>
        </w:tc>
      </w:tr>
      <w:tr w:rsidR="00F44F7B">
        <w:trPr>
          <w:trHeight w:hRule="exact" w:val="370"/>
        </w:trPr>
        <w:tc>
          <w:tcPr>
            <w:tcW w:w="690" w:type="pct"/>
            <w:tcBorders>
              <w:top w:val="single" w:sz="4" w:space="0" w:color="000000"/>
              <w:left w:val="single" w:sz="4" w:space="0" w:color="000000"/>
              <w:bottom w:val="single" w:sz="4" w:space="0" w:color="000000"/>
              <w:right w:val="single" w:sz="4" w:space="0" w:color="000000"/>
            </w:tcBorders>
            <w:vAlign w:val="center"/>
          </w:tcPr>
          <w:p w:rsidR="00F44F7B" w:rsidRDefault="00730D49">
            <w:pPr>
              <w:widowControl/>
              <w:jc w:val="center"/>
              <w:textAlignment w:val="center"/>
              <w:rPr>
                <w:kern w:val="0"/>
                <w:sz w:val="21"/>
                <w:szCs w:val="21"/>
                <w:lang w:bidi="ar"/>
              </w:rPr>
            </w:pPr>
            <w:r>
              <w:rPr>
                <w:kern w:val="0"/>
                <w:sz w:val="21"/>
                <w:szCs w:val="21"/>
                <w:lang w:bidi="ar"/>
              </w:rPr>
              <w:t>4</w:t>
            </w:r>
          </w:p>
        </w:tc>
        <w:tc>
          <w:tcPr>
            <w:tcW w:w="1041" w:type="pct"/>
            <w:tcBorders>
              <w:top w:val="single" w:sz="4" w:space="0" w:color="000000"/>
              <w:left w:val="single" w:sz="4" w:space="0" w:color="000000"/>
              <w:bottom w:val="single" w:sz="4" w:space="0" w:color="000000"/>
              <w:right w:val="single" w:sz="4" w:space="0" w:color="000000"/>
            </w:tcBorders>
            <w:vAlign w:val="center"/>
          </w:tcPr>
          <w:p w:rsidR="00F44F7B" w:rsidRDefault="00730D49">
            <w:pPr>
              <w:widowControl/>
              <w:jc w:val="center"/>
              <w:textAlignment w:val="center"/>
              <w:rPr>
                <w:kern w:val="0"/>
                <w:sz w:val="21"/>
                <w:szCs w:val="21"/>
                <w:lang w:bidi="ar"/>
              </w:rPr>
            </w:pPr>
            <w:r>
              <w:rPr>
                <w:kern w:val="0"/>
                <w:sz w:val="21"/>
                <w:szCs w:val="21"/>
                <w:lang w:bidi="ar"/>
              </w:rPr>
              <w:t>风</w:t>
            </w:r>
          </w:p>
        </w:tc>
        <w:tc>
          <w:tcPr>
            <w:tcW w:w="860" w:type="pct"/>
            <w:tcBorders>
              <w:top w:val="single" w:sz="4" w:space="0" w:color="000000"/>
              <w:left w:val="single" w:sz="4" w:space="0" w:color="000000"/>
              <w:bottom w:val="single" w:sz="4" w:space="0" w:color="000000"/>
              <w:right w:val="single" w:sz="4" w:space="0" w:color="000000"/>
            </w:tcBorders>
          </w:tcPr>
          <w:p w:rsidR="00F44F7B" w:rsidRDefault="00730D49">
            <w:pPr>
              <w:widowControl/>
              <w:jc w:val="center"/>
              <w:textAlignment w:val="center"/>
              <w:rPr>
                <w:kern w:val="0"/>
                <w:sz w:val="21"/>
                <w:szCs w:val="21"/>
                <w:lang w:bidi="ar"/>
              </w:rPr>
            </w:pPr>
            <w:r>
              <w:rPr>
                <w:kern w:val="0"/>
                <w:sz w:val="21"/>
                <w:szCs w:val="21"/>
                <w:lang w:bidi="ar"/>
              </w:rPr>
              <w:t>m</w:t>
            </w:r>
            <w:r>
              <w:rPr>
                <w:kern w:val="0"/>
                <w:sz w:val="21"/>
                <w:szCs w:val="21"/>
                <w:vertAlign w:val="superscript"/>
                <w:lang w:bidi="ar"/>
              </w:rPr>
              <w:t>3</w:t>
            </w:r>
          </w:p>
        </w:tc>
        <w:tc>
          <w:tcPr>
            <w:tcW w:w="1104" w:type="pct"/>
            <w:tcBorders>
              <w:top w:val="single" w:sz="4" w:space="0" w:color="000000"/>
              <w:left w:val="single" w:sz="4" w:space="0" w:color="000000"/>
              <w:bottom w:val="single" w:sz="4" w:space="0" w:color="000000"/>
              <w:right w:val="single" w:sz="4" w:space="0" w:color="000000"/>
            </w:tcBorders>
            <w:vAlign w:val="center"/>
          </w:tcPr>
          <w:p w:rsidR="00F44F7B" w:rsidRDefault="00730D49">
            <w:pPr>
              <w:widowControl/>
              <w:jc w:val="center"/>
              <w:textAlignment w:val="center"/>
              <w:rPr>
                <w:kern w:val="0"/>
                <w:sz w:val="21"/>
                <w:szCs w:val="21"/>
                <w:lang w:bidi="ar"/>
              </w:rPr>
            </w:pPr>
            <w:r>
              <w:rPr>
                <w:kern w:val="0"/>
                <w:sz w:val="21"/>
                <w:szCs w:val="21"/>
                <w:lang w:bidi="ar"/>
              </w:rPr>
              <w:t>引用主体</w:t>
            </w:r>
          </w:p>
        </w:tc>
        <w:tc>
          <w:tcPr>
            <w:tcW w:w="1303" w:type="pct"/>
            <w:tcBorders>
              <w:top w:val="single" w:sz="4" w:space="0" w:color="000000"/>
              <w:left w:val="single" w:sz="4" w:space="0" w:color="000000"/>
              <w:bottom w:val="single" w:sz="4" w:space="0" w:color="000000"/>
              <w:right w:val="single" w:sz="4" w:space="0" w:color="000000"/>
            </w:tcBorders>
            <w:vAlign w:val="center"/>
          </w:tcPr>
          <w:p w:rsidR="00F44F7B" w:rsidRDefault="00730D49">
            <w:pPr>
              <w:widowControl/>
              <w:jc w:val="center"/>
              <w:textAlignment w:val="center"/>
              <w:rPr>
                <w:kern w:val="0"/>
                <w:sz w:val="21"/>
                <w:szCs w:val="21"/>
                <w:lang w:bidi="ar"/>
              </w:rPr>
            </w:pPr>
            <w:r>
              <w:rPr>
                <w:kern w:val="0"/>
                <w:sz w:val="21"/>
                <w:szCs w:val="21"/>
                <w:lang w:bidi="ar"/>
              </w:rPr>
              <w:t>0.14</w:t>
            </w:r>
          </w:p>
        </w:tc>
      </w:tr>
      <w:tr w:rsidR="00F44F7B">
        <w:trPr>
          <w:trHeight w:hRule="exact" w:val="360"/>
        </w:trPr>
        <w:tc>
          <w:tcPr>
            <w:tcW w:w="690" w:type="pct"/>
            <w:tcBorders>
              <w:top w:val="single" w:sz="4" w:space="0" w:color="000000"/>
              <w:left w:val="single" w:sz="4" w:space="0" w:color="000000"/>
              <w:bottom w:val="single" w:sz="4" w:space="0" w:color="000000"/>
              <w:right w:val="single" w:sz="4" w:space="0" w:color="000000"/>
            </w:tcBorders>
            <w:vAlign w:val="center"/>
          </w:tcPr>
          <w:p w:rsidR="00F44F7B" w:rsidRDefault="00730D49">
            <w:pPr>
              <w:widowControl/>
              <w:jc w:val="center"/>
              <w:textAlignment w:val="center"/>
              <w:rPr>
                <w:kern w:val="0"/>
                <w:sz w:val="21"/>
                <w:szCs w:val="21"/>
                <w:lang w:bidi="ar"/>
              </w:rPr>
            </w:pPr>
            <w:r>
              <w:rPr>
                <w:kern w:val="0"/>
                <w:sz w:val="21"/>
                <w:szCs w:val="21"/>
                <w:lang w:bidi="ar"/>
              </w:rPr>
              <w:t>5</w:t>
            </w:r>
          </w:p>
        </w:tc>
        <w:tc>
          <w:tcPr>
            <w:tcW w:w="1041" w:type="pct"/>
            <w:tcBorders>
              <w:top w:val="single" w:sz="4" w:space="0" w:color="000000"/>
              <w:left w:val="single" w:sz="4" w:space="0" w:color="000000"/>
              <w:bottom w:val="single" w:sz="4" w:space="0" w:color="000000"/>
              <w:right w:val="single" w:sz="4" w:space="0" w:color="000000"/>
            </w:tcBorders>
            <w:vAlign w:val="center"/>
          </w:tcPr>
          <w:p w:rsidR="00F44F7B" w:rsidRDefault="00730D49">
            <w:pPr>
              <w:widowControl/>
              <w:jc w:val="center"/>
              <w:textAlignment w:val="center"/>
              <w:rPr>
                <w:kern w:val="0"/>
                <w:sz w:val="21"/>
                <w:szCs w:val="21"/>
                <w:lang w:bidi="ar"/>
              </w:rPr>
            </w:pPr>
            <w:r>
              <w:rPr>
                <w:kern w:val="0"/>
                <w:sz w:val="21"/>
                <w:szCs w:val="21"/>
                <w:lang w:bidi="ar"/>
              </w:rPr>
              <w:t>水</w:t>
            </w:r>
          </w:p>
        </w:tc>
        <w:tc>
          <w:tcPr>
            <w:tcW w:w="860" w:type="pct"/>
            <w:tcBorders>
              <w:top w:val="single" w:sz="4" w:space="0" w:color="000000"/>
              <w:left w:val="single" w:sz="4" w:space="0" w:color="000000"/>
              <w:bottom w:val="single" w:sz="4" w:space="0" w:color="000000"/>
              <w:right w:val="single" w:sz="4" w:space="0" w:color="000000"/>
            </w:tcBorders>
          </w:tcPr>
          <w:p w:rsidR="00F44F7B" w:rsidRDefault="00730D49">
            <w:pPr>
              <w:widowControl/>
              <w:jc w:val="center"/>
              <w:textAlignment w:val="center"/>
              <w:rPr>
                <w:kern w:val="0"/>
                <w:sz w:val="21"/>
                <w:szCs w:val="21"/>
                <w:lang w:bidi="ar"/>
              </w:rPr>
            </w:pPr>
            <w:r>
              <w:rPr>
                <w:kern w:val="0"/>
                <w:sz w:val="21"/>
                <w:szCs w:val="21"/>
                <w:lang w:bidi="ar"/>
              </w:rPr>
              <w:t>m</w:t>
            </w:r>
            <w:r>
              <w:rPr>
                <w:kern w:val="0"/>
                <w:sz w:val="21"/>
                <w:szCs w:val="21"/>
                <w:vertAlign w:val="superscript"/>
                <w:lang w:bidi="ar"/>
              </w:rPr>
              <w:t>3</w:t>
            </w:r>
          </w:p>
        </w:tc>
        <w:tc>
          <w:tcPr>
            <w:tcW w:w="1104" w:type="pct"/>
            <w:tcBorders>
              <w:top w:val="single" w:sz="4" w:space="0" w:color="000000"/>
              <w:left w:val="single" w:sz="4" w:space="0" w:color="000000"/>
              <w:bottom w:val="single" w:sz="4" w:space="0" w:color="000000"/>
              <w:right w:val="single" w:sz="4" w:space="0" w:color="000000"/>
            </w:tcBorders>
            <w:vAlign w:val="center"/>
          </w:tcPr>
          <w:p w:rsidR="00F44F7B" w:rsidRDefault="00730D49">
            <w:pPr>
              <w:widowControl/>
              <w:jc w:val="center"/>
              <w:textAlignment w:val="center"/>
              <w:rPr>
                <w:kern w:val="0"/>
                <w:sz w:val="21"/>
                <w:szCs w:val="21"/>
                <w:lang w:bidi="ar"/>
              </w:rPr>
            </w:pPr>
            <w:r>
              <w:rPr>
                <w:kern w:val="0"/>
                <w:sz w:val="21"/>
                <w:szCs w:val="21"/>
                <w:lang w:bidi="ar"/>
              </w:rPr>
              <w:t>引用主体</w:t>
            </w:r>
          </w:p>
        </w:tc>
        <w:tc>
          <w:tcPr>
            <w:tcW w:w="1303" w:type="pct"/>
            <w:tcBorders>
              <w:top w:val="single" w:sz="4" w:space="0" w:color="000000"/>
              <w:left w:val="single" w:sz="4" w:space="0" w:color="000000"/>
              <w:bottom w:val="single" w:sz="4" w:space="0" w:color="000000"/>
              <w:right w:val="single" w:sz="4" w:space="0" w:color="000000"/>
            </w:tcBorders>
            <w:vAlign w:val="center"/>
          </w:tcPr>
          <w:p w:rsidR="00F44F7B" w:rsidRDefault="00730D49">
            <w:pPr>
              <w:widowControl/>
              <w:jc w:val="center"/>
              <w:textAlignment w:val="center"/>
              <w:rPr>
                <w:kern w:val="0"/>
                <w:sz w:val="21"/>
                <w:szCs w:val="21"/>
                <w:lang w:bidi="ar"/>
              </w:rPr>
            </w:pPr>
            <w:r>
              <w:rPr>
                <w:kern w:val="0"/>
                <w:sz w:val="21"/>
                <w:szCs w:val="21"/>
                <w:lang w:bidi="ar"/>
              </w:rPr>
              <w:t>2.2</w:t>
            </w:r>
          </w:p>
        </w:tc>
      </w:tr>
      <w:tr w:rsidR="00F44F7B">
        <w:trPr>
          <w:trHeight w:hRule="exact" w:val="350"/>
        </w:trPr>
        <w:tc>
          <w:tcPr>
            <w:tcW w:w="690" w:type="pct"/>
            <w:tcBorders>
              <w:top w:val="single" w:sz="4" w:space="0" w:color="000000"/>
              <w:left w:val="single" w:sz="4" w:space="0" w:color="000000"/>
              <w:bottom w:val="single" w:sz="4" w:space="0" w:color="000000"/>
              <w:right w:val="single" w:sz="4" w:space="0" w:color="000000"/>
            </w:tcBorders>
            <w:vAlign w:val="center"/>
          </w:tcPr>
          <w:p w:rsidR="00F44F7B" w:rsidRDefault="00730D49">
            <w:pPr>
              <w:widowControl/>
              <w:jc w:val="center"/>
              <w:textAlignment w:val="center"/>
              <w:rPr>
                <w:kern w:val="0"/>
                <w:sz w:val="21"/>
                <w:szCs w:val="21"/>
                <w:lang w:bidi="ar"/>
              </w:rPr>
            </w:pPr>
            <w:r>
              <w:rPr>
                <w:kern w:val="0"/>
                <w:sz w:val="21"/>
                <w:szCs w:val="21"/>
                <w:lang w:bidi="ar"/>
              </w:rPr>
              <w:t>6</w:t>
            </w:r>
          </w:p>
        </w:tc>
        <w:tc>
          <w:tcPr>
            <w:tcW w:w="1041" w:type="pct"/>
            <w:tcBorders>
              <w:top w:val="single" w:sz="4" w:space="0" w:color="000000"/>
              <w:left w:val="single" w:sz="4" w:space="0" w:color="000000"/>
              <w:bottom w:val="single" w:sz="4" w:space="0" w:color="000000"/>
              <w:right w:val="single" w:sz="4" w:space="0" w:color="000000"/>
            </w:tcBorders>
            <w:vAlign w:val="center"/>
          </w:tcPr>
          <w:p w:rsidR="00F44F7B" w:rsidRDefault="00730D49">
            <w:pPr>
              <w:widowControl/>
              <w:jc w:val="center"/>
              <w:textAlignment w:val="center"/>
              <w:rPr>
                <w:kern w:val="0"/>
                <w:sz w:val="21"/>
                <w:szCs w:val="21"/>
                <w:lang w:bidi="ar"/>
              </w:rPr>
            </w:pPr>
            <w:r>
              <w:rPr>
                <w:kern w:val="0"/>
                <w:sz w:val="21"/>
                <w:szCs w:val="21"/>
                <w:lang w:bidi="ar"/>
              </w:rPr>
              <w:t>电</w:t>
            </w:r>
          </w:p>
        </w:tc>
        <w:tc>
          <w:tcPr>
            <w:tcW w:w="860" w:type="pct"/>
            <w:tcBorders>
              <w:top w:val="single" w:sz="4" w:space="0" w:color="000000"/>
              <w:left w:val="single" w:sz="4" w:space="0" w:color="000000"/>
              <w:bottom w:val="single" w:sz="4" w:space="0" w:color="000000"/>
              <w:right w:val="single" w:sz="4" w:space="0" w:color="000000"/>
            </w:tcBorders>
            <w:vAlign w:val="center"/>
          </w:tcPr>
          <w:p w:rsidR="00F44F7B" w:rsidRDefault="00730D49">
            <w:pPr>
              <w:widowControl/>
              <w:jc w:val="center"/>
              <w:textAlignment w:val="center"/>
              <w:rPr>
                <w:kern w:val="0"/>
                <w:sz w:val="21"/>
                <w:szCs w:val="21"/>
                <w:lang w:bidi="ar"/>
              </w:rPr>
            </w:pPr>
            <w:r>
              <w:rPr>
                <w:kern w:val="0"/>
                <w:sz w:val="21"/>
                <w:szCs w:val="21"/>
                <w:lang w:bidi="ar"/>
              </w:rPr>
              <w:t>kw•h</w:t>
            </w:r>
          </w:p>
        </w:tc>
        <w:tc>
          <w:tcPr>
            <w:tcW w:w="1104" w:type="pct"/>
            <w:tcBorders>
              <w:top w:val="single" w:sz="4" w:space="0" w:color="000000"/>
              <w:left w:val="single" w:sz="4" w:space="0" w:color="000000"/>
              <w:bottom w:val="single" w:sz="4" w:space="0" w:color="000000"/>
              <w:right w:val="single" w:sz="4" w:space="0" w:color="000000"/>
            </w:tcBorders>
            <w:vAlign w:val="center"/>
          </w:tcPr>
          <w:p w:rsidR="00F44F7B" w:rsidRDefault="00730D49">
            <w:pPr>
              <w:widowControl/>
              <w:jc w:val="center"/>
              <w:textAlignment w:val="center"/>
              <w:rPr>
                <w:kern w:val="0"/>
                <w:sz w:val="21"/>
                <w:szCs w:val="21"/>
                <w:lang w:bidi="ar"/>
              </w:rPr>
            </w:pPr>
            <w:r>
              <w:rPr>
                <w:kern w:val="0"/>
                <w:sz w:val="21"/>
                <w:szCs w:val="21"/>
                <w:lang w:bidi="ar"/>
              </w:rPr>
              <w:t>引用主体</w:t>
            </w:r>
          </w:p>
        </w:tc>
        <w:tc>
          <w:tcPr>
            <w:tcW w:w="1303" w:type="pct"/>
            <w:tcBorders>
              <w:top w:val="single" w:sz="4" w:space="0" w:color="000000"/>
              <w:left w:val="single" w:sz="4" w:space="0" w:color="000000"/>
              <w:bottom w:val="single" w:sz="4" w:space="0" w:color="000000"/>
              <w:right w:val="single" w:sz="4" w:space="0" w:color="000000"/>
            </w:tcBorders>
            <w:vAlign w:val="center"/>
          </w:tcPr>
          <w:p w:rsidR="00F44F7B" w:rsidRDefault="00730D49">
            <w:pPr>
              <w:widowControl/>
              <w:jc w:val="center"/>
              <w:textAlignment w:val="center"/>
              <w:rPr>
                <w:kern w:val="0"/>
                <w:sz w:val="21"/>
                <w:szCs w:val="21"/>
                <w:lang w:bidi="ar"/>
              </w:rPr>
            </w:pPr>
            <w:r>
              <w:rPr>
                <w:kern w:val="0"/>
                <w:sz w:val="21"/>
                <w:szCs w:val="21"/>
                <w:lang w:bidi="ar"/>
              </w:rPr>
              <w:t>0.68</w:t>
            </w:r>
          </w:p>
        </w:tc>
      </w:tr>
      <w:tr w:rsidR="00F44F7B">
        <w:trPr>
          <w:trHeight w:hRule="exact" w:val="326"/>
        </w:trPr>
        <w:tc>
          <w:tcPr>
            <w:tcW w:w="690" w:type="pct"/>
            <w:tcBorders>
              <w:top w:val="single" w:sz="4" w:space="0" w:color="000000"/>
              <w:left w:val="single" w:sz="4" w:space="0" w:color="000000"/>
              <w:bottom w:val="single" w:sz="4" w:space="0" w:color="000000"/>
              <w:right w:val="single" w:sz="4" w:space="0" w:color="000000"/>
            </w:tcBorders>
            <w:vAlign w:val="center"/>
          </w:tcPr>
          <w:p w:rsidR="00F44F7B" w:rsidRDefault="00730D49">
            <w:pPr>
              <w:widowControl/>
              <w:jc w:val="center"/>
              <w:textAlignment w:val="center"/>
              <w:rPr>
                <w:kern w:val="0"/>
                <w:sz w:val="21"/>
                <w:szCs w:val="21"/>
                <w:lang w:bidi="ar"/>
              </w:rPr>
            </w:pPr>
            <w:r>
              <w:rPr>
                <w:kern w:val="0"/>
                <w:sz w:val="21"/>
                <w:szCs w:val="21"/>
                <w:lang w:bidi="ar"/>
              </w:rPr>
              <w:t>7</w:t>
            </w:r>
          </w:p>
        </w:tc>
        <w:tc>
          <w:tcPr>
            <w:tcW w:w="1041" w:type="pct"/>
            <w:tcBorders>
              <w:top w:val="single" w:sz="4" w:space="0" w:color="000000"/>
              <w:left w:val="single" w:sz="4" w:space="0" w:color="000000"/>
              <w:bottom w:val="single" w:sz="4" w:space="0" w:color="000000"/>
              <w:right w:val="single" w:sz="4" w:space="0" w:color="000000"/>
            </w:tcBorders>
            <w:vAlign w:val="center"/>
          </w:tcPr>
          <w:p w:rsidR="00F44F7B" w:rsidRDefault="00730D49">
            <w:pPr>
              <w:widowControl/>
              <w:jc w:val="center"/>
              <w:textAlignment w:val="center"/>
              <w:rPr>
                <w:kern w:val="0"/>
                <w:sz w:val="21"/>
                <w:szCs w:val="21"/>
                <w:lang w:bidi="ar"/>
              </w:rPr>
            </w:pPr>
            <w:r>
              <w:rPr>
                <w:kern w:val="0"/>
                <w:sz w:val="21"/>
                <w:szCs w:val="21"/>
                <w:lang w:bidi="ar"/>
              </w:rPr>
              <w:t>碎石</w:t>
            </w:r>
          </w:p>
        </w:tc>
        <w:tc>
          <w:tcPr>
            <w:tcW w:w="860" w:type="pct"/>
            <w:tcBorders>
              <w:top w:val="single" w:sz="4" w:space="0" w:color="000000"/>
              <w:left w:val="single" w:sz="4" w:space="0" w:color="000000"/>
              <w:bottom w:val="single" w:sz="4" w:space="0" w:color="000000"/>
              <w:right w:val="single" w:sz="4" w:space="0" w:color="000000"/>
            </w:tcBorders>
          </w:tcPr>
          <w:p w:rsidR="00F44F7B" w:rsidRDefault="00730D49">
            <w:pPr>
              <w:widowControl/>
              <w:jc w:val="center"/>
              <w:textAlignment w:val="center"/>
              <w:rPr>
                <w:kern w:val="0"/>
                <w:sz w:val="21"/>
                <w:szCs w:val="21"/>
                <w:lang w:bidi="ar"/>
              </w:rPr>
            </w:pPr>
            <w:r>
              <w:rPr>
                <w:kern w:val="0"/>
                <w:sz w:val="21"/>
                <w:szCs w:val="21"/>
                <w:lang w:bidi="ar"/>
              </w:rPr>
              <w:t>m</w:t>
            </w:r>
            <w:r>
              <w:rPr>
                <w:kern w:val="0"/>
                <w:sz w:val="21"/>
                <w:szCs w:val="21"/>
                <w:vertAlign w:val="superscript"/>
                <w:lang w:bidi="ar"/>
              </w:rPr>
              <w:t>3</w:t>
            </w:r>
          </w:p>
        </w:tc>
        <w:tc>
          <w:tcPr>
            <w:tcW w:w="1104" w:type="pct"/>
            <w:tcBorders>
              <w:top w:val="single" w:sz="4" w:space="0" w:color="000000"/>
              <w:left w:val="single" w:sz="4" w:space="0" w:color="000000"/>
              <w:bottom w:val="single" w:sz="4" w:space="0" w:color="000000"/>
              <w:right w:val="single" w:sz="4" w:space="0" w:color="000000"/>
            </w:tcBorders>
            <w:vAlign w:val="center"/>
          </w:tcPr>
          <w:p w:rsidR="00F44F7B" w:rsidRDefault="00730D49">
            <w:pPr>
              <w:widowControl/>
              <w:jc w:val="center"/>
              <w:textAlignment w:val="center"/>
              <w:rPr>
                <w:kern w:val="0"/>
                <w:sz w:val="21"/>
                <w:szCs w:val="21"/>
                <w:lang w:bidi="ar"/>
              </w:rPr>
            </w:pPr>
            <w:r>
              <w:rPr>
                <w:kern w:val="0"/>
                <w:sz w:val="21"/>
                <w:szCs w:val="21"/>
                <w:lang w:bidi="ar"/>
              </w:rPr>
              <w:t>引用主体</w:t>
            </w:r>
          </w:p>
        </w:tc>
        <w:tc>
          <w:tcPr>
            <w:tcW w:w="1303" w:type="pct"/>
            <w:tcBorders>
              <w:top w:val="single" w:sz="4" w:space="0" w:color="000000"/>
              <w:left w:val="single" w:sz="4" w:space="0" w:color="000000"/>
              <w:bottom w:val="single" w:sz="4" w:space="0" w:color="000000"/>
              <w:right w:val="single" w:sz="4" w:space="0" w:color="000000"/>
            </w:tcBorders>
            <w:vAlign w:val="center"/>
          </w:tcPr>
          <w:p w:rsidR="00F44F7B" w:rsidRDefault="00730D49">
            <w:pPr>
              <w:widowControl/>
              <w:jc w:val="center"/>
              <w:textAlignment w:val="center"/>
              <w:rPr>
                <w:kern w:val="0"/>
                <w:sz w:val="21"/>
                <w:szCs w:val="21"/>
                <w:lang w:bidi="ar"/>
              </w:rPr>
            </w:pPr>
            <w:r>
              <w:rPr>
                <w:kern w:val="0"/>
                <w:sz w:val="21"/>
                <w:szCs w:val="21"/>
                <w:lang w:bidi="ar"/>
              </w:rPr>
              <w:t>58</w:t>
            </w:r>
          </w:p>
        </w:tc>
      </w:tr>
    </w:tbl>
    <w:p w:rsidR="00F44F7B" w:rsidRDefault="00730D49">
      <w:pPr>
        <w:spacing w:line="360" w:lineRule="auto"/>
        <w:ind w:firstLineChars="192" w:firstLine="461"/>
      </w:pPr>
      <w:r>
        <w:t>2</w:t>
      </w:r>
      <w:r>
        <w:t>、水土保持措施单价</w:t>
      </w:r>
    </w:p>
    <w:p w:rsidR="00F44F7B" w:rsidRDefault="00730D49">
      <w:pPr>
        <w:pStyle w:val="ad"/>
        <w:ind w:firstLine="480"/>
      </w:pPr>
      <w:r>
        <w:t>水土保持措施单价引用主体工程相关单价。详见表</w:t>
      </w:r>
      <w:r>
        <w:rPr>
          <w:rFonts w:hint="eastAsia"/>
        </w:rPr>
        <w:t>7</w:t>
      </w:r>
      <w:r>
        <w:t>-2</w:t>
      </w:r>
      <w:r>
        <w:t>。</w:t>
      </w:r>
    </w:p>
    <w:p w:rsidR="00F44F7B" w:rsidRDefault="00730D49">
      <w:pPr>
        <w:pStyle w:val="af5"/>
        <w:widowControl w:val="0"/>
        <w:adjustRightInd w:val="0"/>
        <w:snapToGrid w:val="0"/>
        <w:jc w:val="center"/>
        <w:rPr>
          <w:sz w:val="22"/>
          <w:szCs w:val="22"/>
        </w:rPr>
      </w:pPr>
      <w:r>
        <w:rPr>
          <w:sz w:val="22"/>
          <w:szCs w:val="22"/>
        </w:rPr>
        <w:t>表</w:t>
      </w:r>
      <w:r>
        <w:rPr>
          <w:rFonts w:hint="eastAsia"/>
          <w:sz w:val="22"/>
          <w:szCs w:val="22"/>
        </w:rPr>
        <w:t>7</w:t>
      </w:r>
      <w:r>
        <w:rPr>
          <w:sz w:val="22"/>
          <w:szCs w:val="22"/>
        </w:rPr>
        <w:t xml:space="preserve">-2   </w:t>
      </w:r>
      <w:r>
        <w:rPr>
          <w:sz w:val="22"/>
          <w:szCs w:val="22"/>
        </w:rPr>
        <w:t>水土保持单价汇总表</w:t>
      </w:r>
      <w:r>
        <w:rPr>
          <w:sz w:val="22"/>
          <w:szCs w:val="22"/>
        </w:rPr>
        <w:t xml:space="preserve">   </w:t>
      </w:r>
      <w:r>
        <w:rPr>
          <w:sz w:val="22"/>
          <w:szCs w:val="22"/>
        </w:rPr>
        <w:t>单位：元</w:t>
      </w:r>
    </w:p>
    <w:tbl>
      <w:tblPr>
        <w:tblW w:w="4998" w:type="pct"/>
        <w:jc w:val="center"/>
        <w:tblCellMar>
          <w:left w:w="0" w:type="dxa"/>
          <w:right w:w="0" w:type="dxa"/>
        </w:tblCellMar>
        <w:tblLook w:val="04A0" w:firstRow="1" w:lastRow="0" w:firstColumn="1" w:lastColumn="0" w:noHBand="0" w:noVBand="1"/>
      </w:tblPr>
      <w:tblGrid>
        <w:gridCol w:w="1028"/>
        <w:gridCol w:w="3501"/>
        <w:gridCol w:w="1246"/>
        <w:gridCol w:w="2999"/>
      </w:tblGrid>
      <w:tr w:rsidR="00F44F7B">
        <w:trPr>
          <w:trHeight w:hRule="exact" w:val="499"/>
          <w:jc w:val="center"/>
        </w:trPr>
        <w:tc>
          <w:tcPr>
            <w:tcW w:w="585"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b/>
                <w:sz w:val="21"/>
                <w:szCs w:val="21"/>
              </w:rPr>
            </w:pPr>
            <w:r>
              <w:rPr>
                <w:b/>
                <w:kern w:val="0"/>
                <w:sz w:val="21"/>
                <w:szCs w:val="21"/>
                <w:lang w:bidi="ar"/>
              </w:rPr>
              <w:t>序号</w:t>
            </w:r>
          </w:p>
        </w:tc>
        <w:tc>
          <w:tcPr>
            <w:tcW w:w="1995"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b/>
                <w:sz w:val="21"/>
                <w:szCs w:val="21"/>
              </w:rPr>
            </w:pPr>
            <w:r>
              <w:rPr>
                <w:b/>
                <w:kern w:val="0"/>
                <w:sz w:val="21"/>
                <w:szCs w:val="21"/>
                <w:lang w:bidi="ar"/>
              </w:rPr>
              <w:t>名称</w:t>
            </w:r>
          </w:p>
        </w:tc>
        <w:tc>
          <w:tcPr>
            <w:tcW w:w="71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b/>
                <w:sz w:val="21"/>
                <w:szCs w:val="21"/>
              </w:rPr>
            </w:pPr>
            <w:r>
              <w:rPr>
                <w:b/>
                <w:kern w:val="0"/>
                <w:sz w:val="21"/>
                <w:szCs w:val="21"/>
                <w:lang w:bidi="ar"/>
              </w:rPr>
              <w:t>单位</w:t>
            </w:r>
          </w:p>
        </w:tc>
        <w:tc>
          <w:tcPr>
            <w:tcW w:w="17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b/>
                <w:sz w:val="21"/>
                <w:szCs w:val="21"/>
              </w:rPr>
            </w:pPr>
            <w:r>
              <w:rPr>
                <w:b/>
                <w:kern w:val="0"/>
                <w:sz w:val="21"/>
                <w:szCs w:val="21"/>
                <w:lang w:bidi="ar"/>
              </w:rPr>
              <w:t>单价（元）</w:t>
            </w:r>
          </w:p>
        </w:tc>
      </w:tr>
      <w:tr w:rsidR="00F44F7B">
        <w:trPr>
          <w:trHeight w:hRule="exact" w:val="434"/>
          <w:jc w:val="center"/>
        </w:trPr>
        <w:tc>
          <w:tcPr>
            <w:tcW w:w="585"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1</w:t>
            </w:r>
          </w:p>
        </w:tc>
        <w:tc>
          <w:tcPr>
            <w:tcW w:w="1995"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排水沟</w:t>
            </w:r>
          </w:p>
        </w:tc>
        <w:tc>
          <w:tcPr>
            <w:tcW w:w="71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m</w:t>
            </w:r>
          </w:p>
        </w:tc>
        <w:tc>
          <w:tcPr>
            <w:tcW w:w="17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kern w:val="0"/>
                <w:sz w:val="21"/>
                <w:szCs w:val="21"/>
                <w:lang w:bidi="ar"/>
              </w:rPr>
            </w:pPr>
            <w:r>
              <w:rPr>
                <w:kern w:val="0"/>
                <w:sz w:val="21"/>
                <w:szCs w:val="21"/>
                <w:lang w:bidi="ar"/>
              </w:rPr>
              <w:t>115.5</w:t>
            </w:r>
          </w:p>
        </w:tc>
      </w:tr>
      <w:tr w:rsidR="00F44F7B">
        <w:trPr>
          <w:trHeight w:hRule="exact" w:val="451"/>
          <w:jc w:val="center"/>
        </w:trPr>
        <w:tc>
          <w:tcPr>
            <w:tcW w:w="585"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kern w:val="0"/>
                <w:sz w:val="21"/>
                <w:szCs w:val="21"/>
                <w:lang w:bidi="ar"/>
              </w:rPr>
            </w:pPr>
            <w:r>
              <w:rPr>
                <w:rFonts w:hint="eastAsia"/>
                <w:kern w:val="0"/>
                <w:sz w:val="21"/>
                <w:szCs w:val="21"/>
                <w:lang w:bidi="ar"/>
              </w:rPr>
              <w:t>2</w:t>
            </w:r>
          </w:p>
        </w:tc>
        <w:tc>
          <w:tcPr>
            <w:tcW w:w="1995"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kern w:val="0"/>
                <w:sz w:val="21"/>
                <w:szCs w:val="21"/>
                <w:lang w:bidi="ar"/>
              </w:rPr>
            </w:pPr>
            <w:r>
              <w:rPr>
                <w:rFonts w:hint="eastAsia"/>
                <w:kern w:val="0"/>
                <w:sz w:val="21"/>
                <w:szCs w:val="21"/>
                <w:lang w:bidi="ar"/>
              </w:rPr>
              <w:t>雨水管</w:t>
            </w:r>
          </w:p>
        </w:tc>
        <w:tc>
          <w:tcPr>
            <w:tcW w:w="71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kern w:val="0"/>
                <w:sz w:val="21"/>
                <w:szCs w:val="21"/>
                <w:lang w:bidi="ar"/>
              </w:rPr>
            </w:pPr>
            <w:r>
              <w:rPr>
                <w:rFonts w:hint="eastAsia"/>
                <w:kern w:val="0"/>
                <w:sz w:val="21"/>
                <w:szCs w:val="21"/>
                <w:lang w:bidi="ar"/>
              </w:rPr>
              <w:t>m</w:t>
            </w:r>
          </w:p>
        </w:tc>
        <w:tc>
          <w:tcPr>
            <w:tcW w:w="17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kern w:val="0"/>
                <w:sz w:val="21"/>
                <w:szCs w:val="21"/>
                <w:lang w:bidi="ar"/>
              </w:rPr>
            </w:pPr>
            <w:r>
              <w:rPr>
                <w:rFonts w:hint="eastAsia"/>
                <w:kern w:val="0"/>
                <w:sz w:val="21"/>
                <w:szCs w:val="21"/>
                <w:lang w:bidi="ar"/>
              </w:rPr>
              <w:t>1</w:t>
            </w:r>
            <w:r>
              <w:rPr>
                <w:kern w:val="0"/>
                <w:sz w:val="21"/>
                <w:szCs w:val="21"/>
                <w:lang w:bidi="ar"/>
              </w:rPr>
              <w:t>02</w:t>
            </w:r>
          </w:p>
        </w:tc>
      </w:tr>
      <w:tr w:rsidR="00F44F7B">
        <w:trPr>
          <w:trHeight w:hRule="exact" w:val="429"/>
          <w:jc w:val="center"/>
        </w:trPr>
        <w:tc>
          <w:tcPr>
            <w:tcW w:w="585"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sz w:val="21"/>
                <w:szCs w:val="21"/>
              </w:rPr>
            </w:pPr>
            <w:r>
              <w:rPr>
                <w:rFonts w:hint="eastAsia"/>
                <w:sz w:val="21"/>
                <w:szCs w:val="21"/>
              </w:rPr>
              <w:t>3</w:t>
            </w:r>
          </w:p>
        </w:tc>
        <w:tc>
          <w:tcPr>
            <w:tcW w:w="1995"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sz w:val="21"/>
                <w:szCs w:val="21"/>
              </w:rPr>
            </w:pPr>
            <w:r>
              <w:rPr>
                <w:kern w:val="0"/>
                <w:sz w:val="21"/>
                <w:szCs w:val="21"/>
                <w:lang w:bidi="ar"/>
              </w:rPr>
              <w:t>表土剥离</w:t>
            </w:r>
          </w:p>
        </w:tc>
        <w:tc>
          <w:tcPr>
            <w:tcW w:w="71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sz w:val="21"/>
                <w:szCs w:val="21"/>
              </w:rPr>
            </w:pPr>
            <w:r>
              <w:rPr>
                <w:kern w:val="0"/>
                <w:sz w:val="21"/>
                <w:szCs w:val="21"/>
                <w:lang w:bidi="ar"/>
              </w:rPr>
              <w:t>m</w:t>
            </w:r>
            <w:r>
              <w:rPr>
                <w:kern w:val="0"/>
                <w:sz w:val="21"/>
                <w:szCs w:val="21"/>
                <w:vertAlign w:val="superscript"/>
                <w:lang w:bidi="ar"/>
              </w:rPr>
              <w:t>3</w:t>
            </w:r>
          </w:p>
        </w:tc>
        <w:tc>
          <w:tcPr>
            <w:tcW w:w="17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sz w:val="21"/>
                <w:szCs w:val="21"/>
              </w:rPr>
            </w:pPr>
            <w:r>
              <w:rPr>
                <w:kern w:val="0"/>
                <w:sz w:val="21"/>
                <w:szCs w:val="21"/>
                <w:lang w:bidi="ar"/>
              </w:rPr>
              <w:t>19.92</w:t>
            </w:r>
          </w:p>
        </w:tc>
      </w:tr>
      <w:tr w:rsidR="00F44F7B">
        <w:trPr>
          <w:trHeight w:hRule="exact" w:val="421"/>
          <w:jc w:val="center"/>
        </w:trPr>
        <w:tc>
          <w:tcPr>
            <w:tcW w:w="585"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sz w:val="21"/>
                <w:szCs w:val="21"/>
              </w:rPr>
            </w:pPr>
            <w:r>
              <w:rPr>
                <w:rFonts w:hint="eastAsia"/>
                <w:sz w:val="21"/>
                <w:szCs w:val="21"/>
              </w:rPr>
              <w:t>4</w:t>
            </w:r>
          </w:p>
        </w:tc>
        <w:tc>
          <w:tcPr>
            <w:tcW w:w="1995"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sz w:val="21"/>
                <w:szCs w:val="21"/>
              </w:rPr>
            </w:pPr>
            <w:r>
              <w:rPr>
                <w:rFonts w:hint="eastAsia"/>
                <w:kern w:val="0"/>
                <w:sz w:val="21"/>
                <w:szCs w:val="21"/>
                <w:lang w:bidi="ar"/>
              </w:rPr>
              <w:t>表土回覆</w:t>
            </w:r>
          </w:p>
        </w:tc>
        <w:tc>
          <w:tcPr>
            <w:tcW w:w="71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sz w:val="21"/>
                <w:szCs w:val="21"/>
              </w:rPr>
            </w:pPr>
            <w:r>
              <w:rPr>
                <w:kern w:val="0"/>
                <w:sz w:val="21"/>
                <w:szCs w:val="21"/>
                <w:lang w:bidi="ar"/>
              </w:rPr>
              <w:t>m</w:t>
            </w:r>
            <w:r>
              <w:rPr>
                <w:kern w:val="0"/>
                <w:sz w:val="21"/>
                <w:szCs w:val="21"/>
                <w:vertAlign w:val="superscript"/>
                <w:lang w:bidi="ar"/>
              </w:rPr>
              <w:t>3</w:t>
            </w:r>
          </w:p>
        </w:tc>
        <w:tc>
          <w:tcPr>
            <w:tcW w:w="17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sz w:val="21"/>
                <w:szCs w:val="21"/>
              </w:rPr>
            </w:pPr>
            <w:r>
              <w:rPr>
                <w:kern w:val="0"/>
                <w:sz w:val="21"/>
                <w:szCs w:val="21"/>
                <w:lang w:bidi="ar"/>
              </w:rPr>
              <w:t>22.42</w:t>
            </w:r>
          </w:p>
        </w:tc>
      </w:tr>
      <w:tr w:rsidR="00F44F7B">
        <w:trPr>
          <w:trHeight w:hRule="exact" w:val="427"/>
          <w:jc w:val="center"/>
        </w:trPr>
        <w:tc>
          <w:tcPr>
            <w:tcW w:w="585"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sz w:val="21"/>
                <w:szCs w:val="21"/>
              </w:rPr>
            </w:pPr>
            <w:r>
              <w:rPr>
                <w:rFonts w:hint="eastAsia"/>
                <w:sz w:val="21"/>
                <w:szCs w:val="21"/>
              </w:rPr>
              <w:t>5</w:t>
            </w:r>
          </w:p>
        </w:tc>
        <w:tc>
          <w:tcPr>
            <w:tcW w:w="1995"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F44F7B" w:rsidRDefault="00730D49">
            <w:pPr>
              <w:widowControl/>
              <w:jc w:val="center"/>
              <w:textAlignment w:val="center"/>
              <w:rPr>
                <w:sz w:val="21"/>
                <w:szCs w:val="21"/>
              </w:rPr>
            </w:pPr>
            <w:r>
              <w:rPr>
                <w:rFonts w:hint="eastAsia"/>
                <w:kern w:val="0"/>
                <w:sz w:val="21"/>
                <w:szCs w:val="21"/>
                <w:lang w:bidi="ar"/>
              </w:rPr>
              <w:t>桂花树</w:t>
            </w:r>
          </w:p>
        </w:tc>
        <w:tc>
          <w:tcPr>
            <w:tcW w:w="71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sz w:val="21"/>
                <w:szCs w:val="21"/>
              </w:rPr>
            </w:pPr>
            <w:r>
              <w:rPr>
                <w:kern w:val="0"/>
                <w:sz w:val="21"/>
                <w:szCs w:val="21"/>
                <w:lang w:bidi="ar"/>
              </w:rPr>
              <w:t>株</w:t>
            </w:r>
          </w:p>
        </w:tc>
        <w:tc>
          <w:tcPr>
            <w:tcW w:w="170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sz w:val="21"/>
                <w:szCs w:val="21"/>
              </w:rPr>
            </w:pPr>
            <w:r>
              <w:rPr>
                <w:kern w:val="0"/>
                <w:sz w:val="21"/>
                <w:szCs w:val="21"/>
                <w:lang w:bidi="ar"/>
              </w:rPr>
              <w:t>82</w:t>
            </w:r>
          </w:p>
        </w:tc>
      </w:tr>
    </w:tbl>
    <w:p w:rsidR="00F44F7B" w:rsidRDefault="00730D49">
      <w:pPr>
        <w:spacing w:beforeLines="50" w:before="156" w:line="360" w:lineRule="auto"/>
        <w:ind w:firstLineChars="192" w:firstLine="461"/>
      </w:pPr>
      <w:r>
        <w:t>3</w:t>
      </w:r>
      <w:r>
        <w:t>、水土保持工程概算编制</w:t>
      </w:r>
    </w:p>
    <w:p w:rsidR="00F44F7B" w:rsidRDefault="00730D49">
      <w:pPr>
        <w:spacing w:line="360" w:lineRule="auto"/>
        <w:ind w:firstLineChars="192" w:firstLine="461"/>
      </w:pPr>
      <w:r>
        <w:t>（</w:t>
      </w:r>
      <w:r>
        <w:t>1</w:t>
      </w:r>
      <w:r>
        <w:t>）工程措施</w:t>
      </w:r>
    </w:p>
    <w:p w:rsidR="00F44F7B" w:rsidRDefault="00730D49">
      <w:pPr>
        <w:spacing w:line="360" w:lineRule="auto"/>
        <w:ind w:firstLineChars="192" w:firstLine="461"/>
      </w:pPr>
      <w:r>
        <w:t>引用主体。</w:t>
      </w:r>
    </w:p>
    <w:p w:rsidR="00F44F7B" w:rsidRDefault="00730D49">
      <w:pPr>
        <w:spacing w:line="360" w:lineRule="auto"/>
        <w:ind w:firstLineChars="192" w:firstLine="461"/>
      </w:pPr>
      <w:r>
        <w:t>（</w:t>
      </w:r>
      <w:r>
        <w:t>2</w:t>
      </w:r>
      <w:r>
        <w:t>）植物措施</w:t>
      </w:r>
    </w:p>
    <w:p w:rsidR="00F44F7B" w:rsidRDefault="00730D49">
      <w:pPr>
        <w:spacing w:line="360" w:lineRule="auto"/>
        <w:ind w:firstLineChars="192" w:firstLine="461"/>
      </w:pPr>
      <w:r>
        <w:t>引用主体。</w:t>
      </w:r>
    </w:p>
    <w:p w:rsidR="00F44F7B" w:rsidRDefault="00730D49">
      <w:pPr>
        <w:spacing w:line="360" w:lineRule="auto"/>
        <w:ind w:firstLineChars="192" w:firstLine="461"/>
      </w:pPr>
      <w:r>
        <w:t>（</w:t>
      </w:r>
      <w:r>
        <w:t>3</w:t>
      </w:r>
      <w:r>
        <w:t>）监测措施</w:t>
      </w:r>
    </w:p>
    <w:p w:rsidR="00F44F7B" w:rsidRDefault="00730D49">
      <w:pPr>
        <w:spacing w:line="360" w:lineRule="auto"/>
        <w:ind w:firstLineChars="192" w:firstLine="461"/>
      </w:pPr>
      <w:r>
        <w:t>本方案为报告表，不进行水土保持监测。</w:t>
      </w:r>
    </w:p>
    <w:p w:rsidR="00F44F7B" w:rsidRDefault="00730D49">
      <w:pPr>
        <w:spacing w:line="360" w:lineRule="auto"/>
        <w:ind w:firstLineChars="192" w:firstLine="461"/>
      </w:pPr>
      <w:r>
        <w:t>4</w:t>
      </w:r>
      <w:r>
        <w:t>、独立费用组成</w:t>
      </w:r>
    </w:p>
    <w:p w:rsidR="00F44F7B" w:rsidRDefault="00730D49">
      <w:pPr>
        <w:pStyle w:val="Char11"/>
        <w:spacing w:before="0" w:line="360" w:lineRule="auto"/>
        <w:ind w:firstLineChars="200" w:firstLine="480"/>
        <w:rPr>
          <w:color w:val="auto"/>
          <w:szCs w:val="24"/>
        </w:rPr>
      </w:pPr>
      <w:r>
        <w:rPr>
          <w:color w:val="auto"/>
        </w:rPr>
        <w:t>1</w:t>
      </w:r>
      <w:r>
        <w:rPr>
          <w:color w:val="auto"/>
        </w:rPr>
        <w:t>）建设管理费：</w:t>
      </w:r>
      <w:r>
        <w:rPr>
          <w:color w:val="auto"/>
          <w:szCs w:val="24"/>
        </w:rPr>
        <w:t>按新增工程措施费、植物措施费、监测措施费、施工临时工程费之和的</w:t>
      </w:r>
      <w:r>
        <w:rPr>
          <w:color w:val="auto"/>
          <w:szCs w:val="24"/>
        </w:rPr>
        <w:t>2.0%</w:t>
      </w:r>
      <w:r>
        <w:rPr>
          <w:color w:val="auto"/>
          <w:szCs w:val="24"/>
        </w:rPr>
        <w:t>计列；</w:t>
      </w:r>
    </w:p>
    <w:p w:rsidR="00F44F7B" w:rsidRDefault="00730D49">
      <w:pPr>
        <w:pStyle w:val="Char11"/>
        <w:spacing w:before="0" w:line="360" w:lineRule="auto"/>
        <w:ind w:firstLineChars="200" w:firstLine="480"/>
        <w:rPr>
          <w:color w:val="auto"/>
          <w:szCs w:val="24"/>
        </w:rPr>
      </w:pPr>
      <w:r>
        <w:rPr>
          <w:color w:val="auto"/>
        </w:rPr>
        <w:t>2</w:t>
      </w:r>
      <w:r>
        <w:rPr>
          <w:color w:val="auto"/>
        </w:rPr>
        <w:t>）水土保持方案编制费：</w:t>
      </w:r>
      <w:r>
        <w:rPr>
          <w:color w:val="auto"/>
          <w:szCs w:val="24"/>
        </w:rPr>
        <w:t>按《水利部关于颁发</w:t>
      </w:r>
      <w:r>
        <w:rPr>
          <w:color w:val="auto"/>
        </w:rPr>
        <w:t>《生产建设项目水土保持工程概（估）算编制规定》（总院内部资料</w:t>
      </w:r>
      <w:r>
        <w:rPr>
          <w:color w:val="auto"/>
        </w:rPr>
        <w:t>2015</w:t>
      </w:r>
      <w:r>
        <w:rPr>
          <w:color w:val="auto"/>
        </w:rPr>
        <w:t>版）</w:t>
      </w:r>
      <w:r>
        <w:rPr>
          <w:color w:val="auto"/>
          <w:szCs w:val="24"/>
        </w:rPr>
        <w:t>表</w:t>
      </w:r>
      <w:r>
        <w:rPr>
          <w:color w:val="auto"/>
          <w:szCs w:val="24"/>
        </w:rPr>
        <w:t>4-7</w:t>
      </w:r>
      <w:r>
        <w:rPr>
          <w:color w:val="auto"/>
          <w:szCs w:val="24"/>
        </w:rPr>
        <w:t>所列标准，并结合实际合同价确定计列；</w:t>
      </w:r>
    </w:p>
    <w:p w:rsidR="00F44F7B" w:rsidRDefault="00730D49">
      <w:pPr>
        <w:pStyle w:val="Char11"/>
        <w:spacing w:before="0" w:line="360" w:lineRule="auto"/>
        <w:ind w:firstLineChars="200" w:firstLine="480"/>
        <w:rPr>
          <w:color w:val="auto"/>
          <w:szCs w:val="24"/>
        </w:rPr>
      </w:pPr>
      <w:r>
        <w:rPr>
          <w:color w:val="auto"/>
          <w:szCs w:val="24"/>
        </w:rPr>
        <w:t>3</w:t>
      </w:r>
      <w:r>
        <w:rPr>
          <w:color w:val="auto"/>
          <w:szCs w:val="24"/>
        </w:rPr>
        <w:t>）科研勘测设计费</w:t>
      </w:r>
    </w:p>
    <w:p w:rsidR="00F44F7B" w:rsidRDefault="00730D49">
      <w:pPr>
        <w:pStyle w:val="Char11"/>
        <w:spacing w:before="0" w:line="360" w:lineRule="auto"/>
        <w:ind w:firstLineChars="200" w:firstLine="480"/>
        <w:rPr>
          <w:color w:val="auto"/>
          <w:szCs w:val="24"/>
        </w:rPr>
      </w:pPr>
      <w:r>
        <w:rPr>
          <w:color w:val="auto"/>
          <w:szCs w:val="24"/>
        </w:rPr>
        <w:t>①</w:t>
      </w:r>
      <w:r>
        <w:rPr>
          <w:color w:val="auto"/>
          <w:szCs w:val="24"/>
        </w:rPr>
        <w:t>工程科学研究试验费：遇大型、特殊水土保持工程可列此项费用，按一至四部</w:t>
      </w:r>
      <w:r>
        <w:rPr>
          <w:color w:val="auto"/>
          <w:szCs w:val="24"/>
        </w:rPr>
        <w:lastRenderedPageBreak/>
        <w:t>分投资合计的</w:t>
      </w:r>
      <w:r>
        <w:rPr>
          <w:color w:val="auto"/>
          <w:szCs w:val="24"/>
        </w:rPr>
        <w:t>0.2%</w:t>
      </w:r>
      <w:r>
        <w:rPr>
          <w:color w:val="auto"/>
          <w:szCs w:val="24"/>
        </w:rPr>
        <w:t>～</w:t>
      </w:r>
      <w:r>
        <w:rPr>
          <w:color w:val="auto"/>
          <w:szCs w:val="24"/>
        </w:rPr>
        <w:t>0.5%</w:t>
      </w:r>
      <w:r>
        <w:rPr>
          <w:color w:val="auto"/>
          <w:szCs w:val="24"/>
        </w:rPr>
        <w:t>计列，一般情况下不计列此项费用，根据本项目建设内容，不计列该项费用。</w:t>
      </w:r>
    </w:p>
    <w:p w:rsidR="00F44F7B" w:rsidRDefault="00730D49">
      <w:pPr>
        <w:pStyle w:val="Char11"/>
        <w:spacing w:before="0" w:line="360" w:lineRule="auto"/>
        <w:ind w:firstLineChars="200" w:firstLine="480"/>
        <w:rPr>
          <w:color w:val="auto"/>
          <w:szCs w:val="24"/>
        </w:rPr>
      </w:pPr>
      <w:r>
        <w:rPr>
          <w:color w:val="auto"/>
          <w:szCs w:val="24"/>
        </w:rPr>
        <w:t>②</w:t>
      </w:r>
      <w:r>
        <w:rPr>
          <w:color w:val="auto"/>
          <w:szCs w:val="24"/>
        </w:rPr>
        <w:t>勘测设计费：按照国家计委、建设部计价格</w:t>
      </w:r>
      <w:r>
        <w:rPr>
          <w:color w:val="auto"/>
          <w:szCs w:val="24"/>
        </w:rPr>
        <w:t>[2002]10</w:t>
      </w:r>
      <w:r>
        <w:rPr>
          <w:color w:val="auto"/>
          <w:szCs w:val="24"/>
        </w:rPr>
        <w:t>号文《工程勘察设计收费管理规定》，根据本项目建设内容，不计列该项费用。</w:t>
      </w:r>
    </w:p>
    <w:p w:rsidR="00F44F7B" w:rsidRDefault="00730D49">
      <w:pPr>
        <w:pStyle w:val="Char11"/>
        <w:spacing w:before="0" w:line="360" w:lineRule="auto"/>
        <w:ind w:firstLineChars="200" w:firstLine="480"/>
        <w:rPr>
          <w:color w:val="auto"/>
          <w:szCs w:val="24"/>
        </w:rPr>
      </w:pPr>
      <w:r>
        <w:rPr>
          <w:color w:val="auto"/>
        </w:rPr>
        <w:t>4</w:t>
      </w:r>
      <w:r>
        <w:rPr>
          <w:color w:val="auto"/>
        </w:rPr>
        <w:t>）工程建设监理费：</w:t>
      </w:r>
      <w:r>
        <w:rPr>
          <w:color w:val="auto"/>
          <w:szCs w:val="24"/>
        </w:rPr>
        <w:t>本项目不进行工程建设监理，不计列该项费用；</w:t>
      </w:r>
    </w:p>
    <w:p w:rsidR="00F44F7B" w:rsidRDefault="00730D49">
      <w:pPr>
        <w:pStyle w:val="Char11"/>
        <w:spacing w:before="0" w:line="360" w:lineRule="auto"/>
        <w:ind w:firstLineChars="200" w:firstLine="480"/>
        <w:rPr>
          <w:color w:val="auto"/>
          <w:szCs w:val="24"/>
        </w:rPr>
      </w:pPr>
      <w:r>
        <w:rPr>
          <w:color w:val="auto"/>
        </w:rPr>
        <w:t>5</w:t>
      </w:r>
      <w:r>
        <w:rPr>
          <w:color w:val="auto"/>
        </w:rPr>
        <w:t>）水土保持设施竣工验收费：</w:t>
      </w:r>
      <w:r>
        <w:rPr>
          <w:color w:val="auto"/>
          <w:szCs w:val="24"/>
        </w:rPr>
        <w:t>以主体工程土建投资合计为计算基数，按照</w:t>
      </w:r>
      <w:r>
        <w:rPr>
          <w:color w:val="auto"/>
        </w:rPr>
        <w:t>《生产建设项目水土保持工程概（估）算编制规定》（总院内部资料</w:t>
      </w:r>
      <w:r>
        <w:rPr>
          <w:color w:val="auto"/>
        </w:rPr>
        <w:t>2015</w:t>
      </w:r>
      <w:r>
        <w:rPr>
          <w:color w:val="auto"/>
        </w:rPr>
        <w:t>版）</w:t>
      </w:r>
      <w:r>
        <w:rPr>
          <w:color w:val="auto"/>
          <w:szCs w:val="24"/>
        </w:rPr>
        <w:t>表</w:t>
      </w:r>
      <w:r>
        <w:rPr>
          <w:color w:val="auto"/>
          <w:szCs w:val="24"/>
        </w:rPr>
        <w:t>4-8</w:t>
      </w:r>
      <w:r>
        <w:rPr>
          <w:color w:val="auto"/>
          <w:szCs w:val="24"/>
        </w:rPr>
        <w:t>所列标准，并结合实际合同价确定计列；</w:t>
      </w:r>
    </w:p>
    <w:p w:rsidR="00F44F7B" w:rsidRDefault="00730D49">
      <w:pPr>
        <w:pStyle w:val="ad"/>
        <w:ind w:firstLine="480"/>
      </w:pPr>
      <w:r>
        <w:t>6</w:t>
      </w:r>
      <w:r>
        <w:t>）招标业务费：本项目水保措施与主体工程同时开展相应工作，本次不记列。</w:t>
      </w:r>
    </w:p>
    <w:p w:rsidR="00F44F7B" w:rsidRDefault="00730D49">
      <w:pPr>
        <w:pStyle w:val="ad"/>
        <w:ind w:firstLine="480"/>
      </w:pPr>
      <w:r>
        <w:t>7</w:t>
      </w:r>
      <w:r>
        <w:t>）经济技术咨询费：本项费用已包含在方案编制费中，不单独计列。</w:t>
      </w:r>
    </w:p>
    <w:p w:rsidR="00F44F7B" w:rsidRDefault="00730D49">
      <w:pPr>
        <w:spacing w:line="360" w:lineRule="auto"/>
        <w:ind w:firstLineChars="192" w:firstLine="461"/>
      </w:pPr>
      <w:r>
        <w:t>5</w:t>
      </w:r>
      <w:r>
        <w:t>、预备费</w:t>
      </w:r>
    </w:p>
    <w:p w:rsidR="00F44F7B" w:rsidRDefault="00730D49">
      <w:pPr>
        <w:spacing w:line="360" w:lineRule="auto"/>
        <w:ind w:firstLineChars="192" w:firstLine="461"/>
      </w:pPr>
      <w:r>
        <w:t>基本预备费按第一至四部分投资</w:t>
      </w:r>
      <w:r>
        <w:rPr>
          <w:szCs w:val="24"/>
        </w:rPr>
        <w:t>（扣除主体投资）</w:t>
      </w:r>
      <w:r>
        <w:t>的</w:t>
      </w:r>
      <w:r>
        <w:t>5%</w:t>
      </w:r>
      <w:r>
        <w:t>计取，不计价差预备费。</w:t>
      </w:r>
    </w:p>
    <w:p w:rsidR="00F44F7B" w:rsidRDefault="00730D49">
      <w:pPr>
        <w:spacing w:line="360" w:lineRule="auto"/>
        <w:ind w:firstLineChars="192" w:firstLine="461"/>
      </w:pPr>
      <w:r>
        <w:t>6</w:t>
      </w:r>
      <w:r>
        <w:t>、水土保持补偿费</w:t>
      </w:r>
    </w:p>
    <w:p w:rsidR="00F44F7B" w:rsidRDefault="00730D49">
      <w:pPr>
        <w:pStyle w:val="Char4"/>
        <w:ind w:firstLine="480"/>
        <w:rPr>
          <w:color w:val="auto"/>
          <w:szCs w:val="24"/>
        </w:rPr>
      </w:pPr>
      <w:r>
        <w:rPr>
          <w:color w:val="auto"/>
          <w:szCs w:val="24"/>
        </w:rPr>
        <w:t>本项目水土保持补偿费，根据</w:t>
      </w:r>
      <w:r>
        <w:rPr>
          <w:rFonts w:hint="eastAsia"/>
          <w:bCs/>
          <w:iCs/>
          <w:color w:val="auto"/>
          <w:spacing w:val="6"/>
          <w:szCs w:val="24"/>
        </w:rPr>
        <w:t>四川省发展和改革委员会</w:t>
      </w:r>
      <w:r>
        <w:rPr>
          <w:rFonts w:hint="eastAsia"/>
          <w:bCs/>
          <w:iCs/>
          <w:color w:val="auto"/>
          <w:spacing w:val="6"/>
          <w:szCs w:val="24"/>
        </w:rPr>
        <w:t xml:space="preserve"> </w:t>
      </w:r>
      <w:r>
        <w:rPr>
          <w:rFonts w:hint="eastAsia"/>
          <w:bCs/>
          <w:iCs/>
          <w:color w:val="auto"/>
          <w:spacing w:val="6"/>
          <w:szCs w:val="24"/>
        </w:rPr>
        <w:t>四川省财政厅关于制定水土保持补偿费收费标准的通知（川发改价格〔</w:t>
      </w:r>
      <w:r>
        <w:rPr>
          <w:rFonts w:hint="eastAsia"/>
          <w:bCs/>
          <w:iCs/>
          <w:color w:val="auto"/>
          <w:spacing w:val="6"/>
          <w:szCs w:val="24"/>
        </w:rPr>
        <w:t>2017</w:t>
      </w:r>
      <w:r>
        <w:rPr>
          <w:rFonts w:hint="eastAsia"/>
          <w:bCs/>
          <w:iCs/>
          <w:color w:val="auto"/>
          <w:spacing w:val="6"/>
          <w:szCs w:val="24"/>
        </w:rPr>
        <w:t>〕</w:t>
      </w:r>
      <w:r>
        <w:rPr>
          <w:rFonts w:hint="eastAsia"/>
          <w:bCs/>
          <w:iCs/>
          <w:color w:val="auto"/>
          <w:spacing w:val="6"/>
          <w:szCs w:val="24"/>
        </w:rPr>
        <w:t>347</w:t>
      </w:r>
      <w:r>
        <w:rPr>
          <w:rFonts w:hint="eastAsia"/>
          <w:bCs/>
          <w:iCs/>
          <w:color w:val="auto"/>
          <w:spacing w:val="6"/>
          <w:szCs w:val="24"/>
        </w:rPr>
        <w:t>号）</w:t>
      </w:r>
      <w:r>
        <w:rPr>
          <w:color w:val="auto"/>
          <w:szCs w:val="24"/>
        </w:rPr>
        <w:t>的要求</w:t>
      </w:r>
      <w:r>
        <w:rPr>
          <w:bCs/>
          <w:iCs/>
          <w:color w:val="auto"/>
          <w:spacing w:val="6"/>
          <w:szCs w:val="24"/>
        </w:rPr>
        <w:t>，</w:t>
      </w:r>
      <w:r>
        <w:rPr>
          <w:color w:val="auto"/>
          <w:szCs w:val="24"/>
        </w:rPr>
        <w:t>本项目按</w:t>
      </w:r>
      <w:r>
        <w:rPr>
          <w:color w:val="auto"/>
          <w:szCs w:val="24"/>
        </w:rPr>
        <w:t>1.30</w:t>
      </w:r>
      <w:r>
        <w:rPr>
          <w:color w:val="auto"/>
          <w:szCs w:val="24"/>
        </w:rPr>
        <w:t>元</w:t>
      </w:r>
      <w:r>
        <w:rPr>
          <w:color w:val="auto"/>
          <w:szCs w:val="24"/>
        </w:rPr>
        <w:t>/m</w:t>
      </w:r>
      <w:r>
        <w:rPr>
          <w:color w:val="auto"/>
          <w:szCs w:val="24"/>
          <w:vertAlign w:val="superscript"/>
        </w:rPr>
        <w:t>2</w:t>
      </w:r>
      <w:r>
        <w:rPr>
          <w:color w:val="auto"/>
          <w:szCs w:val="24"/>
        </w:rPr>
        <w:t>征收水土保持补偿费。</w:t>
      </w:r>
    </w:p>
    <w:p w:rsidR="00F44F7B" w:rsidRDefault="00730D49">
      <w:pPr>
        <w:spacing w:line="360" w:lineRule="auto"/>
        <w:ind w:firstLine="480"/>
      </w:pPr>
      <w:r>
        <w:t>7</w:t>
      </w:r>
      <w:r>
        <w:t>、</w:t>
      </w:r>
      <w:r>
        <w:rPr>
          <w:lang w:val="zh-CN"/>
        </w:rPr>
        <w:t>价格水平年</w:t>
      </w:r>
    </w:p>
    <w:p w:rsidR="00F44F7B" w:rsidRDefault="00730D49">
      <w:pPr>
        <w:widowControl/>
        <w:spacing w:line="360" w:lineRule="auto"/>
        <w:ind w:firstLine="480"/>
      </w:pPr>
      <w:r>
        <w:rPr>
          <w:color w:val="0000FF"/>
        </w:rPr>
        <w:t>价格水平年以</w:t>
      </w:r>
      <w:r>
        <w:rPr>
          <w:rFonts w:hint="eastAsia"/>
          <w:color w:val="0000FF"/>
        </w:rPr>
        <w:t>四川</w:t>
      </w:r>
      <w:r>
        <w:rPr>
          <w:color w:val="0000FF"/>
        </w:rPr>
        <w:t>省建设工程造价管理总站发布的</w:t>
      </w:r>
      <w:r>
        <w:rPr>
          <w:color w:val="0000FF"/>
        </w:rPr>
        <w:t>202</w:t>
      </w:r>
      <w:r>
        <w:rPr>
          <w:rFonts w:hint="eastAsia"/>
          <w:color w:val="0000FF"/>
        </w:rPr>
        <w:t>1</w:t>
      </w:r>
      <w:r>
        <w:rPr>
          <w:color w:val="0000FF"/>
        </w:rPr>
        <w:t>年第</w:t>
      </w:r>
      <w:r>
        <w:rPr>
          <w:rFonts w:hint="eastAsia"/>
          <w:color w:val="0000FF"/>
        </w:rPr>
        <w:t>1</w:t>
      </w:r>
      <w:r>
        <w:rPr>
          <w:color w:val="0000FF"/>
        </w:rPr>
        <w:t>季度《</w:t>
      </w:r>
      <w:r>
        <w:rPr>
          <w:rFonts w:hint="eastAsia"/>
          <w:color w:val="0000FF"/>
        </w:rPr>
        <w:t>四川</w:t>
      </w:r>
      <w:r>
        <w:rPr>
          <w:color w:val="0000FF"/>
        </w:rPr>
        <w:t>省建设工程造价信息》的价格为参考依据</w:t>
      </w:r>
      <w:r>
        <w:t>。</w:t>
      </w:r>
    </w:p>
    <w:p w:rsidR="00F44F7B" w:rsidRDefault="00730D49">
      <w:pPr>
        <w:pStyle w:val="3"/>
      </w:pPr>
      <w:r>
        <w:rPr>
          <w:rFonts w:hint="eastAsia"/>
        </w:rPr>
        <w:t>7</w:t>
      </w:r>
      <w:r>
        <w:t>.1.2</w:t>
      </w:r>
      <w:r>
        <w:rPr>
          <w:lang w:val="zh-CN"/>
        </w:rPr>
        <w:t>编制说明与</w:t>
      </w:r>
      <w:r>
        <w:t>概</w:t>
      </w:r>
      <w:r>
        <w:rPr>
          <w:lang w:val="zh-CN"/>
        </w:rPr>
        <w:t>算成果</w:t>
      </w:r>
    </w:p>
    <w:bookmarkEnd w:id="186"/>
    <w:bookmarkEnd w:id="187"/>
    <w:bookmarkEnd w:id="188"/>
    <w:p w:rsidR="00F44F7B" w:rsidRDefault="00730D49">
      <w:pPr>
        <w:spacing w:line="360" w:lineRule="auto"/>
        <w:ind w:firstLine="472"/>
        <w:rPr>
          <w:color w:val="0000FF"/>
          <w:spacing w:val="-2"/>
        </w:rPr>
      </w:pPr>
      <w:r>
        <w:rPr>
          <w:color w:val="0000FF"/>
          <w:spacing w:val="-2"/>
        </w:rPr>
        <w:t>本项目水土保持总投资</w:t>
      </w:r>
      <w:r>
        <w:rPr>
          <w:rFonts w:hint="eastAsia"/>
          <w:color w:val="0000FF"/>
          <w:spacing w:val="-2"/>
        </w:rPr>
        <w:t>19.70</w:t>
      </w:r>
      <w:r>
        <w:rPr>
          <w:color w:val="0000FF"/>
          <w:spacing w:val="-2"/>
        </w:rPr>
        <w:t>万元（其中主体投资</w:t>
      </w:r>
      <w:r>
        <w:rPr>
          <w:color w:val="0000FF"/>
          <w:spacing w:val="-2"/>
        </w:rPr>
        <w:t>8</w:t>
      </w:r>
      <w:r>
        <w:rPr>
          <w:rFonts w:hint="eastAsia"/>
          <w:color w:val="0000FF"/>
          <w:spacing w:val="-2"/>
        </w:rPr>
        <w:t>.85</w:t>
      </w:r>
      <w:r>
        <w:rPr>
          <w:color w:val="0000FF"/>
          <w:spacing w:val="-2"/>
        </w:rPr>
        <w:t>万元</w:t>
      </w:r>
      <w:r>
        <w:rPr>
          <w:bCs/>
          <w:color w:val="0000FF"/>
        </w:rPr>
        <w:t>，本方案新增水土保持投资</w:t>
      </w:r>
      <w:r>
        <w:rPr>
          <w:rFonts w:hint="eastAsia"/>
          <w:bCs/>
          <w:color w:val="0000FF"/>
        </w:rPr>
        <w:t>10.86</w:t>
      </w:r>
      <w:r>
        <w:rPr>
          <w:bCs/>
          <w:color w:val="0000FF"/>
        </w:rPr>
        <w:t>万元</w:t>
      </w:r>
      <w:r>
        <w:rPr>
          <w:color w:val="0000FF"/>
          <w:spacing w:val="-2"/>
        </w:rPr>
        <w:t>）</w:t>
      </w:r>
      <w:r>
        <w:rPr>
          <w:rFonts w:hint="eastAsia"/>
          <w:color w:val="0000FF"/>
          <w:spacing w:val="-2"/>
        </w:rPr>
        <w:t>，</w:t>
      </w:r>
      <w:r>
        <w:rPr>
          <w:color w:val="0000FF"/>
          <w:spacing w:val="-2"/>
        </w:rPr>
        <w:t>水土保持补偿费</w:t>
      </w:r>
      <w:r>
        <w:rPr>
          <w:rFonts w:hint="eastAsia"/>
          <w:color w:val="0000FF"/>
          <w:spacing w:val="-2"/>
        </w:rPr>
        <w:t>0.555</w:t>
      </w:r>
      <w:r>
        <w:rPr>
          <w:color w:val="0000FF"/>
          <w:spacing w:val="-2"/>
        </w:rPr>
        <w:t>万元</w:t>
      </w:r>
      <w:r>
        <w:rPr>
          <w:rFonts w:hint="eastAsia"/>
          <w:color w:val="0000FF"/>
          <w:spacing w:val="-2"/>
        </w:rPr>
        <w:t>。</w:t>
      </w:r>
      <w:r>
        <w:rPr>
          <w:color w:val="0000FF"/>
          <w:spacing w:val="-2"/>
        </w:rPr>
        <w:t>详见表</w:t>
      </w:r>
      <w:r>
        <w:rPr>
          <w:rFonts w:hint="eastAsia"/>
          <w:color w:val="0000FF"/>
          <w:spacing w:val="-2"/>
        </w:rPr>
        <w:t>7</w:t>
      </w:r>
      <w:r>
        <w:rPr>
          <w:color w:val="0000FF"/>
          <w:spacing w:val="-2"/>
        </w:rPr>
        <w:t>-3</w:t>
      </w:r>
      <w:r>
        <w:rPr>
          <w:color w:val="0000FF"/>
          <w:spacing w:val="-2"/>
        </w:rPr>
        <w:t>。</w:t>
      </w:r>
    </w:p>
    <w:p w:rsidR="00F44F7B" w:rsidRDefault="00730D49">
      <w:pPr>
        <w:spacing w:line="360" w:lineRule="auto"/>
        <w:ind w:firstLine="472"/>
        <w:rPr>
          <w:b/>
          <w:spacing w:val="6"/>
          <w:sz w:val="22"/>
          <w:szCs w:val="22"/>
        </w:rPr>
      </w:pPr>
      <w:r>
        <w:rPr>
          <w:b/>
          <w:spacing w:val="6"/>
          <w:sz w:val="22"/>
          <w:szCs w:val="22"/>
        </w:rPr>
        <w:t>表</w:t>
      </w:r>
      <w:r>
        <w:rPr>
          <w:rFonts w:hint="eastAsia"/>
          <w:b/>
          <w:spacing w:val="6"/>
          <w:sz w:val="22"/>
          <w:szCs w:val="22"/>
        </w:rPr>
        <w:t>7</w:t>
      </w:r>
      <w:r>
        <w:rPr>
          <w:b/>
          <w:spacing w:val="6"/>
          <w:sz w:val="22"/>
          <w:szCs w:val="22"/>
        </w:rPr>
        <w:t xml:space="preserve">-3      </w:t>
      </w:r>
      <w:r>
        <w:rPr>
          <w:b/>
          <w:spacing w:val="6"/>
          <w:sz w:val="22"/>
          <w:szCs w:val="22"/>
        </w:rPr>
        <w:t>投资概算总表</w:t>
      </w:r>
      <w:r>
        <w:rPr>
          <w:b/>
          <w:spacing w:val="6"/>
          <w:sz w:val="22"/>
          <w:szCs w:val="22"/>
        </w:rPr>
        <w:t xml:space="preserve">         </w:t>
      </w:r>
      <w:r>
        <w:rPr>
          <w:b/>
          <w:spacing w:val="6"/>
          <w:sz w:val="22"/>
          <w:szCs w:val="22"/>
        </w:rPr>
        <w:t>单位：万元</w:t>
      </w:r>
    </w:p>
    <w:tbl>
      <w:tblPr>
        <w:tblW w:w="4998" w:type="pct"/>
        <w:tblCellMar>
          <w:left w:w="0" w:type="dxa"/>
          <w:right w:w="0" w:type="dxa"/>
        </w:tblCellMar>
        <w:tblLook w:val="04A0" w:firstRow="1" w:lastRow="0" w:firstColumn="1" w:lastColumn="0" w:noHBand="0" w:noVBand="1"/>
      </w:tblPr>
      <w:tblGrid>
        <w:gridCol w:w="619"/>
        <w:gridCol w:w="2059"/>
        <w:gridCol w:w="1235"/>
        <w:gridCol w:w="1235"/>
        <w:gridCol w:w="995"/>
        <w:gridCol w:w="579"/>
        <w:gridCol w:w="1476"/>
        <w:gridCol w:w="576"/>
      </w:tblGrid>
      <w:tr w:rsidR="00F44F7B">
        <w:trPr>
          <w:trHeight w:val="300"/>
        </w:trPr>
        <w:tc>
          <w:tcPr>
            <w:tcW w:w="352" w:type="pct"/>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rFonts w:hint="eastAsia"/>
                <w:color w:val="0000FF"/>
                <w:sz w:val="20"/>
                <w:szCs w:val="20"/>
              </w:rPr>
              <w:t>序号</w:t>
            </w:r>
          </w:p>
        </w:tc>
        <w:tc>
          <w:tcPr>
            <w:tcW w:w="1173" w:type="pct"/>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rFonts w:hint="eastAsia"/>
                <w:color w:val="0000FF"/>
                <w:sz w:val="20"/>
                <w:szCs w:val="20"/>
              </w:rPr>
              <w:t>工程或费用名称</w:t>
            </w:r>
          </w:p>
        </w:tc>
        <w:tc>
          <w:tcPr>
            <w:tcW w:w="2305" w:type="pct"/>
            <w:gridSpan w:val="4"/>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rFonts w:hint="eastAsia"/>
                <w:color w:val="0000FF"/>
                <w:sz w:val="20"/>
                <w:szCs w:val="20"/>
              </w:rPr>
              <w:t>方案新增投资</w:t>
            </w:r>
          </w:p>
        </w:tc>
        <w:tc>
          <w:tcPr>
            <w:tcW w:w="841" w:type="pct"/>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rFonts w:hint="eastAsia"/>
                <w:color w:val="0000FF"/>
                <w:sz w:val="20"/>
                <w:szCs w:val="20"/>
              </w:rPr>
              <w:t>主体已列投资</w:t>
            </w:r>
          </w:p>
        </w:tc>
        <w:tc>
          <w:tcPr>
            <w:tcW w:w="328" w:type="pct"/>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rFonts w:hint="eastAsia"/>
                <w:color w:val="0000FF"/>
                <w:sz w:val="20"/>
                <w:szCs w:val="20"/>
              </w:rPr>
              <w:t>合计</w:t>
            </w:r>
          </w:p>
        </w:tc>
      </w:tr>
      <w:tr w:rsidR="00F44F7B">
        <w:trPr>
          <w:trHeight w:val="300"/>
        </w:trPr>
        <w:tc>
          <w:tcPr>
            <w:tcW w:w="352" w:type="pct"/>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1173" w:type="pct"/>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7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rFonts w:hint="eastAsia"/>
                <w:color w:val="0000FF"/>
                <w:sz w:val="20"/>
                <w:szCs w:val="20"/>
              </w:rPr>
              <w:t>建安工程费</w:t>
            </w:r>
          </w:p>
        </w:tc>
        <w:tc>
          <w:tcPr>
            <w:tcW w:w="7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rFonts w:hint="eastAsia"/>
                <w:color w:val="0000FF"/>
                <w:sz w:val="20"/>
                <w:szCs w:val="20"/>
              </w:rPr>
              <w:t>植物措施费</w:t>
            </w:r>
          </w:p>
        </w:tc>
        <w:tc>
          <w:tcPr>
            <w:tcW w:w="56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rFonts w:hint="eastAsia"/>
                <w:color w:val="0000FF"/>
                <w:sz w:val="20"/>
                <w:szCs w:val="20"/>
              </w:rPr>
              <w:t>独立费用</w:t>
            </w:r>
          </w:p>
        </w:tc>
        <w:tc>
          <w:tcPr>
            <w:tcW w:w="32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rFonts w:hint="eastAsia"/>
                <w:color w:val="0000FF"/>
                <w:sz w:val="20"/>
                <w:szCs w:val="20"/>
              </w:rPr>
              <w:t>小计</w:t>
            </w:r>
          </w:p>
        </w:tc>
        <w:tc>
          <w:tcPr>
            <w:tcW w:w="841" w:type="pct"/>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328" w:type="pct"/>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r>
      <w:tr w:rsidR="00F44F7B">
        <w:trPr>
          <w:trHeight w:val="300"/>
        </w:trPr>
        <w:tc>
          <w:tcPr>
            <w:tcW w:w="1525"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rFonts w:hint="eastAsia"/>
                <w:color w:val="0000FF"/>
                <w:sz w:val="20"/>
                <w:szCs w:val="20"/>
              </w:rPr>
              <w:t>第一部分</w:t>
            </w:r>
            <w:r>
              <w:rPr>
                <w:color w:val="0000FF"/>
                <w:sz w:val="20"/>
                <w:szCs w:val="20"/>
              </w:rPr>
              <w:t xml:space="preserve"> </w:t>
            </w:r>
            <w:r>
              <w:rPr>
                <w:rFonts w:hint="eastAsia"/>
                <w:color w:val="0000FF"/>
                <w:sz w:val="20"/>
                <w:szCs w:val="20"/>
              </w:rPr>
              <w:t>工程措施</w:t>
            </w:r>
          </w:p>
        </w:tc>
        <w:tc>
          <w:tcPr>
            <w:tcW w:w="7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7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56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32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84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 xml:space="preserve">8.00 </w:t>
            </w:r>
          </w:p>
        </w:tc>
        <w:tc>
          <w:tcPr>
            <w:tcW w:w="32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 xml:space="preserve">8.00 </w:t>
            </w:r>
          </w:p>
        </w:tc>
      </w:tr>
      <w:tr w:rsidR="00F44F7B">
        <w:trPr>
          <w:trHeight w:val="300"/>
        </w:trPr>
        <w:tc>
          <w:tcPr>
            <w:tcW w:w="35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1</w:t>
            </w:r>
          </w:p>
        </w:tc>
        <w:tc>
          <w:tcPr>
            <w:tcW w:w="117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rFonts w:hint="eastAsia"/>
                <w:color w:val="0000FF"/>
                <w:sz w:val="20"/>
                <w:szCs w:val="20"/>
              </w:rPr>
              <w:t>建构筑物区</w:t>
            </w:r>
          </w:p>
        </w:tc>
        <w:tc>
          <w:tcPr>
            <w:tcW w:w="7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7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56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32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84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 xml:space="preserve">6.42 </w:t>
            </w:r>
          </w:p>
        </w:tc>
        <w:tc>
          <w:tcPr>
            <w:tcW w:w="32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 xml:space="preserve">6.42 </w:t>
            </w:r>
          </w:p>
        </w:tc>
      </w:tr>
      <w:tr w:rsidR="00F44F7B">
        <w:trPr>
          <w:trHeight w:val="300"/>
        </w:trPr>
        <w:tc>
          <w:tcPr>
            <w:tcW w:w="35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2</w:t>
            </w:r>
          </w:p>
        </w:tc>
        <w:tc>
          <w:tcPr>
            <w:tcW w:w="117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配套设施区</w:t>
            </w:r>
          </w:p>
        </w:tc>
        <w:tc>
          <w:tcPr>
            <w:tcW w:w="7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7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56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32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84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 xml:space="preserve">1.59 </w:t>
            </w:r>
          </w:p>
        </w:tc>
        <w:tc>
          <w:tcPr>
            <w:tcW w:w="32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 xml:space="preserve">1.59 </w:t>
            </w:r>
          </w:p>
        </w:tc>
      </w:tr>
      <w:tr w:rsidR="00F44F7B">
        <w:trPr>
          <w:trHeight w:val="300"/>
        </w:trPr>
        <w:tc>
          <w:tcPr>
            <w:tcW w:w="1525"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rFonts w:hint="eastAsia"/>
                <w:color w:val="0000FF"/>
                <w:sz w:val="20"/>
                <w:szCs w:val="20"/>
              </w:rPr>
              <w:t>第二部分</w:t>
            </w:r>
            <w:r>
              <w:rPr>
                <w:color w:val="0000FF"/>
                <w:sz w:val="20"/>
                <w:szCs w:val="20"/>
              </w:rPr>
              <w:t xml:space="preserve"> </w:t>
            </w:r>
            <w:r>
              <w:rPr>
                <w:rFonts w:hint="eastAsia"/>
                <w:color w:val="0000FF"/>
                <w:sz w:val="20"/>
                <w:szCs w:val="20"/>
              </w:rPr>
              <w:t>植物措施</w:t>
            </w:r>
          </w:p>
        </w:tc>
        <w:tc>
          <w:tcPr>
            <w:tcW w:w="7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7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56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32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84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 xml:space="preserve">0.25 </w:t>
            </w:r>
          </w:p>
        </w:tc>
        <w:tc>
          <w:tcPr>
            <w:tcW w:w="32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 xml:space="preserve">0.25 </w:t>
            </w:r>
          </w:p>
        </w:tc>
      </w:tr>
      <w:tr w:rsidR="00F44F7B">
        <w:trPr>
          <w:trHeight w:val="300"/>
        </w:trPr>
        <w:tc>
          <w:tcPr>
            <w:tcW w:w="35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1</w:t>
            </w:r>
          </w:p>
        </w:tc>
        <w:tc>
          <w:tcPr>
            <w:tcW w:w="117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配套设施区</w:t>
            </w:r>
          </w:p>
        </w:tc>
        <w:tc>
          <w:tcPr>
            <w:tcW w:w="7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7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56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32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84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 xml:space="preserve">0.25 </w:t>
            </w:r>
          </w:p>
        </w:tc>
        <w:tc>
          <w:tcPr>
            <w:tcW w:w="32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 xml:space="preserve">0.25 </w:t>
            </w:r>
          </w:p>
        </w:tc>
      </w:tr>
      <w:tr w:rsidR="00F44F7B">
        <w:trPr>
          <w:trHeight w:val="300"/>
        </w:trPr>
        <w:tc>
          <w:tcPr>
            <w:tcW w:w="1525"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rFonts w:hint="eastAsia"/>
                <w:color w:val="0000FF"/>
                <w:sz w:val="20"/>
                <w:szCs w:val="20"/>
              </w:rPr>
              <w:t>第三部分</w:t>
            </w:r>
            <w:r>
              <w:rPr>
                <w:color w:val="0000FF"/>
                <w:sz w:val="20"/>
                <w:szCs w:val="20"/>
              </w:rPr>
              <w:t xml:space="preserve"> </w:t>
            </w:r>
            <w:r>
              <w:rPr>
                <w:rFonts w:hint="eastAsia"/>
                <w:color w:val="0000FF"/>
                <w:sz w:val="20"/>
                <w:szCs w:val="20"/>
              </w:rPr>
              <w:t>监测措施</w:t>
            </w:r>
          </w:p>
        </w:tc>
        <w:tc>
          <w:tcPr>
            <w:tcW w:w="7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 xml:space="preserve">3.00 </w:t>
            </w:r>
          </w:p>
        </w:tc>
        <w:tc>
          <w:tcPr>
            <w:tcW w:w="7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56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32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 xml:space="preserve">3.00 </w:t>
            </w:r>
          </w:p>
        </w:tc>
        <w:tc>
          <w:tcPr>
            <w:tcW w:w="84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32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 xml:space="preserve">3.00 </w:t>
            </w:r>
          </w:p>
        </w:tc>
      </w:tr>
      <w:tr w:rsidR="00F44F7B">
        <w:trPr>
          <w:trHeight w:val="300"/>
        </w:trPr>
        <w:tc>
          <w:tcPr>
            <w:tcW w:w="1525"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rFonts w:hint="eastAsia"/>
                <w:color w:val="0000FF"/>
                <w:sz w:val="20"/>
                <w:szCs w:val="20"/>
              </w:rPr>
              <w:lastRenderedPageBreak/>
              <w:t>第四部分</w:t>
            </w:r>
            <w:r>
              <w:rPr>
                <w:color w:val="0000FF"/>
                <w:sz w:val="20"/>
                <w:szCs w:val="20"/>
              </w:rPr>
              <w:t xml:space="preserve"> </w:t>
            </w:r>
            <w:r>
              <w:rPr>
                <w:rFonts w:hint="eastAsia"/>
                <w:color w:val="0000FF"/>
                <w:sz w:val="20"/>
                <w:szCs w:val="20"/>
              </w:rPr>
              <w:t>施工临时工程</w:t>
            </w:r>
          </w:p>
        </w:tc>
        <w:tc>
          <w:tcPr>
            <w:tcW w:w="7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7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56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32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84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 xml:space="preserve">0.60 </w:t>
            </w:r>
          </w:p>
        </w:tc>
        <w:tc>
          <w:tcPr>
            <w:tcW w:w="32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 xml:space="preserve">0.60 </w:t>
            </w:r>
          </w:p>
        </w:tc>
      </w:tr>
      <w:tr w:rsidR="00F44F7B">
        <w:trPr>
          <w:trHeight w:val="300"/>
        </w:trPr>
        <w:tc>
          <w:tcPr>
            <w:tcW w:w="35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1</w:t>
            </w:r>
          </w:p>
        </w:tc>
        <w:tc>
          <w:tcPr>
            <w:tcW w:w="117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rFonts w:hint="eastAsia"/>
                <w:color w:val="0000FF"/>
                <w:sz w:val="20"/>
                <w:szCs w:val="20"/>
              </w:rPr>
              <w:t>建构筑物区</w:t>
            </w:r>
          </w:p>
        </w:tc>
        <w:tc>
          <w:tcPr>
            <w:tcW w:w="7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7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56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32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84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 xml:space="preserve">0.17 </w:t>
            </w:r>
          </w:p>
        </w:tc>
        <w:tc>
          <w:tcPr>
            <w:tcW w:w="32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 xml:space="preserve">0.17 </w:t>
            </w:r>
          </w:p>
        </w:tc>
      </w:tr>
      <w:tr w:rsidR="00F44F7B">
        <w:trPr>
          <w:trHeight w:val="300"/>
        </w:trPr>
        <w:tc>
          <w:tcPr>
            <w:tcW w:w="35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2</w:t>
            </w:r>
          </w:p>
        </w:tc>
        <w:tc>
          <w:tcPr>
            <w:tcW w:w="117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rFonts w:hint="eastAsia"/>
                <w:color w:val="0000FF"/>
                <w:sz w:val="20"/>
                <w:szCs w:val="20"/>
              </w:rPr>
              <w:t>配套设施区</w:t>
            </w:r>
          </w:p>
        </w:tc>
        <w:tc>
          <w:tcPr>
            <w:tcW w:w="7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7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56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32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84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 xml:space="preserve">0.42 </w:t>
            </w:r>
          </w:p>
        </w:tc>
        <w:tc>
          <w:tcPr>
            <w:tcW w:w="32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 xml:space="preserve">0.42 </w:t>
            </w:r>
          </w:p>
        </w:tc>
      </w:tr>
      <w:tr w:rsidR="00F44F7B">
        <w:trPr>
          <w:trHeight w:val="300"/>
        </w:trPr>
        <w:tc>
          <w:tcPr>
            <w:tcW w:w="1525"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rFonts w:hint="eastAsia"/>
                <w:color w:val="0000FF"/>
                <w:sz w:val="20"/>
                <w:szCs w:val="20"/>
              </w:rPr>
              <w:t>第五部分</w:t>
            </w:r>
            <w:r>
              <w:rPr>
                <w:color w:val="0000FF"/>
                <w:sz w:val="20"/>
                <w:szCs w:val="20"/>
              </w:rPr>
              <w:t xml:space="preserve"> </w:t>
            </w:r>
            <w:r>
              <w:rPr>
                <w:rFonts w:hint="eastAsia"/>
                <w:color w:val="0000FF"/>
                <w:sz w:val="20"/>
                <w:szCs w:val="20"/>
              </w:rPr>
              <w:t>独立费用</w:t>
            </w:r>
          </w:p>
        </w:tc>
        <w:tc>
          <w:tcPr>
            <w:tcW w:w="7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7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56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 xml:space="preserve">7.30 </w:t>
            </w:r>
          </w:p>
        </w:tc>
        <w:tc>
          <w:tcPr>
            <w:tcW w:w="32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 xml:space="preserve">7.30 </w:t>
            </w:r>
          </w:p>
        </w:tc>
        <w:tc>
          <w:tcPr>
            <w:tcW w:w="84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32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 xml:space="preserve">7.30 </w:t>
            </w:r>
          </w:p>
        </w:tc>
      </w:tr>
      <w:tr w:rsidR="00F44F7B">
        <w:trPr>
          <w:trHeight w:val="300"/>
        </w:trPr>
        <w:tc>
          <w:tcPr>
            <w:tcW w:w="35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1</w:t>
            </w:r>
          </w:p>
        </w:tc>
        <w:tc>
          <w:tcPr>
            <w:tcW w:w="117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rFonts w:hint="eastAsia"/>
                <w:color w:val="0000FF"/>
                <w:sz w:val="20"/>
                <w:szCs w:val="20"/>
              </w:rPr>
              <w:t>建设管理费</w:t>
            </w:r>
          </w:p>
        </w:tc>
        <w:tc>
          <w:tcPr>
            <w:tcW w:w="7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7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56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32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84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32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r>
      <w:tr w:rsidR="00F44F7B">
        <w:trPr>
          <w:trHeight w:val="300"/>
        </w:trPr>
        <w:tc>
          <w:tcPr>
            <w:tcW w:w="35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2</w:t>
            </w:r>
          </w:p>
        </w:tc>
        <w:tc>
          <w:tcPr>
            <w:tcW w:w="117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rFonts w:hint="eastAsia"/>
                <w:color w:val="0000FF"/>
                <w:sz w:val="20"/>
                <w:szCs w:val="20"/>
              </w:rPr>
              <w:t>科研勘测设计费</w:t>
            </w:r>
          </w:p>
        </w:tc>
        <w:tc>
          <w:tcPr>
            <w:tcW w:w="7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7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56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 xml:space="preserve">3.50 </w:t>
            </w:r>
          </w:p>
        </w:tc>
        <w:tc>
          <w:tcPr>
            <w:tcW w:w="32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 xml:space="preserve">3.50 </w:t>
            </w:r>
          </w:p>
        </w:tc>
        <w:tc>
          <w:tcPr>
            <w:tcW w:w="84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32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 xml:space="preserve">3.50 </w:t>
            </w:r>
          </w:p>
        </w:tc>
      </w:tr>
      <w:tr w:rsidR="00F44F7B">
        <w:trPr>
          <w:trHeight w:val="300"/>
        </w:trPr>
        <w:tc>
          <w:tcPr>
            <w:tcW w:w="35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3</w:t>
            </w:r>
          </w:p>
        </w:tc>
        <w:tc>
          <w:tcPr>
            <w:tcW w:w="117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rFonts w:hint="eastAsia"/>
                <w:color w:val="0000FF"/>
                <w:sz w:val="20"/>
                <w:szCs w:val="20"/>
              </w:rPr>
              <w:t>工程建设监理费</w:t>
            </w:r>
          </w:p>
        </w:tc>
        <w:tc>
          <w:tcPr>
            <w:tcW w:w="7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7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56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32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84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32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r>
      <w:tr w:rsidR="00F44F7B">
        <w:trPr>
          <w:trHeight w:val="300"/>
        </w:trPr>
        <w:tc>
          <w:tcPr>
            <w:tcW w:w="35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4</w:t>
            </w:r>
          </w:p>
        </w:tc>
        <w:tc>
          <w:tcPr>
            <w:tcW w:w="117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rFonts w:hint="eastAsia"/>
                <w:color w:val="0000FF"/>
                <w:sz w:val="20"/>
                <w:szCs w:val="20"/>
              </w:rPr>
              <w:t>验收报告编制费</w:t>
            </w:r>
          </w:p>
        </w:tc>
        <w:tc>
          <w:tcPr>
            <w:tcW w:w="7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7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56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 xml:space="preserve">3.80 </w:t>
            </w:r>
          </w:p>
        </w:tc>
        <w:tc>
          <w:tcPr>
            <w:tcW w:w="32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 xml:space="preserve">3.80 </w:t>
            </w:r>
          </w:p>
        </w:tc>
        <w:tc>
          <w:tcPr>
            <w:tcW w:w="84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32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 xml:space="preserve">3.80 </w:t>
            </w:r>
          </w:p>
        </w:tc>
      </w:tr>
      <w:tr w:rsidR="00F44F7B">
        <w:trPr>
          <w:trHeight w:val="300"/>
        </w:trPr>
        <w:tc>
          <w:tcPr>
            <w:tcW w:w="35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5</w:t>
            </w:r>
          </w:p>
        </w:tc>
        <w:tc>
          <w:tcPr>
            <w:tcW w:w="117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rFonts w:hint="eastAsia"/>
                <w:color w:val="0000FF"/>
                <w:sz w:val="20"/>
                <w:szCs w:val="20"/>
              </w:rPr>
              <w:t>招标代理服务费</w:t>
            </w:r>
          </w:p>
        </w:tc>
        <w:tc>
          <w:tcPr>
            <w:tcW w:w="7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7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56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32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84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32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r>
      <w:tr w:rsidR="00F44F7B">
        <w:trPr>
          <w:trHeight w:val="300"/>
        </w:trPr>
        <w:tc>
          <w:tcPr>
            <w:tcW w:w="35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6</w:t>
            </w:r>
          </w:p>
        </w:tc>
        <w:tc>
          <w:tcPr>
            <w:tcW w:w="117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rFonts w:hint="eastAsia"/>
                <w:color w:val="0000FF"/>
                <w:sz w:val="20"/>
                <w:szCs w:val="20"/>
              </w:rPr>
              <w:t>经济技术咨询费</w:t>
            </w:r>
          </w:p>
        </w:tc>
        <w:tc>
          <w:tcPr>
            <w:tcW w:w="7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7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56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32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84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32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r>
      <w:tr w:rsidR="00F44F7B">
        <w:trPr>
          <w:trHeight w:val="300"/>
        </w:trPr>
        <w:tc>
          <w:tcPr>
            <w:tcW w:w="1525"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rFonts w:hint="eastAsia"/>
                <w:color w:val="0000FF"/>
                <w:sz w:val="20"/>
                <w:szCs w:val="20"/>
              </w:rPr>
              <w:t>第一至五部分合计</w:t>
            </w:r>
          </w:p>
        </w:tc>
        <w:tc>
          <w:tcPr>
            <w:tcW w:w="7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 xml:space="preserve">3.00 </w:t>
            </w:r>
          </w:p>
        </w:tc>
        <w:tc>
          <w:tcPr>
            <w:tcW w:w="7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56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 xml:space="preserve">7.30 </w:t>
            </w:r>
          </w:p>
        </w:tc>
        <w:tc>
          <w:tcPr>
            <w:tcW w:w="32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 xml:space="preserve">10.30 </w:t>
            </w:r>
          </w:p>
        </w:tc>
        <w:tc>
          <w:tcPr>
            <w:tcW w:w="84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 xml:space="preserve">8.85 </w:t>
            </w:r>
          </w:p>
        </w:tc>
        <w:tc>
          <w:tcPr>
            <w:tcW w:w="32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 xml:space="preserve">19.15 </w:t>
            </w:r>
          </w:p>
        </w:tc>
      </w:tr>
      <w:tr w:rsidR="00F44F7B">
        <w:trPr>
          <w:trHeight w:val="300"/>
        </w:trPr>
        <w:tc>
          <w:tcPr>
            <w:tcW w:w="1525"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rFonts w:hint="eastAsia"/>
                <w:color w:val="0000FF"/>
                <w:sz w:val="20"/>
                <w:szCs w:val="20"/>
              </w:rPr>
              <w:t>第六部分</w:t>
            </w:r>
            <w:r>
              <w:rPr>
                <w:color w:val="0000FF"/>
                <w:sz w:val="20"/>
                <w:szCs w:val="20"/>
              </w:rPr>
              <w:t xml:space="preserve"> </w:t>
            </w:r>
            <w:r>
              <w:rPr>
                <w:rFonts w:hint="eastAsia"/>
                <w:color w:val="0000FF"/>
                <w:sz w:val="20"/>
                <w:szCs w:val="20"/>
              </w:rPr>
              <w:t>基本预备费</w:t>
            </w:r>
          </w:p>
        </w:tc>
        <w:tc>
          <w:tcPr>
            <w:tcW w:w="7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7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56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32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84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32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r>
      <w:tr w:rsidR="00F44F7B">
        <w:trPr>
          <w:trHeight w:val="300"/>
        </w:trPr>
        <w:tc>
          <w:tcPr>
            <w:tcW w:w="1525"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rFonts w:hint="eastAsia"/>
                <w:color w:val="0000FF"/>
                <w:sz w:val="20"/>
                <w:szCs w:val="20"/>
              </w:rPr>
              <w:t>第七部分水土保持补偿费</w:t>
            </w:r>
          </w:p>
        </w:tc>
        <w:tc>
          <w:tcPr>
            <w:tcW w:w="3146" w:type="pct"/>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1.3</w:t>
            </w:r>
            <w:r>
              <w:rPr>
                <w:rFonts w:hint="eastAsia"/>
                <w:color w:val="0000FF"/>
                <w:sz w:val="20"/>
                <w:szCs w:val="20"/>
              </w:rPr>
              <w:t>元</w:t>
            </w:r>
            <w:r>
              <w:rPr>
                <w:color w:val="0000FF"/>
                <w:sz w:val="20"/>
                <w:szCs w:val="20"/>
              </w:rPr>
              <w:t>/m2</w:t>
            </w:r>
            <w:r>
              <w:rPr>
                <w:rFonts w:hint="eastAsia"/>
                <w:color w:val="0000FF"/>
                <w:sz w:val="20"/>
                <w:szCs w:val="20"/>
              </w:rPr>
              <w:t>（征占地）</w:t>
            </w:r>
          </w:p>
        </w:tc>
        <w:tc>
          <w:tcPr>
            <w:tcW w:w="32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 xml:space="preserve">0.555 </w:t>
            </w:r>
          </w:p>
        </w:tc>
      </w:tr>
      <w:tr w:rsidR="00F44F7B">
        <w:trPr>
          <w:trHeight w:val="300"/>
        </w:trPr>
        <w:tc>
          <w:tcPr>
            <w:tcW w:w="1525"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rFonts w:hint="eastAsia"/>
                <w:color w:val="0000FF"/>
                <w:sz w:val="20"/>
                <w:szCs w:val="20"/>
              </w:rPr>
              <w:t>已有水保投资合计</w:t>
            </w:r>
          </w:p>
        </w:tc>
        <w:tc>
          <w:tcPr>
            <w:tcW w:w="704" w:type="pct"/>
            <w:tcBorders>
              <w:top w:val="single" w:sz="4" w:space="0" w:color="000000"/>
              <w:left w:val="single" w:sz="4" w:space="0" w:color="000000"/>
              <w:bottom w:val="single" w:sz="4" w:space="0" w:color="000000"/>
              <w:right w:val="nil"/>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704" w:type="pct"/>
            <w:tcBorders>
              <w:top w:val="single" w:sz="4" w:space="0" w:color="000000"/>
              <w:left w:val="nil"/>
              <w:bottom w:val="single" w:sz="4" w:space="0" w:color="000000"/>
              <w:right w:val="nil"/>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567" w:type="pct"/>
            <w:tcBorders>
              <w:top w:val="single" w:sz="4" w:space="0" w:color="000000"/>
              <w:left w:val="nil"/>
              <w:bottom w:val="single" w:sz="4" w:space="0" w:color="000000"/>
              <w:right w:val="nil"/>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328" w:type="pct"/>
            <w:tcBorders>
              <w:top w:val="single" w:sz="4" w:space="0" w:color="000000"/>
              <w:left w:val="nil"/>
              <w:bottom w:val="single" w:sz="4" w:space="0" w:color="000000"/>
              <w:right w:val="nil"/>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841" w:type="pct"/>
            <w:tcBorders>
              <w:top w:val="single" w:sz="4" w:space="0" w:color="000000"/>
              <w:left w:val="nil"/>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32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 xml:space="preserve">8.85 </w:t>
            </w:r>
          </w:p>
        </w:tc>
      </w:tr>
      <w:tr w:rsidR="00F44F7B">
        <w:trPr>
          <w:trHeight w:val="300"/>
        </w:trPr>
        <w:tc>
          <w:tcPr>
            <w:tcW w:w="1525"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rFonts w:hint="eastAsia"/>
                <w:color w:val="0000FF"/>
                <w:sz w:val="20"/>
                <w:szCs w:val="20"/>
              </w:rPr>
              <w:t>新增水保投资合计</w:t>
            </w:r>
          </w:p>
        </w:tc>
        <w:tc>
          <w:tcPr>
            <w:tcW w:w="704" w:type="pct"/>
            <w:tcBorders>
              <w:top w:val="single" w:sz="4" w:space="0" w:color="000000"/>
              <w:left w:val="single" w:sz="4" w:space="0" w:color="000000"/>
              <w:bottom w:val="single" w:sz="4" w:space="0" w:color="000000"/>
              <w:right w:val="nil"/>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704" w:type="pct"/>
            <w:tcBorders>
              <w:top w:val="single" w:sz="4" w:space="0" w:color="000000"/>
              <w:left w:val="nil"/>
              <w:bottom w:val="single" w:sz="4" w:space="0" w:color="000000"/>
              <w:right w:val="nil"/>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567" w:type="pct"/>
            <w:tcBorders>
              <w:top w:val="single" w:sz="4" w:space="0" w:color="000000"/>
              <w:left w:val="nil"/>
              <w:bottom w:val="single" w:sz="4" w:space="0" w:color="000000"/>
              <w:right w:val="nil"/>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328" w:type="pct"/>
            <w:tcBorders>
              <w:top w:val="single" w:sz="4" w:space="0" w:color="000000"/>
              <w:left w:val="nil"/>
              <w:bottom w:val="single" w:sz="4" w:space="0" w:color="000000"/>
              <w:right w:val="nil"/>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841" w:type="pct"/>
            <w:tcBorders>
              <w:top w:val="single" w:sz="4" w:space="0" w:color="000000"/>
              <w:left w:val="nil"/>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32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 xml:space="preserve">10.86 </w:t>
            </w:r>
          </w:p>
        </w:tc>
      </w:tr>
      <w:tr w:rsidR="00F44F7B">
        <w:trPr>
          <w:trHeight w:val="300"/>
        </w:trPr>
        <w:tc>
          <w:tcPr>
            <w:tcW w:w="1525"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rFonts w:hint="eastAsia"/>
                <w:color w:val="0000FF"/>
                <w:sz w:val="20"/>
                <w:szCs w:val="20"/>
              </w:rPr>
              <w:t>水保措施总投资</w:t>
            </w:r>
          </w:p>
        </w:tc>
        <w:tc>
          <w:tcPr>
            <w:tcW w:w="7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 xml:space="preserve">3.00 </w:t>
            </w:r>
          </w:p>
        </w:tc>
        <w:tc>
          <w:tcPr>
            <w:tcW w:w="70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sz w:val="20"/>
                <w:szCs w:val="20"/>
              </w:rPr>
            </w:pPr>
          </w:p>
        </w:tc>
        <w:tc>
          <w:tcPr>
            <w:tcW w:w="56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 xml:space="preserve">7.30 </w:t>
            </w:r>
          </w:p>
        </w:tc>
        <w:tc>
          <w:tcPr>
            <w:tcW w:w="32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 xml:space="preserve">10.30 </w:t>
            </w:r>
          </w:p>
        </w:tc>
        <w:tc>
          <w:tcPr>
            <w:tcW w:w="84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 xml:space="preserve">8.85 </w:t>
            </w:r>
          </w:p>
        </w:tc>
        <w:tc>
          <w:tcPr>
            <w:tcW w:w="32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sz w:val="20"/>
                <w:szCs w:val="20"/>
              </w:rPr>
            </w:pPr>
            <w:r>
              <w:rPr>
                <w:color w:val="0000FF"/>
                <w:sz w:val="20"/>
                <w:szCs w:val="20"/>
              </w:rPr>
              <w:t xml:space="preserve">19.70 </w:t>
            </w:r>
          </w:p>
        </w:tc>
      </w:tr>
    </w:tbl>
    <w:p w:rsidR="00F44F7B" w:rsidRDefault="00F44F7B">
      <w:pPr>
        <w:pStyle w:val="a4"/>
        <w:ind w:left="480"/>
      </w:pPr>
    </w:p>
    <w:p w:rsidR="00F44F7B" w:rsidRDefault="00730D49">
      <w:pPr>
        <w:pStyle w:val="ad"/>
        <w:spacing w:beforeLines="50" w:before="156" w:line="240" w:lineRule="auto"/>
        <w:ind w:firstLine="442"/>
        <w:jc w:val="center"/>
        <w:rPr>
          <w:b/>
          <w:bCs/>
          <w:sz w:val="22"/>
          <w:szCs w:val="22"/>
        </w:rPr>
      </w:pPr>
      <w:bookmarkStart w:id="189" w:name="_Toc212885331"/>
      <w:bookmarkStart w:id="190" w:name="_Toc32064"/>
      <w:bookmarkStart w:id="191" w:name="_Toc4385"/>
      <w:bookmarkStart w:id="192" w:name="_Toc205693034"/>
      <w:bookmarkStart w:id="193" w:name="_Toc215217996"/>
      <w:bookmarkStart w:id="194" w:name="_Toc11119"/>
      <w:bookmarkStart w:id="195" w:name="_Toc215218075"/>
      <w:bookmarkStart w:id="196" w:name="_Toc215217917"/>
      <w:bookmarkStart w:id="197" w:name="_Toc117306601"/>
      <w:bookmarkStart w:id="198" w:name="_Toc158454435"/>
      <w:bookmarkStart w:id="199" w:name="_Toc113674773"/>
      <w:r>
        <w:rPr>
          <w:b/>
          <w:bCs/>
          <w:sz w:val="22"/>
          <w:szCs w:val="22"/>
        </w:rPr>
        <w:t>表</w:t>
      </w:r>
      <w:r>
        <w:rPr>
          <w:rFonts w:hint="eastAsia"/>
          <w:b/>
          <w:bCs/>
          <w:sz w:val="22"/>
          <w:szCs w:val="22"/>
        </w:rPr>
        <w:t>7-4</w:t>
      </w:r>
      <w:r>
        <w:rPr>
          <w:b/>
          <w:bCs/>
          <w:sz w:val="22"/>
          <w:szCs w:val="22"/>
        </w:rPr>
        <w:t xml:space="preserve">     </w:t>
      </w:r>
      <w:r>
        <w:rPr>
          <w:b/>
          <w:bCs/>
          <w:sz w:val="22"/>
          <w:szCs w:val="22"/>
        </w:rPr>
        <w:t>水土保持补偿费计算表</w:t>
      </w:r>
      <w:r>
        <w:rPr>
          <w:b/>
          <w:bCs/>
          <w:sz w:val="22"/>
          <w:szCs w:val="22"/>
        </w:rPr>
        <w:t xml:space="preserve">     </w:t>
      </w:r>
      <w:r>
        <w:rPr>
          <w:b/>
          <w:bCs/>
          <w:sz w:val="22"/>
          <w:szCs w:val="22"/>
        </w:rPr>
        <w:t>单位：元</w:t>
      </w:r>
    </w:p>
    <w:tbl>
      <w:tblPr>
        <w:tblW w:w="4997" w:type="pct"/>
        <w:jc w:val="center"/>
        <w:tblCellMar>
          <w:left w:w="0" w:type="dxa"/>
          <w:right w:w="0" w:type="dxa"/>
        </w:tblCellMar>
        <w:tblLook w:val="04A0" w:firstRow="1" w:lastRow="0" w:firstColumn="1" w:lastColumn="0" w:noHBand="0" w:noVBand="1"/>
      </w:tblPr>
      <w:tblGrid>
        <w:gridCol w:w="1249"/>
        <w:gridCol w:w="2393"/>
        <w:gridCol w:w="1248"/>
        <w:gridCol w:w="1260"/>
        <w:gridCol w:w="1249"/>
        <w:gridCol w:w="1374"/>
      </w:tblGrid>
      <w:tr w:rsidR="00F44F7B">
        <w:trPr>
          <w:trHeight w:val="283"/>
          <w:jc w:val="center"/>
        </w:trPr>
        <w:tc>
          <w:tcPr>
            <w:tcW w:w="71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序号</w:t>
            </w:r>
          </w:p>
        </w:tc>
        <w:tc>
          <w:tcPr>
            <w:tcW w:w="136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工程或费用名称</w:t>
            </w:r>
          </w:p>
        </w:tc>
        <w:tc>
          <w:tcPr>
            <w:tcW w:w="71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单位</w:t>
            </w:r>
          </w:p>
        </w:tc>
        <w:tc>
          <w:tcPr>
            <w:tcW w:w="718"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数量</w:t>
            </w:r>
          </w:p>
        </w:tc>
        <w:tc>
          <w:tcPr>
            <w:tcW w:w="71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单价（元）</w:t>
            </w:r>
          </w:p>
        </w:tc>
        <w:tc>
          <w:tcPr>
            <w:tcW w:w="783"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合计（</w:t>
            </w:r>
            <w:r>
              <w:rPr>
                <w:rFonts w:hint="eastAsia"/>
                <w:color w:val="0000FF"/>
                <w:kern w:val="0"/>
                <w:sz w:val="21"/>
                <w:szCs w:val="21"/>
                <w:lang w:bidi="ar"/>
              </w:rPr>
              <w:t>万</w:t>
            </w:r>
            <w:r>
              <w:rPr>
                <w:color w:val="0000FF"/>
                <w:kern w:val="0"/>
                <w:sz w:val="21"/>
                <w:szCs w:val="21"/>
                <w:lang w:bidi="ar"/>
              </w:rPr>
              <w:t>元）</w:t>
            </w:r>
          </w:p>
        </w:tc>
      </w:tr>
      <w:tr w:rsidR="00F44F7B">
        <w:trPr>
          <w:trHeight w:val="283"/>
          <w:jc w:val="center"/>
        </w:trPr>
        <w:tc>
          <w:tcPr>
            <w:tcW w:w="71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一</w:t>
            </w:r>
          </w:p>
        </w:tc>
        <w:tc>
          <w:tcPr>
            <w:tcW w:w="136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水土保持补偿费</w:t>
            </w:r>
          </w:p>
        </w:tc>
        <w:tc>
          <w:tcPr>
            <w:tcW w:w="71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widowControl/>
              <w:jc w:val="center"/>
              <w:rPr>
                <w:color w:val="0000FF"/>
                <w:sz w:val="21"/>
                <w:szCs w:val="21"/>
              </w:rPr>
            </w:pP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rPr>
            </w:pPr>
          </w:p>
        </w:tc>
        <w:tc>
          <w:tcPr>
            <w:tcW w:w="118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F44F7B">
            <w:pPr>
              <w:pStyle w:val="af2"/>
              <w:rPr>
                <w:color w:val="0000FF"/>
              </w:rPr>
            </w:pPr>
          </w:p>
        </w:tc>
        <w:tc>
          <w:tcPr>
            <w:tcW w:w="13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rPr>
            </w:pPr>
            <w:r>
              <w:rPr>
                <w:rFonts w:hint="eastAsia"/>
                <w:color w:val="0000FF"/>
              </w:rPr>
              <w:t>0.555</w:t>
            </w:r>
          </w:p>
        </w:tc>
      </w:tr>
      <w:tr w:rsidR="00F44F7B">
        <w:trPr>
          <w:trHeight w:val="283"/>
          <w:jc w:val="center"/>
        </w:trPr>
        <w:tc>
          <w:tcPr>
            <w:tcW w:w="71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1</w:t>
            </w:r>
          </w:p>
        </w:tc>
        <w:tc>
          <w:tcPr>
            <w:tcW w:w="136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扰动地表面积</w:t>
            </w:r>
          </w:p>
        </w:tc>
        <w:tc>
          <w:tcPr>
            <w:tcW w:w="71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widowControl/>
              <w:jc w:val="center"/>
              <w:textAlignment w:val="center"/>
              <w:rPr>
                <w:color w:val="0000FF"/>
                <w:sz w:val="21"/>
                <w:szCs w:val="21"/>
              </w:rPr>
            </w:pPr>
            <w:r>
              <w:rPr>
                <w:color w:val="0000FF"/>
                <w:kern w:val="0"/>
                <w:sz w:val="21"/>
                <w:szCs w:val="21"/>
                <w:lang w:bidi="ar"/>
              </w:rPr>
              <w:t>m</w:t>
            </w:r>
            <w:r>
              <w:rPr>
                <w:color w:val="0000FF"/>
                <w:kern w:val="0"/>
                <w:sz w:val="21"/>
                <w:szCs w:val="21"/>
                <w:vertAlign w:val="superscript"/>
                <w:lang w:bidi="ar"/>
              </w:rPr>
              <w:t>2</w:t>
            </w:r>
          </w:p>
        </w:tc>
        <w:tc>
          <w:tcPr>
            <w:tcW w:w="119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rPr>
            </w:pPr>
            <w:r>
              <w:rPr>
                <w:rFonts w:hint="eastAsia"/>
                <w:color w:val="0000FF"/>
              </w:rPr>
              <w:t>4272.78</w:t>
            </w:r>
          </w:p>
        </w:tc>
        <w:tc>
          <w:tcPr>
            <w:tcW w:w="118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rPr>
            </w:pPr>
            <w:r>
              <w:rPr>
                <w:color w:val="0000FF"/>
              </w:rPr>
              <w:t>1.3</w:t>
            </w:r>
          </w:p>
        </w:tc>
        <w:tc>
          <w:tcPr>
            <w:tcW w:w="13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F44F7B" w:rsidRDefault="00730D49">
            <w:pPr>
              <w:pStyle w:val="af2"/>
              <w:rPr>
                <w:color w:val="0000FF"/>
              </w:rPr>
            </w:pPr>
            <w:r>
              <w:rPr>
                <w:rFonts w:hint="eastAsia"/>
                <w:color w:val="0000FF"/>
              </w:rPr>
              <w:t>0.555</w:t>
            </w:r>
          </w:p>
        </w:tc>
      </w:tr>
    </w:tbl>
    <w:p w:rsidR="00F44F7B" w:rsidRDefault="00730D49">
      <w:pPr>
        <w:pStyle w:val="2"/>
        <w:spacing w:beforeLines="50" w:before="156"/>
      </w:pPr>
      <w:bookmarkStart w:id="200" w:name="_Toc29797"/>
      <w:r>
        <w:rPr>
          <w:rFonts w:hint="eastAsia"/>
        </w:rPr>
        <w:t>7</w:t>
      </w:r>
      <w:r>
        <w:t>.2</w:t>
      </w:r>
      <w:r>
        <w:t>效益分析</w:t>
      </w:r>
      <w:bookmarkEnd w:id="189"/>
      <w:bookmarkEnd w:id="190"/>
      <w:bookmarkEnd w:id="191"/>
      <w:bookmarkEnd w:id="192"/>
      <w:bookmarkEnd w:id="193"/>
      <w:bookmarkEnd w:id="194"/>
      <w:bookmarkEnd w:id="195"/>
      <w:bookmarkEnd w:id="196"/>
      <w:bookmarkEnd w:id="200"/>
    </w:p>
    <w:bookmarkEnd w:id="197"/>
    <w:bookmarkEnd w:id="198"/>
    <w:bookmarkEnd w:id="199"/>
    <w:p w:rsidR="00F44F7B" w:rsidRDefault="00730D49">
      <w:pPr>
        <w:pStyle w:val="13"/>
        <w:ind w:firstLine="480"/>
        <w:rPr>
          <w:color w:val="0000FF"/>
          <w:lang w:val="zh-CN"/>
        </w:rPr>
      </w:pPr>
      <w:r>
        <w:rPr>
          <w:color w:val="0000FF"/>
        </w:rPr>
        <w:t>按照本方案水土保持措施实施进度要求及时采取工程措施、植物措施和临时措施后，各项指标均能实现工程建设期水土流失防治目标。至设计水平年，整个工程涉及区域</w:t>
      </w:r>
      <w:r>
        <w:rPr>
          <w:color w:val="0000FF"/>
          <w:lang w:val="zh-CN"/>
        </w:rPr>
        <w:t>水土流失治理度可达到</w:t>
      </w:r>
      <w:r>
        <w:rPr>
          <w:rFonts w:hint="eastAsia"/>
          <w:color w:val="0000FF"/>
        </w:rPr>
        <w:t>98</w:t>
      </w:r>
      <w:r>
        <w:rPr>
          <w:color w:val="0000FF"/>
          <w:lang w:val="zh-CN"/>
        </w:rPr>
        <w:t>%</w:t>
      </w:r>
      <w:r>
        <w:rPr>
          <w:color w:val="0000FF"/>
          <w:lang w:val="zh-CN"/>
        </w:rPr>
        <w:t>；土壤流失控制比可达到</w:t>
      </w:r>
      <w:r>
        <w:rPr>
          <w:color w:val="0000FF"/>
          <w:lang w:val="zh-CN"/>
        </w:rPr>
        <w:t>1.</w:t>
      </w:r>
      <w:r>
        <w:rPr>
          <w:rFonts w:hint="eastAsia"/>
          <w:color w:val="0000FF"/>
        </w:rPr>
        <w:t>11</w:t>
      </w:r>
      <w:r>
        <w:rPr>
          <w:color w:val="0000FF"/>
          <w:lang w:val="zh-CN"/>
        </w:rPr>
        <w:t>；</w:t>
      </w:r>
      <w:r>
        <w:rPr>
          <w:rFonts w:hint="eastAsia"/>
          <w:color w:val="0000FF"/>
        </w:rPr>
        <w:t>渣土防护</w:t>
      </w:r>
      <w:r>
        <w:rPr>
          <w:color w:val="0000FF"/>
          <w:lang w:val="zh-CN"/>
        </w:rPr>
        <w:t>率</w:t>
      </w:r>
      <w:r>
        <w:rPr>
          <w:rFonts w:hint="eastAsia"/>
          <w:color w:val="0000FF"/>
        </w:rPr>
        <w:t>95</w:t>
      </w:r>
      <w:r>
        <w:rPr>
          <w:color w:val="0000FF"/>
          <w:lang w:val="zh-CN"/>
        </w:rPr>
        <w:t>%</w:t>
      </w:r>
      <w:r>
        <w:rPr>
          <w:color w:val="0000FF"/>
          <w:lang w:val="zh-CN"/>
        </w:rPr>
        <w:t>；</w:t>
      </w:r>
      <w:r>
        <w:rPr>
          <w:rFonts w:hint="eastAsia"/>
          <w:color w:val="0000FF"/>
        </w:rPr>
        <w:t>表土保护</w:t>
      </w:r>
      <w:r>
        <w:rPr>
          <w:color w:val="0000FF"/>
          <w:lang w:val="zh-CN"/>
        </w:rPr>
        <w:t>率</w:t>
      </w:r>
      <w:r>
        <w:rPr>
          <w:rFonts w:hint="eastAsia"/>
          <w:color w:val="0000FF"/>
        </w:rPr>
        <w:t>96</w:t>
      </w:r>
      <w:r>
        <w:rPr>
          <w:color w:val="0000FF"/>
          <w:lang w:val="zh-CN"/>
        </w:rPr>
        <w:t>%</w:t>
      </w:r>
      <w:r>
        <w:rPr>
          <w:color w:val="0000FF"/>
          <w:lang w:val="zh-CN"/>
        </w:rPr>
        <w:t>；林草植被恢复率</w:t>
      </w:r>
      <w:r>
        <w:rPr>
          <w:rFonts w:hint="eastAsia"/>
          <w:color w:val="0000FF"/>
        </w:rPr>
        <w:t>99</w:t>
      </w:r>
      <w:r>
        <w:rPr>
          <w:color w:val="0000FF"/>
          <w:lang w:val="zh-CN"/>
        </w:rPr>
        <w:t>%</w:t>
      </w:r>
      <w:r>
        <w:rPr>
          <w:color w:val="0000FF"/>
          <w:lang w:val="zh-CN"/>
        </w:rPr>
        <w:t>；林草覆盖率</w:t>
      </w:r>
      <w:r>
        <w:rPr>
          <w:rFonts w:hint="eastAsia"/>
          <w:color w:val="0000FF"/>
        </w:rPr>
        <w:t>5</w:t>
      </w:r>
      <w:r>
        <w:rPr>
          <w:color w:val="0000FF"/>
          <w:lang w:val="zh-CN"/>
        </w:rPr>
        <w:t>%</w:t>
      </w:r>
      <w:r>
        <w:rPr>
          <w:rFonts w:hint="eastAsia"/>
          <w:color w:val="0000FF"/>
          <w:lang w:val="zh-CN"/>
        </w:rPr>
        <w:t>；</w:t>
      </w:r>
      <w:r>
        <w:rPr>
          <w:rFonts w:hint="eastAsia"/>
          <w:color w:val="0000FF"/>
        </w:rPr>
        <w:t>可治理水土流失面积</w:t>
      </w:r>
      <w:r>
        <w:rPr>
          <w:rFonts w:hint="eastAsia"/>
          <w:color w:val="0000FF"/>
        </w:rPr>
        <w:t>0.43hm</w:t>
      </w:r>
      <w:r>
        <w:rPr>
          <w:rFonts w:hint="eastAsia"/>
          <w:color w:val="0000FF"/>
          <w:vertAlign w:val="superscript"/>
        </w:rPr>
        <w:t>2</w:t>
      </w:r>
      <w:r>
        <w:rPr>
          <w:rFonts w:hint="eastAsia"/>
          <w:color w:val="0000FF"/>
        </w:rPr>
        <w:t>；林草植被建设面积</w:t>
      </w:r>
      <w:r>
        <w:rPr>
          <w:rFonts w:hint="eastAsia"/>
          <w:color w:val="0000FF"/>
        </w:rPr>
        <w:t>0.02hm</w:t>
      </w:r>
      <w:r>
        <w:rPr>
          <w:rFonts w:hint="eastAsia"/>
          <w:color w:val="0000FF"/>
          <w:vertAlign w:val="superscript"/>
        </w:rPr>
        <w:t>2</w:t>
      </w:r>
      <w:r>
        <w:rPr>
          <w:rFonts w:hint="eastAsia"/>
          <w:color w:val="0000FF"/>
        </w:rPr>
        <w:t>；减少水土流失量</w:t>
      </w:r>
      <w:r>
        <w:rPr>
          <w:rFonts w:hint="eastAsia"/>
          <w:color w:val="0000FF"/>
        </w:rPr>
        <w:t>3.44t</w:t>
      </w:r>
      <w:r>
        <w:rPr>
          <w:color w:val="0000FF"/>
          <w:lang w:val="zh-CN"/>
        </w:rPr>
        <w:t>。各</w:t>
      </w:r>
      <w:r>
        <w:rPr>
          <w:rFonts w:hint="eastAsia"/>
          <w:color w:val="0000FF"/>
        </w:rPr>
        <w:t>水土保持方案实施后，</w:t>
      </w:r>
      <w:r>
        <w:rPr>
          <w:rFonts w:hint="eastAsia"/>
          <w:color w:val="0000FF"/>
          <w:lang w:val="zh-CN"/>
        </w:rPr>
        <w:t>项</w:t>
      </w:r>
      <w:r>
        <w:rPr>
          <w:rFonts w:hint="eastAsia"/>
          <w:color w:val="0000FF"/>
        </w:rPr>
        <w:t>目</w:t>
      </w:r>
      <w:r>
        <w:rPr>
          <w:rFonts w:hint="eastAsia"/>
          <w:color w:val="0000FF"/>
          <w:lang w:val="zh-CN"/>
        </w:rPr>
        <w:t>水土保持治理指标均达到防治目标要求，</w:t>
      </w:r>
      <w:r>
        <w:rPr>
          <w:rFonts w:hint="eastAsia"/>
          <w:color w:val="0000FF"/>
        </w:rPr>
        <w:t>水土流失影响能控制在较低水平，水土资源能得到很好的保护、恢复和合理利用，生态环</w:t>
      </w:r>
      <w:r>
        <w:rPr>
          <w:rFonts w:hint="eastAsia"/>
          <w:color w:val="0000FF"/>
        </w:rPr>
        <w:t>境也能得到很好的保护、恢复和一定的改善。</w:t>
      </w:r>
      <w:r>
        <w:rPr>
          <w:rFonts w:hint="eastAsia"/>
          <w:color w:val="0000FF"/>
          <w:lang w:val="zh-CN"/>
        </w:rPr>
        <w:t>工程结束后，项</w:t>
      </w:r>
      <w:r>
        <w:rPr>
          <w:rFonts w:hint="eastAsia"/>
          <w:color w:val="0000FF"/>
        </w:rPr>
        <w:t>目</w:t>
      </w:r>
      <w:r>
        <w:rPr>
          <w:rFonts w:hint="eastAsia"/>
          <w:color w:val="0000FF"/>
          <w:lang w:val="zh-CN"/>
        </w:rPr>
        <w:t>水土保持治理指标均达到防治目标要求，水土保持基础效益良好</w:t>
      </w:r>
      <w:r>
        <w:rPr>
          <w:color w:val="0000FF"/>
          <w:lang w:val="zh-CN"/>
        </w:rPr>
        <w:t>。</w:t>
      </w:r>
    </w:p>
    <w:p w:rsidR="00F44F7B" w:rsidRDefault="00F44F7B">
      <w:pPr>
        <w:pStyle w:val="13"/>
        <w:ind w:firstLine="480"/>
        <w:rPr>
          <w:color w:val="0000FF"/>
          <w:lang w:val="zh-CN"/>
        </w:rPr>
      </w:pPr>
    </w:p>
    <w:p w:rsidR="00F44F7B" w:rsidRDefault="00F44F7B">
      <w:pPr>
        <w:pStyle w:val="13"/>
        <w:ind w:firstLine="480"/>
        <w:rPr>
          <w:color w:val="0000FF"/>
          <w:lang w:val="zh-CN"/>
        </w:rPr>
      </w:pPr>
    </w:p>
    <w:p w:rsidR="00F44F7B" w:rsidRDefault="00F44F7B">
      <w:pPr>
        <w:pStyle w:val="13"/>
        <w:ind w:firstLine="480"/>
        <w:rPr>
          <w:color w:val="0000FF"/>
          <w:lang w:val="zh-CN"/>
        </w:rPr>
      </w:pPr>
    </w:p>
    <w:p w:rsidR="00F44F7B" w:rsidRDefault="00F44F7B">
      <w:pPr>
        <w:pStyle w:val="13"/>
        <w:ind w:firstLine="480"/>
        <w:rPr>
          <w:color w:val="0000FF"/>
          <w:lang w:val="zh-CN"/>
        </w:rPr>
      </w:pPr>
    </w:p>
    <w:p w:rsidR="00F44F7B" w:rsidRDefault="00730D49">
      <w:pPr>
        <w:pStyle w:val="1"/>
      </w:pPr>
      <w:bookmarkStart w:id="201" w:name="_Toc61605709"/>
      <w:bookmarkStart w:id="202" w:name="_Toc61601226"/>
      <w:bookmarkStart w:id="203" w:name="_Toc27033"/>
      <w:bookmarkStart w:id="204" w:name="_Toc61602722"/>
      <w:bookmarkEnd w:id="170"/>
      <w:bookmarkEnd w:id="171"/>
      <w:bookmarkEnd w:id="172"/>
      <w:r>
        <w:rPr>
          <w:rFonts w:hint="eastAsia"/>
        </w:rPr>
        <w:lastRenderedPageBreak/>
        <w:t>8</w:t>
      </w:r>
      <w:r>
        <w:t>结论及建议</w:t>
      </w:r>
      <w:bookmarkEnd w:id="201"/>
      <w:bookmarkEnd w:id="202"/>
      <w:bookmarkEnd w:id="203"/>
      <w:bookmarkEnd w:id="204"/>
    </w:p>
    <w:p w:rsidR="00F44F7B" w:rsidRDefault="00730D49">
      <w:pPr>
        <w:pStyle w:val="2"/>
      </w:pPr>
      <w:bookmarkStart w:id="205" w:name="_Toc61601227"/>
      <w:bookmarkStart w:id="206" w:name="_Toc31704"/>
      <w:bookmarkStart w:id="207" w:name="_Toc61602723"/>
      <w:bookmarkStart w:id="208" w:name="_Toc61605710"/>
      <w:bookmarkStart w:id="209" w:name="_Toc17855"/>
      <w:r>
        <w:rPr>
          <w:rFonts w:hint="eastAsia"/>
        </w:rPr>
        <w:t>8</w:t>
      </w:r>
      <w:r>
        <w:t>.1</w:t>
      </w:r>
      <w:r>
        <w:t>结论</w:t>
      </w:r>
      <w:bookmarkEnd w:id="205"/>
      <w:bookmarkEnd w:id="206"/>
      <w:bookmarkEnd w:id="207"/>
      <w:bookmarkEnd w:id="208"/>
      <w:bookmarkEnd w:id="209"/>
    </w:p>
    <w:p w:rsidR="00F44F7B" w:rsidRDefault="00730D49">
      <w:pPr>
        <w:pStyle w:val="13"/>
        <w:ind w:firstLine="480"/>
        <w:rPr>
          <w:color w:val="0000FF"/>
        </w:rPr>
      </w:pPr>
      <w:bookmarkStart w:id="210" w:name="_Toc2216"/>
      <w:bookmarkStart w:id="211" w:name="_Toc61601228"/>
      <w:r>
        <w:rPr>
          <w:rFonts w:hint="eastAsia"/>
          <w:color w:val="0000FF"/>
        </w:rPr>
        <w:t>（</w:t>
      </w:r>
      <w:r>
        <w:rPr>
          <w:rFonts w:hint="eastAsia"/>
          <w:color w:val="0000FF"/>
        </w:rPr>
        <w:t>1</w:t>
      </w:r>
      <w:r>
        <w:rPr>
          <w:rFonts w:hint="eastAsia"/>
          <w:color w:val="0000FF"/>
        </w:rPr>
        <w:t>）</w:t>
      </w:r>
      <w:r>
        <w:rPr>
          <w:color w:val="0000FF"/>
        </w:rPr>
        <w:t>根据</w:t>
      </w:r>
      <w:r>
        <w:rPr>
          <w:rFonts w:hint="eastAsia"/>
          <w:color w:val="0000FF"/>
          <w:u w:color="000000"/>
        </w:rPr>
        <w:t>《产业结构调整指导目录</w:t>
      </w:r>
      <w:r>
        <w:rPr>
          <w:rFonts w:hint="eastAsia"/>
          <w:color w:val="0000FF"/>
          <w:u w:color="000000"/>
        </w:rPr>
        <w:t>(2019</w:t>
      </w:r>
      <w:r>
        <w:rPr>
          <w:rFonts w:hint="eastAsia"/>
          <w:color w:val="0000FF"/>
          <w:u w:color="000000"/>
        </w:rPr>
        <w:t>年本</w:t>
      </w:r>
      <w:r>
        <w:rPr>
          <w:rFonts w:hint="eastAsia"/>
          <w:color w:val="0000FF"/>
          <w:u w:color="000000"/>
        </w:rPr>
        <w:t>)</w:t>
      </w:r>
      <w:r>
        <w:rPr>
          <w:rFonts w:hint="eastAsia"/>
          <w:color w:val="0000FF"/>
          <w:u w:color="000000"/>
        </w:rPr>
        <w:t>》</w:t>
      </w:r>
      <w:r>
        <w:rPr>
          <w:rFonts w:hint="eastAsia"/>
          <w:color w:val="0000FF"/>
          <w:u w:color="000000"/>
        </w:rPr>
        <w:t>(</w:t>
      </w:r>
      <w:r>
        <w:rPr>
          <w:rFonts w:hint="eastAsia"/>
          <w:color w:val="0000FF"/>
          <w:u w:color="000000"/>
        </w:rPr>
        <w:t>中华人民共和国国家发展和改革委员会令</w:t>
      </w:r>
      <w:r>
        <w:rPr>
          <w:rFonts w:hint="eastAsia"/>
          <w:color w:val="0000FF"/>
          <w:u w:color="000000"/>
        </w:rPr>
        <w:t>2019</w:t>
      </w:r>
      <w:r>
        <w:rPr>
          <w:rFonts w:hint="eastAsia"/>
          <w:color w:val="0000FF"/>
          <w:u w:color="000000"/>
        </w:rPr>
        <w:t>年第</w:t>
      </w:r>
      <w:r>
        <w:rPr>
          <w:rFonts w:hint="eastAsia"/>
          <w:color w:val="0000FF"/>
          <w:u w:color="000000"/>
        </w:rPr>
        <w:t>29</w:t>
      </w:r>
      <w:r>
        <w:rPr>
          <w:rFonts w:hint="eastAsia"/>
          <w:color w:val="0000FF"/>
          <w:u w:color="000000"/>
        </w:rPr>
        <w:t>号令</w:t>
      </w:r>
      <w:r>
        <w:rPr>
          <w:rFonts w:hint="eastAsia"/>
          <w:color w:val="0000FF"/>
          <w:u w:color="000000"/>
        </w:rPr>
        <w:t>) </w:t>
      </w:r>
      <w:r>
        <w:rPr>
          <w:color w:val="0000FF"/>
        </w:rPr>
        <w:t>，本项目不属于产业结构调整指导目录中鼓励类、限制类和淘汰类，为允许类项目，符合国家产业政策。</w:t>
      </w:r>
    </w:p>
    <w:p w:rsidR="00F44F7B" w:rsidRDefault="00730D49">
      <w:pPr>
        <w:pStyle w:val="13"/>
        <w:ind w:firstLine="480"/>
        <w:rPr>
          <w:color w:val="0000FF"/>
        </w:rPr>
      </w:pPr>
      <w:r>
        <w:rPr>
          <w:color w:val="0000FF"/>
        </w:rPr>
        <w:t>（</w:t>
      </w:r>
      <w:r>
        <w:rPr>
          <w:rFonts w:hint="eastAsia"/>
          <w:color w:val="0000FF"/>
        </w:rPr>
        <w:t>2</w:t>
      </w:r>
      <w:r>
        <w:rPr>
          <w:color w:val="0000FF"/>
        </w:rPr>
        <w:t>）本项目选址不属于全国水土保持监测网络中的水土保持监测站点、重点试验区，不在国家划定的水土流失重点治理成果区内，也不属于地质灾害易发区，工程选址和布局无水土保持的限制性因素。</w:t>
      </w:r>
    </w:p>
    <w:p w:rsidR="00F44F7B" w:rsidRDefault="00730D49">
      <w:pPr>
        <w:pStyle w:val="13"/>
        <w:ind w:firstLine="480"/>
        <w:rPr>
          <w:color w:val="0000FF"/>
        </w:rPr>
      </w:pPr>
      <w:r>
        <w:rPr>
          <w:color w:val="0000FF"/>
          <w:kern w:val="0"/>
        </w:rPr>
        <w:t>（</w:t>
      </w:r>
      <w:r>
        <w:rPr>
          <w:rFonts w:hint="eastAsia"/>
          <w:color w:val="0000FF"/>
          <w:kern w:val="0"/>
        </w:rPr>
        <w:t>3</w:t>
      </w:r>
      <w:r>
        <w:rPr>
          <w:color w:val="0000FF"/>
          <w:kern w:val="0"/>
        </w:rPr>
        <w:t>）</w:t>
      </w:r>
      <w:r>
        <w:rPr>
          <w:color w:val="0000FF"/>
        </w:rPr>
        <w:t>项目占地总面积为</w:t>
      </w:r>
      <w:r>
        <w:rPr>
          <w:rFonts w:hint="eastAsia"/>
          <w:color w:val="0000FF"/>
        </w:rPr>
        <w:t>0.43</w:t>
      </w:r>
      <w:r>
        <w:rPr>
          <w:color w:val="0000FF"/>
        </w:rPr>
        <w:t>hm</w:t>
      </w:r>
      <w:r>
        <w:rPr>
          <w:color w:val="0000FF"/>
          <w:vertAlign w:val="superscript"/>
        </w:rPr>
        <w:t>2</w:t>
      </w:r>
      <w:r>
        <w:rPr>
          <w:color w:val="0000FF"/>
        </w:rPr>
        <w:t>，均为永久占地。</w:t>
      </w:r>
    </w:p>
    <w:p w:rsidR="00F44F7B" w:rsidRDefault="00730D49">
      <w:pPr>
        <w:pStyle w:val="13"/>
        <w:ind w:firstLine="480"/>
        <w:rPr>
          <w:color w:val="0000FF"/>
          <w:szCs w:val="22"/>
        </w:rPr>
      </w:pPr>
      <w:r>
        <w:rPr>
          <w:color w:val="0000FF"/>
          <w:szCs w:val="22"/>
        </w:rPr>
        <w:t>（</w:t>
      </w:r>
      <w:r>
        <w:rPr>
          <w:rFonts w:hint="eastAsia"/>
          <w:color w:val="0000FF"/>
          <w:szCs w:val="22"/>
        </w:rPr>
        <w:t>4</w:t>
      </w:r>
      <w:r>
        <w:rPr>
          <w:color w:val="0000FF"/>
          <w:szCs w:val="22"/>
        </w:rPr>
        <w:t>）项目水土流失防治责任范围面积</w:t>
      </w:r>
      <w:r>
        <w:rPr>
          <w:rFonts w:hint="eastAsia"/>
          <w:color w:val="0000FF"/>
          <w:szCs w:val="22"/>
        </w:rPr>
        <w:t>0.43</w:t>
      </w:r>
      <w:r>
        <w:rPr>
          <w:color w:val="0000FF"/>
          <w:szCs w:val="22"/>
        </w:rPr>
        <w:t>hm2</w:t>
      </w:r>
      <w:r>
        <w:rPr>
          <w:color w:val="0000FF"/>
          <w:szCs w:val="22"/>
        </w:rPr>
        <w:t>，全部为项目建设区。</w:t>
      </w:r>
    </w:p>
    <w:p w:rsidR="00F44F7B" w:rsidRDefault="00730D49">
      <w:pPr>
        <w:pStyle w:val="13"/>
        <w:ind w:firstLine="480"/>
        <w:rPr>
          <w:color w:val="0000FF"/>
          <w:szCs w:val="22"/>
        </w:rPr>
      </w:pPr>
      <w:r>
        <w:rPr>
          <w:color w:val="0000FF"/>
          <w:szCs w:val="22"/>
        </w:rPr>
        <w:t>（</w:t>
      </w:r>
      <w:r>
        <w:rPr>
          <w:rFonts w:hint="eastAsia"/>
          <w:color w:val="0000FF"/>
          <w:szCs w:val="22"/>
        </w:rPr>
        <w:t>5</w:t>
      </w:r>
      <w:r>
        <w:rPr>
          <w:color w:val="0000FF"/>
          <w:szCs w:val="22"/>
        </w:rPr>
        <w:t>）本项目为已完工项目，项目施工过程中重视水土保持要求，考虑</w:t>
      </w:r>
      <w:r>
        <w:rPr>
          <w:rFonts w:hint="eastAsia"/>
          <w:color w:val="0000FF"/>
          <w:szCs w:val="22"/>
        </w:rPr>
        <w:t>并布设了</w:t>
      </w:r>
      <w:r>
        <w:rPr>
          <w:color w:val="0000FF"/>
          <w:szCs w:val="22"/>
        </w:rPr>
        <w:t>具有水土保持功能的</w:t>
      </w:r>
      <w:r>
        <w:rPr>
          <w:rFonts w:hint="eastAsia"/>
          <w:color w:val="0000FF"/>
          <w:szCs w:val="22"/>
        </w:rPr>
        <w:t>措施</w:t>
      </w:r>
      <w:r>
        <w:rPr>
          <w:color w:val="0000FF"/>
          <w:szCs w:val="22"/>
        </w:rPr>
        <w:t>，主要包括布设雨水管、景观绿化、临时拦挡、遮盖和其它临时排水工程，经现场踏勘，现场排水</w:t>
      </w:r>
      <w:r>
        <w:rPr>
          <w:rFonts w:hint="eastAsia"/>
          <w:color w:val="0000FF"/>
          <w:szCs w:val="22"/>
        </w:rPr>
        <w:t>、景观绿化</w:t>
      </w:r>
      <w:r>
        <w:rPr>
          <w:color w:val="0000FF"/>
          <w:szCs w:val="22"/>
        </w:rPr>
        <w:t>等水保设施完善，不存在水土流失遗留问题，水土保持措施已经具有较高的水土保持功能，符合水土保持要求，因此本方案不再补充水土保持措施</w:t>
      </w:r>
      <w:r>
        <w:rPr>
          <w:rFonts w:hint="eastAsia"/>
          <w:color w:val="0000FF"/>
          <w:szCs w:val="22"/>
        </w:rPr>
        <w:t>。</w:t>
      </w:r>
    </w:p>
    <w:p w:rsidR="00F44F7B" w:rsidRDefault="00730D49">
      <w:pPr>
        <w:pStyle w:val="2"/>
      </w:pPr>
      <w:bookmarkStart w:id="212" w:name="_Toc61602724"/>
      <w:bookmarkStart w:id="213" w:name="_Toc25085"/>
      <w:bookmarkStart w:id="214" w:name="_Toc61605711"/>
      <w:r>
        <w:rPr>
          <w:rFonts w:hint="eastAsia"/>
        </w:rPr>
        <w:t>8</w:t>
      </w:r>
      <w:r>
        <w:t>.2</w:t>
      </w:r>
      <w:bookmarkEnd w:id="210"/>
      <w:r>
        <w:rPr>
          <w:rFonts w:hint="eastAsia"/>
        </w:rPr>
        <w:t>建议</w:t>
      </w:r>
      <w:bookmarkEnd w:id="211"/>
      <w:bookmarkEnd w:id="212"/>
      <w:bookmarkEnd w:id="213"/>
      <w:bookmarkEnd w:id="214"/>
    </w:p>
    <w:p w:rsidR="00F44F7B" w:rsidRDefault="00730D49">
      <w:pPr>
        <w:spacing w:line="360" w:lineRule="auto"/>
        <w:ind w:firstLineChars="200" w:firstLine="480"/>
      </w:pPr>
      <w:r>
        <w:rPr>
          <w:rFonts w:hint="eastAsia"/>
        </w:rPr>
        <w:t>在项目建设过程中，建立水土保持方面的规章制度，加强对施工单位的监督管理，严格按照批复的水土保持方案要求开展工作，将工程建设造成的水土流失降到最低限度。</w:t>
      </w:r>
    </w:p>
    <w:p w:rsidR="00F44F7B" w:rsidRDefault="00730D49">
      <w:pPr>
        <w:spacing w:line="360" w:lineRule="auto"/>
        <w:ind w:firstLineChars="200" w:firstLine="480"/>
      </w:pPr>
      <w:r>
        <w:rPr>
          <w:rFonts w:hint="eastAsia"/>
        </w:rPr>
        <w:t>项目负责单位应自觉接受当地水土保持监督部门的监督检查。方案设计改变时，应报原批准机关批准，并及时通知当地水土保持部门。</w:t>
      </w:r>
    </w:p>
    <w:p w:rsidR="00F44F7B" w:rsidRDefault="00730D49">
      <w:pPr>
        <w:spacing w:line="360" w:lineRule="auto"/>
        <w:ind w:firstLineChars="200" w:firstLine="480"/>
      </w:pPr>
      <w:r>
        <w:rPr>
          <w:rFonts w:hint="eastAsia"/>
        </w:rPr>
        <w:t>根据《国务院关于取消一批行政许可事项的决定》（国发</w:t>
      </w:r>
      <w:r>
        <w:t>[2017]46</w:t>
      </w:r>
      <w:r>
        <w:rPr>
          <w:rFonts w:hint="eastAsia"/>
        </w:rPr>
        <w:t>号），项目投产使用前，业主应依</w:t>
      </w:r>
      <w:r>
        <w:rPr>
          <w:rFonts w:hint="eastAsia"/>
        </w:rPr>
        <w:t>据经批复的水土保持方案及批复意见，组织第三方机构编制水土保持设施验收报告，向社会公开并向水土保持方案审批机关报备。</w:t>
      </w:r>
    </w:p>
    <w:p w:rsidR="00F44F7B" w:rsidRDefault="00730D49">
      <w:pPr>
        <w:spacing w:line="360" w:lineRule="auto"/>
        <w:ind w:firstLineChars="200" w:firstLine="480"/>
      </w:pPr>
      <w:r>
        <w:rPr>
          <w:rFonts w:hint="eastAsia"/>
        </w:rPr>
        <w:t>1</w:t>
      </w:r>
      <w:r>
        <w:rPr>
          <w:rFonts w:hint="eastAsia"/>
        </w:rPr>
        <w:t>）业主要与项目所在地水行政主管部门及其上级部门密切配合，认真听取他们对项目水土保持工作的建议，加强管理，在今后的开发建设项目上严格按照水土保持法要求开展工作，落实好水土保持措施。</w:t>
      </w:r>
      <w:r>
        <w:rPr>
          <w:rFonts w:hint="eastAsia"/>
        </w:rPr>
        <w:t xml:space="preserve"> </w:t>
      </w:r>
    </w:p>
    <w:p w:rsidR="00F44F7B" w:rsidRDefault="00730D49">
      <w:pPr>
        <w:spacing w:line="360" w:lineRule="auto"/>
        <w:ind w:firstLineChars="200" w:firstLine="480"/>
      </w:pPr>
      <w:r>
        <w:rPr>
          <w:rFonts w:hint="eastAsia"/>
        </w:rPr>
        <w:t>2</w:t>
      </w:r>
      <w:r>
        <w:rPr>
          <w:rFonts w:hint="eastAsia"/>
        </w:rPr>
        <w:t>）业主应进一步强化水土保持生态环境保护意识，切实按照有关法律法规的要求，规范行为，完善程序，建设单位后续建设中必须确保三同时后续的环节能得到落</w:t>
      </w:r>
      <w:r>
        <w:rPr>
          <w:rFonts w:hint="eastAsia"/>
        </w:rPr>
        <w:lastRenderedPageBreak/>
        <w:t>实。</w:t>
      </w:r>
    </w:p>
    <w:p w:rsidR="00F44F7B" w:rsidRDefault="00730D49">
      <w:pPr>
        <w:spacing w:line="360" w:lineRule="auto"/>
        <w:ind w:firstLineChars="200" w:firstLine="480"/>
      </w:pPr>
      <w:r>
        <w:rPr>
          <w:rFonts w:hint="eastAsia"/>
        </w:rPr>
        <w:t>3</w:t>
      </w:r>
      <w:r>
        <w:rPr>
          <w:rFonts w:hint="eastAsia"/>
        </w:rPr>
        <w:t>）方案批复后，业主单位必须及时缴纳项目水土保持补偿费。</w:t>
      </w:r>
    </w:p>
    <w:p w:rsidR="00F44F7B" w:rsidRDefault="00730D49">
      <w:pPr>
        <w:spacing w:line="360" w:lineRule="auto"/>
        <w:ind w:firstLineChars="200" w:firstLine="480"/>
        <w:rPr>
          <w:color w:val="0000FF"/>
        </w:rPr>
      </w:pPr>
      <w:r>
        <w:rPr>
          <w:rFonts w:hint="eastAsia"/>
          <w:color w:val="0000FF"/>
        </w:rPr>
        <w:t>4</w:t>
      </w:r>
      <w:r>
        <w:rPr>
          <w:rFonts w:hint="eastAsia"/>
          <w:color w:val="0000FF"/>
        </w:rPr>
        <w:t>）</w:t>
      </w:r>
      <w:r>
        <w:rPr>
          <w:color w:val="0000FF"/>
        </w:rPr>
        <w:t>按照《四川省水利厅转发水利部关于加强事中事后监管规范生产建设项目水土保持设施自主验收的通知》（川水函</w:t>
      </w:r>
      <w:r>
        <w:rPr>
          <w:color w:val="0000FF"/>
        </w:rPr>
        <w:t>[2018]887</w:t>
      </w:r>
      <w:r>
        <w:rPr>
          <w:color w:val="0000FF"/>
        </w:rPr>
        <w:t>号）</w:t>
      </w:r>
      <w:r>
        <w:rPr>
          <w:rFonts w:hint="eastAsia"/>
          <w:color w:val="0000FF"/>
        </w:rPr>
        <w:t>和《水利部办公厅关于印发生产建设项目水土保持监督管理办法的通知》（办水保</w:t>
      </w:r>
      <w:r>
        <w:rPr>
          <w:rFonts w:hint="eastAsia"/>
          <w:color w:val="0000FF"/>
        </w:rPr>
        <w:t>[2019]172</w:t>
      </w:r>
      <w:r>
        <w:rPr>
          <w:rFonts w:hint="eastAsia"/>
          <w:color w:val="0000FF"/>
        </w:rPr>
        <w:t>号文</w:t>
      </w:r>
      <w:r>
        <w:rPr>
          <w:rFonts w:hint="eastAsia"/>
          <w:color w:val="0000FF"/>
        </w:rPr>
        <w:t>）的</w:t>
      </w:r>
      <w:r>
        <w:rPr>
          <w:color w:val="0000FF"/>
        </w:rPr>
        <w:t>要求</w:t>
      </w:r>
      <w:r>
        <w:rPr>
          <w:rFonts w:hint="eastAsia"/>
          <w:color w:val="0000FF"/>
        </w:rPr>
        <w:t>做好</w:t>
      </w:r>
      <w:r>
        <w:rPr>
          <w:color w:val="0000FF"/>
        </w:rPr>
        <w:t>水土保持设施的专项验收</w:t>
      </w:r>
      <w:r>
        <w:rPr>
          <w:rFonts w:hint="eastAsia"/>
          <w:color w:val="0000FF"/>
        </w:rPr>
        <w:t>。</w:t>
      </w:r>
    </w:p>
    <w:p w:rsidR="00F44F7B" w:rsidRDefault="00F44F7B">
      <w:pPr>
        <w:pStyle w:val="1"/>
      </w:pPr>
    </w:p>
    <w:sectPr w:rsidR="00F44F7B">
      <w:footerReference w:type="default" r:id="rId26"/>
      <w:pgSz w:w="11906" w:h="16838"/>
      <w:pgMar w:top="1440" w:right="1417" w:bottom="1440" w:left="1701" w:header="851" w:footer="992" w:gutter="0"/>
      <w:cols w:space="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30D49" w:rsidRDefault="00730D49">
      <w:r>
        <w:separator/>
      </w:r>
    </w:p>
  </w:endnote>
  <w:endnote w:type="continuationSeparator" w:id="0">
    <w:p w:rsidR="00730D49" w:rsidRDefault="00730D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_GB2312">
    <w:altName w:val="仿宋"/>
    <w:charset w:val="86"/>
    <w:family w:val="modern"/>
    <w:pitch w:val="default"/>
    <w:sig w:usb0="00000000" w:usb1="00000000" w:usb2="00000000" w:usb3="00000000" w:csb0="0004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44F7B" w:rsidRDefault="00730D49">
    <w:pPr>
      <w:pStyle w:val="af0"/>
      <w:jc w:val="right"/>
      <w:rPr>
        <w:sz w:val="20"/>
      </w:rPr>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F44F7B" w:rsidRDefault="00730D49">
                          <w:pPr>
                            <w:pStyle w:val="a8"/>
                          </w:pPr>
                          <w:r>
                            <w:rPr>
                              <w:rFonts w:hint="eastAsia"/>
                            </w:rPr>
                            <w:fldChar w:fldCharType="begin"/>
                          </w:r>
                          <w:r>
                            <w:rPr>
                              <w:rFonts w:hint="eastAsia"/>
                            </w:rPr>
                            <w:instrText xml:space="preserve"> PAGE  \* MERGEFORMAT </w:instrText>
                          </w:r>
                          <w:r>
                            <w:rPr>
                              <w:rFonts w:hint="eastAsia"/>
                            </w:rPr>
                            <w:fldChar w:fldCharType="separate"/>
                          </w:r>
                          <w:r w:rsidR="00786EE5">
                            <w:rPr>
                              <w:noProof/>
                            </w:rPr>
                            <w:t>III</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2" o:spid="_x0000_s1026" type="#_x0000_t202" style="position:absolute;left:0;text-align:left;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" filled="f" stroked="f" strokeweight=".5pt">
              <v:textbox style="mso-fit-shape-to-text:t" inset="0,0,0,0">
                <w:txbxContent>
                  <w:p w:rsidR="00F44F7B" w:rsidRDefault="00730D49">
                    <w:pPr>
                      <w:pStyle w:val="a8"/>
                    </w:pPr>
                    <w:r>
                      <w:rPr>
                        <w:rFonts w:hint="eastAsia"/>
                      </w:rPr>
                      <w:fldChar w:fldCharType="begin"/>
                    </w:r>
                    <w:r>
                      <w:rPr>
                        <w:rFonts w:hint="eastAsia"/>
                      </w:rPr>
                      <w:instrText xml:space="preserve"> PAGE  \* MERGEFORMAT </w:instrText>
                    </w:r>
                    <w:r>
                      <w:rPr>
                        <w:rFonts w:hint="eastAsia"/>
                      </w:rPr>
                      <w:fldChar w:fldCharType="separate"/>
                    </w:r>
                    <w:r w:rsidR="00786EE5">
                      <w:rPr>
                        <w:noProof/>
                      </w:rPr>
                      <w:t>III</w:t>
                    </w:r>
                    <w:r>
                      <w:rPr>
                        <w:rFonts w:hint="eastAsia"/>
                      </w:rPr>
                      <w:fldChar w:fldCharType="end"/>
                    </w:r>
                  </w:p>
                </w:txbxContent>
              </v:textbox>
              <w10:wrap anchorx="margin"/>
            </v:shape>
          </w:pict>
        </mc:Fallback>
      </mc:AlternateContent>
    </w:r>
  </w:p>
  <w:p w:rsidR="00F44F7B" w:rsidRDefault="00F44F7B">
    <w:pPr>
      <w:pStyle w:val="a8"/>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44F7B" w:rsidRDefault="00730D49">
    <w:pPr>
      <w:pStyle w:val="a8"/>
      <w:ind w:firstLine="360"/>
      <w:jc w:val="right"/>
      <w:rPr>
        <w:rFonts w:ascii="仿宋_GB2312" w:hAnsi="仿宋_GB2312" w:cs="仿宋_GB2312"/>
        <w:sz w:val="21"/>
        <w:szCs w:val="21"/>
      </w:rPr>
    </w:pPr>
    <w:r>
      <w:rPr>
        <w:noProof/>
        <w:sz w:val="21"/>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F44F7B" w:rsidRDefault="00730D49">
                          <w:pPr>
                            <w:pStyle w:val="a8"/>
                            <w:rPr>
                              <w:rFonts w:eastAsia="宋体"/>
                            </w:rPr>
                          </w:pPr>
                          <w:r>
                            <w:rPr>
                              <w:rFonts w:hint="eastAsia"/>
                            </w:rPr>
                            <w:fldChar w:fldCharType="begin"/>
                          </w:r>
                          <w:r>
                            <w:rPr>
                              <w:rFonts w:hint="eastAsia"/>
                            </w:rPr>
                            <w:instrText xml:space="preserve"> PAGE  \* MERGEFORMAT </w:instrText>
                          </w:r>
                          <w:r>
                            <w:rPr>
                              <w:rFonts w:hint="eastAsia"/>
                            </w:rPr>
                            <w:fldChar w:fldCharType="separate"/>
                          </w:r>
                          <w:r w:rsidR="00786EE5">
                            <w:rPr>
                              <w:noProof/>
                            </w:rPr>
                            <w:t>5</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9" o:spid="_x0000_s1027" type="#_x0000_t202" style="position:absolute;left:0;text-align:left;margin-left:0;margin-top:0;width:2in;height:2in;z-index:25166028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" filled="f" stroked="f" strokeweight=".5pt">
              <v:textbox style="mso-fit-shape-to-text:t" inset="0,0,0,0">
                <w:txbxContent>
                  <w:p w:rsidR="00F44F7B" w:rsidRDefault="00730D49">
                    <w:pPr>
                      <w:pStyle w:val="a8"/>
                      <w:rPr>
                        <w:rFonts w:eastAsia="宋体"/>
                      </w:rPr>
                    </w:pPr>
                    <w:r>
                      <w:rPr>
                        <w:rFonts w:hint="eastAsia"/>
                      </w:rPr>
                      <w:fldChar w:fldCharType="begin"/>
                    </w:r>
                    <w:r>
                      <w:rPr>
                        <w:rFonts w:hint="eastAsia"/>
                      </w:rPr>
                      <w:instrText xml:space="preserve"> PAGE  \* MERGEFORMAT </w:instrText>
                    </w:r>
                    <w:r>
                      <w:rPr>
                        <w:rFonts w:hint="eastAsia"/>
                      </w:rPr>
                      <w:fldChar w:fldCharType="separate"/>
                    </w:r>
                    <w:r w:rsidR="00786EE5">
                      <w:rPr>
                        <w:noProof/>
                      </w:rPr>
                      <w:t>5</w:t>
                    </w:r>
                    <w:r>
                      <w:rPr>
                        <w:rFonts w:hint="eastAsia"/>
                      </w:rP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30D49" w:rsidRDefault="00730D49">
      <w:r>
        <w:separator/>
      </w:r>
    </w:p>
  </w:footnote>
  <w:footnote w:type="continuationSeparator" w:id="0">
    <w:p w:rsidR="00730D49" w:rsidRDefault="00730D4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44F7B" w:rsidRDefault="00730D49">
    <w:pPr>
      <w:pStyle w:val="a9"/>
      <w:jc w:val="right"/>
      <w:rPr>
        <w:sz w:val="21"/>
        <w:szCs w:val="22"/>
      </w:rPr>
    </w:pPr>
    <w:r>
      <w:rPr>
        <w:rFonts w:hint="eastAsia"/>
        <w:sz w:val="21"/>
        <w:szCs w:val="22"/>
      </w:rPr>
      <w:t>仪陇县公安局城西、度门、光华派出所业务用房建设项目</w:t>
    </w:r>
    <w:r>
      <w:rPr>
        <w:rFonts w:hint="eastAsia"/>
        <w:sz w:val="21"/>
        <w:szCs w:val="22"/>
      </w:rPr>
      <w:t xml:space="preserve">           </w:t>
    </w:r>
    <w:r>
      <w:rPr>
        <w:rFonts w:hint="eastAsia"/>
        <w:sz w:val="21"/>
        <w:szCs w:val="22"/>
      </w:rPr>
      <w:t>水土保持方案</w:t>
    </w:r>
    <w:r>
      <w:rPr>
        <w:rFonts w:hint="eastAsia"/>
        <w:sz w:val="21"/>
        <w:szCs w:val="22"/>
      </w:rPr>
      <w:t>报告表</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5807594"/>
    <w:multiLevelType w:val="singleLevel"/>
    <w:tmpl w:val="F5807594"/>
    <w:lvl w:ilvl="0">
      <w:start w:val="1"/>
      <w:numFmt w:val="decimal"/>
      <w:pStyle w:val="5"/>
      <w:lvlText w:val="%1."/>
      <w:lvlJc w:val="left"/>
      <w:pPr>
        <w:tabs>
          <w:tab w:val="left" w:pos="2040"/>
        </w:tabs>
        <w:ind w:left="2040" w:hanging="360"/>
      </w:pPr>
    </w:lvl>
  </w:abstractNum>
  <w:abstractNum w:abstractNumId="1">
    <w:nsid w:val="0000000D"/>
    <w:multiLevelType w:val="multilevel"/>
    <w:tmpl w:val="0000000D"/>
    <w:lvl w:ilvl="0">
      <w:start w:val="1"/>
      <w:numFmt w:val="decimal"/>
      <w:isLgl/>
      <w:lvlText w:val="%1"/>
      <w:lvlJc w:val="left"/>
      <w:pPr>
        <w:tabs>
          <w:tab w:val="left" w:pos="454"/>
        </w:tabs>
        <w:ind w:left="432" w:hanging="432"/>
      </w:pPr>
      <w:rPr>
        <w:rFonts w:ascii="黑体" w:eastAsia="黑体" w:hint="eastAsia"/>
        <w:b w:val="0"/>
        <w:i w:val="0"/>
        <w:sz w:val="28"/>
        <w:szCs w:val="28"/>
      </w:rPr>
    </w:lvl>
    <w:lvl w:ilvl="1">
      <w:start w:val="1"/>
      <w:numFmt w:val="decimal"/>
      <w:isLgl/>
      <w:lvlText w:val="%1.%2"/>
      <w:lvlJc w:val="left"/>
      <w:pPr>
        <w:tabs>
          <w:tab w:val="left" w:pos="794"/>
        </w:tabs>
        <w:ind w:left="0" w:firstLine="0"/>
      </w:pPr>
      <w:rPr>
        <w:rFonts w:ascii="黑体" w:eastAsia="黑体" w:hint="eastAsia"/>
        <w:b w:val="0"/>
        <w:i w:val="0"/>
        <w:sz w:val="28"/>
        <w:szCs w:val="28"/>
      </w:rPr>
    </w:lvl>
    <w:lvl w:ilvl="2">
      <w:start w:val="1"/>
      <w:numFmt w:val="decimal"/>
      <w:isLgl/>
      <w:lvlText w:val="%1.%2.%3"/>
      <w:lvlJc w:val="left"/>
      <w:pPr>
        <w:tabs>
          <w:tab w:val="left" w:pos="964"/>
        </w:tabs>
        <w:ind w:left="720" w:hanging="720"/>
      </w:pPr>
    </w:lvl>
    <w:lvl w:ilvl="3">
      <w:start w:val="1"/>
      <w:numFmt w:val="decimal"/>
      <w:pStyle w:val="4"/>
      <w:isLgl/>
      <w:lvlText w:val="%1.%2.%3.%4"/>
      <w:lvlJc w:val="left"/>
      <w:pPr>
        <w:tabs>
          <w:tab w:val="left" w:pos="1224"/>
        </w:tabs>
        <w:ind w:left="1224" w:hanging="864"/>
      </w:pPr>
    </w:lvl>
    <w:lvl w:ilvl="4">
      <w:start w:val="1"/>
      <w:numFmt w:val="decimal"/>
      <w:lvlRestart w:val="2"/>
      <w:isLgl/>
      <w:lvlText w:val="表%1.%2-%5"/>
      <w:lvlJc w:val="left"/>
      <w:pPr>
        <w:tabs>
          <w:tab w:val="left" w:pos="1008"/>
        </w:tabs>
        <w:ind w:left="1008" w:hanging="1008"/>
      </w:pPr>
      <w:rPr>
        <w:color w:val="auto"/>
      </w:rPr>
    </w:lvl>
    <w:lvl w:ilvl="5">
      <w:start w:val="1"/>
      <w:numFmt w:val="decimal"/>
      <w:lvlRestart w:val="2"/>
      <w:isLgl/>
      <w:lvlText w:val="图%1.%2-%6"/>
      <w:lvlJc w:val="left"/>
      <w:pPr>
        <w:tabs>
          <w:tab w:val="left" w:pos="1077"/>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defaultTabStop w:val="420"/>
  <w:drawingGridHorizontalSpacing w:val="120"/>
  <w:drawingGridVerticalSpacing w:val="163"/>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7B150471"/>
    <w:rsid w:val="000106F1"/>
    <w:rsid w:val="00032296"/>
    <w:rsid w:val="000366F8"/>
    <w:rsid w:val="00055439"/>
    <w:rsid w:val="00063348"/>
    <w:rsid w:val="000645DF"/>
    <w:rsid w:val="0006735A"/>
    <w:rsid w:val="000748B1"/>
    <w:rsid w:val="000964D8"/>
    <w:rsid w:val="000A3706"/>
    <w:rsid w:val="000C775A"/>
    <w:rsid w:val="000D180D"/>
    <w:rsid w:val="000D18C1"/>
    <w:rsid w:val="000D2974"/>
    <w:rsid w:val="00116257"/>
    <w:rsid w:val="001169C1"/>
    <w:rsid w:val="00123539"/>
    <w:rsid w:val="0012672F"/>
    <w:rsid w:val="001308F6"/>
    <w:rsid w:val="00136BC0"/>
    <w:rsid w:val="00144845"/>
    <w:rsid w:val="00147E9F"/>
    <w:rsid w:val="00153DEF"/>
    <w:rsid w:val="00156D2B"/>
    <w:rsid w:val="00167E3A"/>
    <w:rsid w:val="00175678"/>
    <w:rsid w:val="001802AB"/>
    <w:rsid w:val="001A6A91"/>
    <w:rsid w:val="001C039A"/>
    <w:rsid w:val="001C6D14"/>
    <w:rsid w:val="001C7501"/>
    <w:rsid w:val="001D646B"/>
    <w:rsid w:val="001E2DBD"/>
    <w:rsid w:val="00200D23"/>
    <w:rsid w:val="002019FA"/>
    <w:rsid w:val="0022186B"/>
    <w:rsid w:val="002274A5"/>
    <w:rsid w:val="00242E60"/>
    <w:rsid w:val="00242F97"/>
    <w:rsid w:val="0026291C"/>
    <w:rsid w:val="0027568B"/>
    <w:rsid w:val="00275A1E"/>
    <w:rsid w:val="00284475"/>
    <w:rsid w:val="002969AE"/>
    <w:rsid w:val="002B69C8"/>
    <w:rsid w:val="002D2658"/>
    <w:rsid w:val="002D580D"/>
    <w:rsid w:val="002D58CB"/>
    <w:rsid w:val="002E71E6"/>
    <w:rsid w:val="00315B69"/>
    <w:rsid w:val="00324CCD"/>
    <w:rsid w:val="00336FE9"/>
    <w:rsid w:val="003545C7"/>
    <w:rsid w:val="00371342"/>
    <w:rsid w:val="003724A7"/>
    <w:rsid w:val="00393D45"/>
    <w:rsid w:val="003A0569"/>
    <w:rsid w:val="003A275C"/>
    <w:rsid w:val="003B2317"/>
    <w:rsid w:val="003C0D06"/>
    <w:rsid w:val="003E16D1"/>
    <w:rsid w:val="003E47A0"/>
    <w:rsid w:val="003E5448"/>
    <w:rsid w:val="003F5319"/>
    <w:rsid w:val="00401610"/>
    <w:rsid w:val="004249E7"/>
    <w:rsid w:val="004431B1"/>
    <w:rsid w:val="00452E58"/>
    <w:rsid w:val="004605C0"/>
    <w:rsid w:val="0047725A"/>
    <w:rsid w:val="004844EF"/>
    <w:rsid w:val="004900EA"/>
    <w:rsid w:val="004A3C48"/>
    <w:rsid w:val="004B26D2"/>
    <w:rsid w:val="004E17AF"/>
    <w:rsid w:val="00507063"/>
    <w:rsid w:val="00515906"/>
    <w:rsid w:val="00517C2B"/>
    <w:rsid w:val="00522177"/>
    <w:rsid w:val="00525398"/>
    <w:rsid w:val="00540F2B"/>
    <w:rsid w:val="00543D26"/>
    <w:rsid w:val="005478AB"/>
    <w:rsid w:val="0055354D"/>
    <w:rsid w:val="00556A72"/>
    <w:rsid w:val="005A15D2"/>
    <w:rsid w:val="005C5505"/>
    <w:rsid w:val="005F0731"/>
    <w:rsid w:val="005F4BF9"/>
    <w:rsid w:val="00604A8B"/>
    <w:rsid w:val="00610AFB"/>
    <w:rsid w:val="00641589"/>
    <w:rsid w:val="00661680"/>
    <w:rsid w:val="00682851"/>
    <w:rsid w:val="00686956"/>
    <w:rsid w:val="006873B9"/>
    <w:rsid w:val="00697832"/>
    <w:rsid w:val="006A5439"/>
    <w:rsid w:val="006A65FD"/>
    <w:rsid w:val="006B08F4"/>
    <w:rsid w:val="006B2707"/>
    <w:rsid w:val="006D0DF6"/>
    <w:rsid w:val="006D4C32"/>
    <w:rsid w:val="006F391D"/>
    <w:rsid w:val="00705EA1"/>
    <w:rsid w:val="007148FE"/>
    <w:rsid w:val="0072135B"/>
    <w:rsid w:val="0072668A"/>
    <w:rsid w:val="00730D49"/>
    <w:rsid w:val="00742455"/>
    <w:rsid w:val="00755CE9"/>
    <w:rsid w:val="00763C9D"/>
    <w:rsid w:val="00774AE6"/>
    <w:rsid w:val="00786EE5"/>
    <w:rsid w:val="007B3980"/>
    <w:rsid w:val="007B529B"/>
    <w:rsid w:val="007B64CC"/>
    <w:rsid w:val="007E4701"/>
    <w:rsid w:val="007E6ECF"/>
    <w:rsid w:val="007F0B33"/>
    <w:rsid w:val="007F2965"/>
    <w:rsid w:val="00817492"/>
    <w:rsid w:val="00820877"/>
    <w:rsid w:val="008222AB"/>
    <w:rsid w:val="00826A76"/>
    <w:rsid w:val="0084516E"/>
    <w:rsid w:val="00845E28"/>
    <w:rsid w:val="00847C60"/>
    <w:rsid w:val="00851351"/>
    <w:rsid w:val="00861F86"/>
    <w:rsid w:val="008640A4"/>
    <w:rsid w:val="0086692A"/>
    <w:rsid w:val="00875A49"/>
    <w:rsid w:val="00881AE8"/>
    <w:rsid w:val="008846D2"/>
    <w:rsid w:val="00886FF5"/>
    <w:rsid w:val="00897A48"/>
    <w:rsid w:val="008A396D"/>
    <w:rsid w:val="008C3579"/>
    <w:rsid w:val="008C3FF8"/>
    <w:rsid w:val="008E4B34"/>
    <w:rsid w:val="008E50C0"/>
    <w:rsid w:val="008E7F15"/>
    <w:rsid w:val="008F670F"/>
    <w:rsid w:val="00902D7F"/>
    <w:rsid w:val="009150BA"/>
    <w:rsid w:val="00915A8D"/>
    <w:rsid w:val="009352C8"/>
    <w:rsid w:val="00935DFD"/>
    <w:rsid w:val="00947000"/>
    <w:rsid w:val="00956768"/>
    <w:rsid w:val="0095796A"/>
    <w:rsid w:val="00971874"/>
    <w:rsid w:val="00974272"/>
    <w:rsid w:val="00987DE7"/>
    <w:rsid w:val="009905AB"/>
    <w:rsid w:val="009B02CC"/>
    <w:rsid w:val="009C487C"/>
    <w:rsid w:val="009D021F"/>
    <w:rsid w:val="009D7ECD"/>
    <w:rsid w:val="00A06CFF"/>
    <w:rsid w:val="00A1237F"/>
    <w:rsid w:val="00A16BD1"/>
    <w:rsid w:val="00A261BC"/>
    <w:rsid w:val="00A33C12"/>
    <w:rsid w:val="00A35345"/>
    <w:rsid w:val="00A4176A"/>
    <w:rsid w:val="00A50FD8"/>
    <w:rsid w:val="00A5586A"/>
    <w:rsid w:val="00A6409D"/>
    <w:rsid w:val="00A66240"/>
    <w:rsid w:val="00A87273"/>
    <w:rsid w:val="00A92920"/>
    <w:rsid w:val="00AB1A76"/>
    <w:rsid w:val="00AB4774"/>
    <w:rsid w:val="00AB668D"/>
    <w:rsid w:val="00AC1ECE"/>
    <w:rsid w:val="00AC74B6"/>
    <w:rsid w:val="00AD21CC"/>
    <w:rsid w:val="00AD39F4"/>
    <w:rsid w:val="00AE19BA"/>
    <w:rsid w:val="00AE1E5B"/>
    <w:rsid w:val="00AE314B"/>
    <w:rsid w:val="00B20B37"/>
    <w:rsid w:val="00B533D4"/>
    <w:rsid w:val="00B53B3D"/>
    <w:rsid w:val="00B809B1"/>
    <w:rsid w:val="00B85B0C"/>
    <w:rsid w:val="00BC5693"/>
    <w:rsid w:val="00BD47DD"/>
    <w:rsid w:val="00BD59E1"/>
    <w:rsid w:val="00BE3CD6"/>
    <w:rsid w:val="00BE4ADD"/>
    <w:rsid w:val="00BE6922"/>
    <w:rsid w:val="00BF38E3"/>
    <w:rsid w:val="00BF6753"/>
    <w:rsid w:val="00BF702B"/>
    <w:rsid w:val="00C0429A"/>
    <w:rsid w:val="00C04FA1"/>
    <w:rsid w:val="00C05B13"/>
    <w:rsid w:val="00C07E8E"/>
    <w:rsid w:val="00C46307"/>
    <w:rsid w:val="00C709F4"/>
    <w:rsid w:val="00C71791"/>
    <w:rsid w:val="00C82549"/>
    <w:rsid w:val="00CD570C"/>
    <w:rsid w:val="00CD7371"/>
    <w:rsid w:val="00CE2021"/>
    <w:rsid w:val="00CF7B68"/>
    <w:rsid w:val="00D1663C"/>
    <w:rsid w:val="00D351B2"/>
    <w:rsid w:val="00D4246F"/>
    <w:rsid w:val="00D45FDD"/>
    <w:rsid w:val="00D50A16"/>
    <w:rsid w:val="00D80EFC"/>
    <w:rsid w:val="00D83FB6"/>
    <w:rsid w:val="00D85C21"/>
    <w:rsid w:val="00DA1E10"/>
    <w:rsid w:val="00DC798E"/>
    <w:rsid w:val="00DD091C"/>
    <w:rsid w:val="00E03690"/>
    <w:rsid w:val="00E04957"/>
    <w:rsid w:val="00E32597"/>
    <w:rsid w:val="00E610C5"/>
    <w:rsid w:val="00E70CB2"/>
    <w:rsid w:val="00E7196F"/>
    <w:rsid w:val="00E82AF4"/>
    <w:rsid w:val="00E92254"/>
    <w:rsid w:val="00E95CE9"/>
    <w:rsid w:val="00EA23AE"/>
    <w:rsid w:val="00EB359C"/>
    <w:rsid w:val="00EB3918"/>
    <w:rsid w:val="00EB595F"/>
    <w:rsid w:val="00EC0592"/>
    <w:rsid w:val="00EC072C"/>
    <w:rsid w:val="00EC34B7"/>
    <w:rsid w:val="00ED7F16"/>
    <w:rsid w:val="00EF6542"/>
    <w:rsid w:val="00F122E7"/>
    <w:rsid w:val="00F24705"/>
    <w:rsid w:val="00F32293"/>
    <w:rsid w:val="00F35B2D"/>
    <w:rsid w:val="00F43430"/>
    <w:rsid w:val="00F44F7B"/>
    <w:rsid w:val="00F626B9"/>
    <w:rsid w:val="00F752F3"/>
    <w:rsid w:val="00FA1541"/>
    <w:rsid w:val="00FA4192"/>
    <w:rsid w:val="00FB1536"/>
    <w:rsid w:val="00FB413B"/>
    <w:rsid w:val="00FC7A62"/>
    <w:rsid w:val="00FE6176"/>
    <w:rsid w:val="01384A1D"/>
    <w:rsid w:val="02217791"/>
    <w:rsid w:val="02250EEB"/>
    <w:rsid w:val="030D5CD8"/>
    <w:rsid w:val="031975FC"/>
    <w:rsid w:val="039E1C2B"/>
    <w:rsid w:val="04102AC1"/>
    <w:rsid w:val="04441F35"/>
    <w:rsid w:val="04714F92"/>
    <w:rsid w:val="04A06E8F"/>
    <w:rsid w:val="04DC4281"/>
    <w:rsid w:val="05247458"/>
    <w:rsid w:val="05554CC3"/>
    <w:rsid w:val="057B31F1"/>
    <w:rsid w:val="05B67E1C"/>
    <w:rsid w:val="06503782"/>
    <w:rsid w:val="06B50E15"/>
    <w:rsid w:val="06C73F10"/>
    <w:rsid w:val="0707027B"/>
    <w:rsid w:val="0756493E"/>
    <w:rsid w:val="07E25605"/>
    <w:rsid w:val="07F05746"/>
    <w:rsid w:val="07F9621C"/>
    <w:rsid w:val="081C0F7E"/>
    <w:rsid w:val="083B4CF6"/>
    <w:rsid w:val="086B0758"/>
    <w:rsid w:val="086F65A5"/>
    <w:rsid w:val="09450156"/>
    <w:rsid w:val="09DF1708"/>
    <w:rsid w:val="0A0E62D1"/>
    <w:rsid w:val="0A6F047A"/>
    <w:rsid w:val="0ADD085C"/>
    <w:rsid w:val="0B5328FD"/>
    <w:rsid w:val="0BAA589E"/>
    <w:rsid w:val="0BB35FFC"/>
    <w:rsid w:val="0BC830D3"/>
    <w:rsid w:val="0C376CFB"/>
    <w:rsid w:val="0C7A2B06"/>
    <w:rsid w:val="0CD60D8E"/>
    <w:rsid w:val="0CE86FE6"/>
    <w:rsid w:val="0D2D3A1C"/>
    <w:rsid w:val="0DFF7AB0"/>
    <w:rsid w:val="0E015CBB"/>
    <w:rsid w:val="0E346A75"/>
    <w:rsid w:val="0E6940D9"/>
    <w:rsid w:val="0EBB29D2"/>
    <w:rsid w:val="0EF31B44"/>
    <w:rsid w:val="0F281687"/>
    <w:rsid w:val="0F30790E"/>
    <w:rsid w:val="0F375874"/>
    <w:rsid w:val="0F4A3D9B"/>
    <w:rsid w:val="0F7C6301"/>
    <w:rsid w:val="0FA92FCD"/>
    <w:rsid w:val="0FBE1D4C"/>
    <w:rsid w:val="102677F2"/>
    <w:rsid w:val="10760831"/>
    <w:rsid w:val="10B54463"/>
    <w:rsid w:val="10C02DF2"/>
    <w:rsid w:val="10ED7D07"/>
    <w:rsid w:val="11176C7B"/>
    <w:rsid w:val="11DE043A"/>
    <w:rsid w:val="11E91977"/>
    <w:rsid w:val="129E712A"/>
    <w:rsid w:val="13713F32"/>
    <w:rsid w:val="13B73D35"/>
    <w:rsid w:val="13FC3D9B"/>
    <w:rsid w:val="14652843"/>
    <w:rsid w:val="1529017A"/>
    <w:rsid w:val="15AE5AF3"/>
    <w:rsid w:val="165C0EEA"/>
    <w:rsid w:val="168057AC"/>
    <w:rsid w:val="16A73740"/>
    <w:rsid w:val="16C51EF9"/>
    <w:rsid w:val="16C83B1A"/>
    <w:rsid w:val="16E523B4"/>
    <w:rsid w:val="170B724A"/>
    <w:rsid w:val="171362B5"/>
    <w:rsid w:val="173C2830"/>
    <w:rsid w:val="17DD608C"/>
    <w:rsid w:val="1838519E"/>
    <w:rsid w:val="186969F7"/>
    <w:rsid w:val="1899167A"/>
    <w:rsid w:val="18A62EB7"/>
    <w:rsid w:val="192E13E5"/>
    <w:rsid w:val="19406053"/>
    <w:rsid w:val="194824BB"/>
    <w:rsid w:val="19A347B2"/>
    <w:rsid w:val="1A5907D0"/>
    <w:rsid w:val="1AB83143"/>
    <w:rsid w:val="1B4B711B"/>
    <w:rsid w:val="1B623A73"/>
    <w:rsid w:val="1B7A416E"/>
    <w:rsid w:val="1B906F13"/>
    <w:rsid w:val="1BBE181B"/>
    <w:rsid w:val="1C09103E"/>
    <w:rsid w:val="1C3815D4"/>
    <w:rsid w:val="1C724F57"/>
    <w:rsid w:val="1D6A0962"/>
    <w:rsid w:val="1D726A71"/>
    <w:rsid w:val="1D9779A5"/>
    <w:rsid w:val="1DE43EA0"/>
    <w:rsid w:val="1DFB2118"/>
    <w:rsid w:val="1E605BD5"/>
    <w:rsid w:val="1F563321"/>
    <w:rsid w:val="1FA42F99"/>
    <w:rsid w:val="20B8162E"/>
    <w:rsid w:val="22D850B2"/>
    <w:rsid w:val="231A4201"/>
    <w:rsid w:val="23561FB1"/>
    <w:rsid w:val="239D57D0"/>
    <w:rsid w:val="23B40FB4"/>
    <w:rsid w:val="23D64596"/>
    <w:rsid w:val="23E15DF1"/>
    <w:rsid w:val="240654F8"/>
    <w:rsid w:val="243E52CD"/>
    <w:rsid w:val="24580705"/>
    <w:rsid w:val="24A347B8"/>
    <w:rsid w:val="24BF7BE7"/>
    <w:rsid w:val="24E12761"/>
    <w:rsid w:val="24EC7758"/>
    <w:rsid w:val="25160C63"/>
    <w:rsid w:val="25E55123"/>
    <w:rsid w:val="260345A2"/>
    <w:rsid w:val="26484232"/>
    <w:rsid w:val="268B6144"/>
    <w:rsid w:val="27566333"/>
    <w:rsid w:val="27B33FE4"/>
    <w:rsid w:val="281E7463"/>
    <w:rsid w:val="285824CE"/>
    <w:rsid w:val="28C77D47"/>
    <w:rsid w:val="292574ED"/>
    <w:rsid w:val="29731C68"/>
    <w:rsid w:val="298B1110"/>
    <w:rsid w:val="298E204F"/>
    <w:rsid w:val="29D8470F"/>
    <w:rsid w:val="29D93B6C"/>
    <w:rsid w:val="29EB3D84"/>
    <w:rsid w:val="2A35648E"/>
    <w:rsid w:val="2A5F4808"/>
    <w:rsid w:val="2A6B2CCD"/>
    <w:rsid w:val="2ACC5B38"/>
    <w:rsid w:val="2AED2771"/>
    <w:rsid w:val="2B096EFF"/>
    <w:rsid w:val="2B4B5488"/>
    <w:rsid w:val="2B563FCB"/>
    <w:rsid w:val="2B6A2D92"/>
    <w:rsid w:val="2C3058E4"/>
    <w:rsid w:val="2C605CB7"/>
    <w:rsid w:val="2CD24BBA"/>
    <w:rsid w:val="2CE562F2"/>
    <w:rsid w:val="2D245EED"/>
    <w:rsid w:val="2D2C187F"/>
    <w:rsid w:val="2D7E3749"/>
    <w:rsid w:val="2E0158D0"/>
    <w:rsid w:val="2E050E60"/>
    <w:rsid w:val="2EEC4EAC"/>
    <w:rsid w:val="2F3957EB"/>
    <w:rsid w:val="2F5E6B71"/>
    <w:rsid w:val="2F6F2331"/>
    <w:rsid w:val="2FB46119"/>
    <w:rsid w:val="300261E3"/>
    <w:rsid w:val="3071295A"/>
    <w:rsid w:val="30F11892"/>
    <w:rsid w:val="30FA37A7"/>
    <w:rsid w:val="31435EF9"/>
    <w:rsid w:val="31A42953"/>
    <w:rsid w:val="31CD691C"/>
    <w:rsid w:val="32624EBF"/>
    <w:rsid w:val="33462E2F"/>
    <w:rsid w:val="344E53B3"/>
    <w:rsid w:val="34A40CAA"/>
    <w:rsid w:val="34C4276E"/>
    <w:rsid w:val="34ED31FD"/>
    <w:rsid w:val="35025433"/>
    <w:rsid w:val="356B4CBE"/>
    <w:rsid w:val="35AC10E5"/>
    <w:rsid w:val="35F95D43"/>
    <w:rsid w:val="361C7A5A"/>
    <w:rsid w:val="3639195A"/>
    <w:rsid w:val="367351AF"/>
    <w:rsid w:val="36E06ACF"/>
    <w:rsid w:val="370E7962"/>
    <w:rsid w:val="374A21FF"/>
    <w:rsid w:val="3759403F"/>
    <w:rsid w:val="37815A20"/>
    <w:rsid w:val="37971F8E"/>
    <w:rsid w:val="37A1384F"/>
    <w:rsid w:val="385000D2"/>
    <w:rsid w:val="38632962"/>
    <w:rsid w:val="38635402"/>
    <w:rsid w:val="38726562"/>
    <w:rsid w:val="38807E19"/>
    <w:rsid w:val="38C61286"/>
    <w:rsid w:val="39173392"/>
    <w:rsid w:val="39285FB8"/>
    <w:rsid w:val="394D7448"/>
    <w:rsid w:val="3A4D215F"/>
    <w:rsid w:val="3A7D0F97"/>
    <w:rsid w:val="3B6E3033"/>
    <w:rsid w:val="3B831D46"/>
    <w:rsid w:val="3B8A493E"/>
    <w:rsid w:val="3BE74548"/>
    <w:rsid w:val="3BFB75CF"/>
    <w:rsid w:val="3C747608"/>
    <w:rsid w:val="3C885FEA"/>
    <w:rsid w:val="3CAD0390"/>
    <w:rsid w:val="3D0A7D6D"/>
    <w:rsid w:val="3D745EB9"/>
    <w:rsid w:val="3D792857"/>
    <w:rsid w:val="3D8A6F3E"/>
    <w:rsid w:val="3D8C247C"/>
    <w:rsid w:val="3DAA1B1F"/>
    <w:rsid w:val="3DCA36EA"/>
    <w:rsid w:val="3E0A4D3D"/>
    <w:rsid w:val="3E220070"/>
    <w:rsid w:val="3EC908A3"/>
    <w:rsid w:val="3ECB6A21"/>
    <w:rsid w:val="3EDE5286"/>
    <w:rsid w:val="3EFD4119"/>
    <w:rsid w:val="3F137891"/>
    <w:rsid w:val="40240AA5"/>
    <w:rsid w:val="4079723A"/>
    <w:rsid w:val="41C33AAB"/>
    <w:rsid w:val="41CB2397"/>
    <w:rsid w:val="41D76CD1"/>
    <w:rsid w:val="41E1405C"/>
    <w:rsid w:val="41F229E8"/>
    <w:rsid w:val="41FB585E"/>
    <w:rsid w:val="4203284D"/>
    <w:rsid w:val="42042C05"/>
    <w:rsid w:val="4215733B"/>
    <w:rsid w:val="42200B3B"/>
    <w:rsid w:val="428A009B"/>
    <w:rsid w:val="428D4F27"/>
    <w:rsid w:val="42DB280A"/>
    <w:rsid w:val="43204403"/>
    <w:rsid w:val="4323183B"/>
    <w:rsid w:val="43833F0A"/>
    <w:rsid w:val="43A67B79"/>
    <w:rsid w:val="43C41767"/>
    <w:rsid w:val="440D27B5"/>
    <w:rsid w:val="443D760D"/>
    <w:rsid w:val="444F60D8"/>
    <w:rsid w:val="453D3EA7"/>
    <w:rsid w:val="45691774"/>
    <w:rsid w:val="45B16923"/>
    <w:rsid w:val="45B32889"/>
    <w:rsid w:val="45BF34B1"/>
    <w:rsid w:val="45CC2D35"/>
    <w:rsid w:val="45D71372"/>
    <w:rsid w:val="46414540"/>
    <w:rsid w:val="4642534E"/>
    <w:rsid w:val="46477572"/>
    <w:rsid w:val="474318E1"/>
    <w:rsid w:val="476526F9"/>
    <w:rsid w:val="47AB3A52"/>
    <w:rsid w:val="47B24202"/>
    <w:rsid w:val="483F3715"/>
    <w:rsid w:val="4883051D"/>
    <w:rsid w:val="48854572"/>
    <w:rsid w:val="48900411"/>
    <w:rsid w:val="48B9127F"/>
    <w:rsid w:val="49664FF9"/>
    <w:rsid w:val="496E4055"/>
    <w:rsid w:val="49993904"/>
    <w:rsid w:val="49C0310D"/>
    <w:rsid w:val="4A1A17C6"/>
    <w:rsid w:val="4AEC1F95"/>
    <w:rsid w:val="4BE82E87"/>
    <w:rsid w:val="4C09091E"/>
    <w:rsid w:val="4C5B0523"/>
    <w:rsid w:val="4C607AFD"/>
    <w:rsid w:val="4CAB667D"/>
    <w:rsid w:val="4CD557C1"/>
    <w:rsid w:val="4CF25C99"/>
    <w:rsid w:val="4D6856A2"/>
    <w:rsid w:val="4D9E0485"/>
    <w:rsid w:val="4DD62609"/>
    <w:rsid w:val="4E2B0DF4"/>
    <w:rsid w:val="4E91481E"/>
    <w:rsid w:val="4EAC1061"/>
    <w:rsid w:val="4EE87F2F"/>
    <w:rsid w:val="4F147ECD"/>
    <w:rsid w:val="4F471793"/>
    <w:rsid w:val="4FC425AC"/>
    <w:rsid w:val="4FC72935"/>
    <w:rsid w:val="4FC763E9"/>
    <w:rsid w:val="50275685"/>
    <w:rsid w:val="50617B3D"/>
    <w:rsid w:val="50A6690A"/>
    <w:rsid w:val="50A753F3"/>
    <w:rsid w:val="50B16095"/>
    <w:rsid w:val="50D50F1E"/>
    <w:rsid w:val="510E39E5"/>
    <w:rsid w:val="51B34C5D"/>
    <w:rsid w:val="522D61B1"/>
    <w:rsid w:val="52385CA9"/>
    <w:rsid w:val="525317B3"/>
    <w:rsid w:val="52776B91"/>
    <w:rsid w:val="53AF7C8A"/>
    <w:rsid w:val="53F41BD8"/>
    <w:rsid w:val="54335C6A"/>
    <w:rsid w:val="5496016B"/>
    <w:rsid w:val="54A52BFB"/>
    <w:rsid w:val="54BA6846"/>
    <w:rsid w:val="54EC7BA5"/>
    <w:rsid w:val="54FA071C"/>
    <w:rsid w:val="55A55501"/>
    <w:rsid w:val="55B41CC8"/>
    <w:rsid w:val="55B954E9"/>
    <w:rsid w:val="55F11924"/>
    <w:rsid w:val="56A44830"/>
    <w:rsid w:val="56A92F20"/>
    <w:rsid w:val="56C97FE8"/>
    <w:rsid w:val="573569C7"/>
    <w:rsid w:val="579234A8"/>
    <w:rsid w:val="57A44268"/>
    <w:rsid w:val="58E958D7"/>
    <w:rsid w:val="59385550"/>
    <w:rsid w:val="596E6DB8"/>
    <w:rsid w:val="59F46E65"/>
    <w:rsid w:val="5A216575"/>
    <w:rsid w:val="5A9736C8"/>
    <w:rsid w:val="5AD962A4"/>
    <w:rsid w:val="5B292F37"/>
    <w:rsid w:val="5B377BB0"/>
    <w:rsid w:val="5B62530A"/>
    <w:rsid w:val="5B9615C3"/>
    <w:rsid w:val="5C353B21"/>
    <w:rsid w:val="5C51134B"/>
    <w:rsid w:val="5C833CCD"/>
    <w:rsid w:val="5CC221DD"/>
    <w:rsid w:val="5CC873BA"/>
    <w:rsid w:val="5D6A2070"/>
    <w:rsid w:val="5DD807CF"/>
    <w:rsid w:val="5E093DC1"/>
    <w:rsid w:val="5E8A6D72"/>
    <w:rsid w:val="5F110945"/>
    <w:rsid w:val="5F27593E"/>
    <w:rsid w:val="5F404CD8"/>
    <w:rsid w:val="5F6A7FE9"/>
    <w:rsid w:val="61432179"/>
    <w:rsid w:val="619E0C93"/>
    <w:rsid w:val="61AE12F2"/>
    <w:rsid w:val="624034C6"/>
    <w:rsid w:val="6245659C"/>
    <w:rsid w:val="62A840B5"/>
    <w:rsid w:val="62D347C6"/>
    <w:rsid w:val="63055F06"/>
    <w:rsid w:val="632E5258"/>
    <w:rsid w:val="633A2648"/>
    <w:rsid w:val="634737ED"/>
    <w:rsid w:val="635A42A7"/>
    <w:rsid w:val="63E178DF"/>
    <w:rsid w:val="64774105"/>
    <w:rsid w:val="64A26432"/>
    <w:rsid w:val="64AF0585"/>
    <w:rsid w:val="64B15A6B"/>
    <w:rsid w:val="65073B38"/>
    <w:rsid w:val="653965BF"/>
    <w:rsid w:val="6578669C"/>
    <w:rsid w:val="66206EDB"/>
    <w:rsid w:val="665B6088"/>
    <w:rsid w:val="665D46F4"/>
    <w:rsid w:val="668C4C54"/>
    <w:rsid w:val="66F529AE"/>
    <w:rsid w:val="67B142B1"/>
    <w:rsid w:val="67B56441"/>
    <w:rsid w:val="67DB656E"/>
    <w:rsid w:val="68A701EB"/>
    <w:rsid w:val="68D6739D"/>
    <w:rsid w:val="68D8755E"/>
    <w:rsid w:val="69101727"/>
    <w:rsid w:val="69184E7F"/>
    <w:rsid w:val="697353E7"/>
    <w:rsid w:val="699053E3"/>
    <w:rsid w:val="69C956EA"/>
    <w:rsid w:val="6A1C2BEF"/>
    <w:rsid w:val="6A424BBC"/>
    <w:rsid w:val="6A7625E4"/>
    <w:rsid w:val="6AAA7A92"/>
    <w:rsid w:val="6B1049BC"/>
    <w:rsid w:val="6B304C79"/>
    <w:rsid w:val="6B374F9E"/>
    <w:rsid w:val="6B585419"/>
    <w:rsid w:val="6B606BF1"/>
    <w:rsid w:val="6B695F5A"/>
    <w:rsid w:val="6B6B6DB2"/>
    <w:rsid w:val="6C2764F4"/>
    <w:rsid w:val="6C896D4C"/>
    <w:rsid w:val="6CA44173"/>
    <w:rsid w:val="6CEE5B89"/>
    <w:rsid w:val="6D274CBD"/>
    <w:rsid w:val="6D9A7E21"/>
    <w:rsid w:val="6E04265D"/>
    <w:rsid w:val="6E1F0C07"/>
    <w:rsid w:val="6E407AE2"/>
    <w:rsid w:val="6E9442EB"/>
    <w:rsid w:val="6E9558E1"/>
    <w:rsid w:val="6FDF498E"/>
    <w:rsid w:val="6FE85C0D"/>
    <w:rsid w:val="6FED55A5"/>
    <w:rsid w:val="700852F2"/>
    <w:rsid w:val="70502A44"/>
    <w:rsid w:val="70994CD6"/>
    <w:rsid w:val="70BF6F8B"/>
    <w:rsid w:val="717500D1"/>
    <w:rsid w:val="718656FD"/>
    <w:rsid w:val="71C24359"/>
    <w:rsid w:val="71C97B42"/>
    <w:rsid w:val="72BD7A14"/>
    <w:rsid w:val="72C32204"/>
    <w:rsid w:val="72E60096"/>
    <w:rsid w:val="730E2EAF"/>
    <w:rsid w:val="73CA4BC2"/>
    <w:rsid w:val="73D44DBD"/>
    <w:rsid w:val="73DE4496"/>
    <w:rsid w:val="73E1099C"/>
    <w:rsid w:val="749A7E56"/>
    <w:rsid w:val="74D11021"/>
    <w:rsid w:val="75051E60"/>
    <w:rsid w:val="75235ECA"/>
    <w:rsid w:val="75B84E2C"/>
    <w:rsid w:val="75D631C8"/>
    <w:rsid w:val="75E048D4"/>
    <w:rsid w:val="76111F0C"/>
    <w:rsid w:val="7694079C"/>
    <w:rsid w:val="76AB6427"/>
    <w:rsid w:val="77CE7CAC"/>
    <w:rsid w:val="77D65623"/>
    <w:rsid w:val="77DD72E3"/>
    <w:rsid w:val="77F6356F"/>
    <w:rsid w:val="780005E3"/>
    <w:rsid w:val="78166C2A"/>
    <w:rsid w:val="78910368"/>
    <w:rsid w:val="78EA2DC5"/>
    <w:rsid w:val="79147D34"/>
    <w:rsid w:val="79246A68"/>
    <w:rsid w:val="79400CA0"/>
    <w:rsid w:val="79622E2C"/>
    <w:rsid w:val="79661C2E"/>
    <w:rsid w:val="797F5A9C"/>
    <w:rsid w:val="79B27E52"/>
    <w:rsid w:val="7A116803"/>
    <w:rsid w:val="7A885935"/>
    <w:rsid w:val="7A9E24BE"/>
    <w:rsid w:val="7AFB65DA"/>
    <w:rsid w:val="7B150471"/>
    <w:rsid w:val="7B4064FF"/>
    <w:rsid w:val="7B761FEE"/>
    <w:rsid w:val="7C6C284E"/>
    <w:rsid w:val="7C813A8D"/>
    <w:rsid w:val="7D1F2C4C"/>
    <w:rsid w:val="7D2271BA"/>
    <w:rsid w:val="7D5837AB"/>
    <w:rsid w:val="7E176584"/>
    <w:rsid w:val="7E4C0202"/>
    <w:rsid w:val="7E520997"/>
    <w:rsid w:val="7EDB2CFC"/>
    <w:rsid w:val="7FC2495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18475F74-DA60-4643-9150-C7A0C8DEE9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nhideWhenUsed="1" w:qFormat="1"/>
    <w:lsdException w:name="heading 3"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Normal Indent" w:uiPriority="99" w:qFormat="1"/>
    <w:lsdException w:name="annotation text" w:uiPriority="99" w:unhideWhenUsed="1" w:qFormat="1"/>
    <w:lsdException w:name="header" w:qFormat="1"/>
    <w:lsdException w:name="footer" w:uiPriority="99" w:qFormat="1"/>
    <w:lsdException w:name="caption" w:semiHidden="1" w:unhideWhenUsed="1" w:qFormat="1"/>
    <w:lsdException w:name="List" w:qFormat="1"/>
    <w:lsdException w:name="List Number 5" w:qFormat="1"/>
    <w:lsdException w:name="Title" w:qFormat="1"/>
    <w:lsdException w:name="Default Paragraph Font" w:semiHidden="1" w:uiPriority="1" w:unhideWhenUsed="1" w:qFormat="1"/>
    <w:lsdException w:name="Body Text" w:qFormat="1"/>
    <w:lsdException w:name="Body Text Indent" w:uiPriority="99" w:qFormat="1"/>
    <w:lsdException w:name="Subtitle" w:qFormat="1"/>
    <w:lsdException w:name="Body Text Indent 3" w:qFormat="1"/>
    <w:lsdException w:name="Hyperlink" w:uiPriority="99" w:unhideWhenUsed="1"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HTML Keyboard"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next w:val="a0"/>
    <w:qFormat/>
    <w:pPr>
      <w:widowControl w:val="0"/>
      <w:adjustRightInd w:val="0"/>
      <w:snapToGrid w:val="0"/>
      <w:jc w:val="both"/>
    </w:pPr>
    <w:rPr>
      <w:rFonts w:eastAsia="仿宋_GB2312"/>
      <w:kern w:val="2"/>
      <w:sz w:val="24"/>
    </w:rPr>
  </w:style>
  <w:style w:type="paragraph" w:styleId="1">
    <w:name w:val="heading 1"/>
    <w:basedOn w:val="a"/>
    <w:next w:val="a"/>
    <w:link w:val="1Char"/>
    <w:qFormat/>
    <w:pPr>
      <w:keepNext/>
      <w:keepLines/>
      <w:spacing w:line="360" w:lineRule="auto"/>
      <w:outlineLvl w:val="0"/>
    </w:pPr>
    <w:rPr>
      <w:b/>
      <w:sz w:val="32"/>
    </w:rPr>
  </w:style>
  <w:style w:type="paragraph" w:styleId="2">
    <w:name w:val="heading 2"/>
    <w:basedOn w:val="a"/>
    <w:next w:val="a"/>
    <w:link w:val="2Char"/>
    <w:unhideWhenUsed/>
    <w:qFormat/>
    <w:pPr>
      <w:outlineLvl w:val="1"/>
    </w:pPr>
    <w:rPr>
      <w:spacing w:val="6"/>
      <w:sz w:val="30"/>
    </w:rPr>
  </w:style>
  <w:style w:type="paragraph" w:styleId="3">
    <w:name w:val="heading 3"/>
    <w:basedOn w:val="a"/>
    <w:next w:val="a"/>
    <w:link w:val="3Char"/>
    <w:unhideWhenUsed/>
    <w:qFormat/>
    <w:pPr>
      <w:keepNext/>
      <w:keepLines/>
      <w:spacing w:line="360" w:lineRule="auto"/>
      <w:outlineLvl w:val="2"/>
    </w:pPr>
    <w:rPr>
      <w:b/>
      <w:spacing w:val="6"/>
      <w:sz w:val="28"/>
    </w:rPr>
  </w:style>
  <w:style w:type="paragraph" w:styleId="4">
    <w:name w:val="heading 4"/>
    <w:basedOn w:val="a"/>
    <w:next w:val="a"/>
    <w:link w:val="4Char"/>
    <w:qFormat/>
    <w:pPr>
      <w:keepNext/>
      <w:keepLines/>
      <w:numPr>
        <w:ilvl w:val="3"/>
        <w:numId w:val="1"/>
      </w:numPr>
      <w:spacing w:line="360" w:lineRule="auto"/>
      <w:ind w:left="0" w:firstLineChars="200" w:firstLine="482"/>
      <w:outlineLvl w:val="3"/>
    </w:pPr>
    <w:rPr>
      <w:b/>
      <w:color w:val="000000"/>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next w:val="a4"/>
    <w:link w:val="Char"/>
    <w:qFormat/>
    <w:pPr>
      <w:spacing w:after="120"/>
    </w:pPr>
    <w:rPr>
      <w:sz w:val="21"/>
    </w:rPr>
  </w:style>
  <w:style w:type="paragraph" w:styleId="a4">
    <w:name w:val="Body Text Indent"/>
    <w:basedOn w:val="a"/>
    <w:next w:val="a"/>
    <w:uiPriority w:val="99"/>
    <w:qFormat/>
    <w:pPr>
      <w:spacing w:after="120"/>
      <w:ind w:leftChars="200" w:left="420"/>
    </w:pPr>
    <w:rPr>
      <w:rFonts w:eastAsia="宋体"/>
    </w:rPr>
  </w:style>
  <w:style w:type="paragraph" w:styleId="a5">
    <w:name w:val="Normal Indent"/>
    <w:basedOn w:val="a"/>
    <w:uiPriority w:val="99"/>
    <w:qFormat/>
    <w:pPr>
      <w:ind w:firstLineChars="200" w:firstLine="664"/>
    </w:pPr>
  </w:style>
  <w:style w:type="paragraph" w:styleId="a6">
    <w:name w:val="annotation text"/>
    <w:basedOn w:val="a"/>
    <w:link w:val="Char0"/>
    <w:uiPriority w:val="99"/>
    <w:unhideWhenUsed/>
    <w:qFormat/>
  </w:style>
  <w:style w:type="paragraph" w:styleId="a7">
    <w:name w:val="Plain Text"/>
    <w:basedOn w:val="a"/>
    <w:link w:val="Char1"/>
    <w:qFormat/>
    <w:rPr>
      <w:rFonts w:hAnsi="Courier New"/>
      <w:sz w:val="21"/>
    </w:rPr>
  </w:style>
  <w:style w:type="paragraph" w:styleId="a8">
    <w:name w:val="footer"/>
    <w:basedOn w:val="a"/>
    <w:link w:val="Char2"/>
    <w:uiPriority w:val="99"/>
    <w:qFormat/>
    <w:pPr>
      <w:tabs>
        <w:tab w:val="center" w:pos="4153"/>
        <w:tab w:val="right" w:pos="8306"/>
      </w:tabs>
      <w:jc w:val="left"/>
    </w:pPr>
    <w:rPr>
      <w:sz w:val="18"/>
      <w:szCs w:val="18"/>
    </w:rPr>
  </w:style>
  <w:style w:type="paragraph" w:styleId="a9">
    <w:name w:val="header"/>
    <w:basedOn w:val="a"/>
    <w:next w:val="a"/>
    <w:link w:val="Char3"/>
    <w:qFormat/>
    <w:pPr>
      <w:pBdr>
        <w:bottom w:val="single" w:sz="6" w:space="1" w:color="auto"/>
      </w:pBdr>
      <w:tabs>
        <w:tab w:val="center" w:pos="4153"/>
        <w:tab w:val="right" w:pos="8306"/>
      </w:tabs>
      <w:jc w:val="center"/>
    </w:pPr>
    <w:rPr>
      <w:sz w:val="18"/>
    </w:rPr>
  </w:style>
  <w:style w:type="paragraph" w:styleId="10">
    <w:name w:val="toc 1"/>
    <w:basedOn w:val="a"/>
    <w:next w:val="a"/>
    <w:uiPriority w:val="39"/>
    <w:qFormat/>
  </w:style>
  <w:style w:type="paragraph" w:styleId="5">
    <w:name w:val="List Number 5"/>
    <w:basedOn w:val="a"/>
    <w:qFormat/>
    <w:pPr>
      <w:numPr>
        <w:numId w:val="2"/>
      </w:numPr>
    </w:pPr>
  </w:style>
  <w:style w:type="paragraph" w:styleId="aa">
    <w:name w:val="List"/>
    <w:basedOn w:val="a"/>
    <w:qFormat/>
    <w:pPr>
      <w:jc w:val="center"/>
    </w:pPr>
  </w:style>
  <w:style w:type="paragraph" w:styleId="30">
    <w:name w:val="Body Text Indent 3"/>
    <w:basedOn w:val="a"/>
    <w:link w:val="3Char0"/>
    <w:qFormat/>
    <w:pPr>
      <w:ind w:firstLineChars="200" w:firstLine="560"/>
    </w:pPr>
    <w:rPr>
      <w:sz w:val="28"/>
    </w:rPr>
  </w:style>
  <w:style w:type="paragraph" w:styleId="20">
    <w:name w:val="toc 2"/>
    <w:basedOn w:val="a"/>
    <w:next w:val="a"/>
    <w:uiPriority w:val="39"/>
    <w:qFormat/>
    <w:pPr>
      <w:ind w:leftChars="200" w:left="420"/>
    </w:pPr>
  </w:style>
  <w:style w:type="table" w:styleId="ab">
    <w:name w:val="Table Grid"/>
    <w:basedOn w:val="a2"/>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c">
    <w:name w:val="Hyperlink"/>
    <w:basedOn w:val="a1"/>
    <w:uiPriority w:val="99"/>
    <w:unhideWhenUsed/>
    <w:qFormat/>
    <w:rPr>
      <w:color w:val="0563C1" w:themeColor="hyperlink"/>
      <w:u w:val="single"/>
    </w:rPr>
  </w:style>
  <w:style w:type="character" w:customStyle="1" w:styleId="1Char">
    <w:name w:val="标题 1 Char"/>
    <w:basedOn w:val="a1"/>
    <w:link w:val="1"/>
    <w:uiPriority w:val="99"/>
    <w:qFormat/>
    <w:locked/>
    <w:rPr>
      <w:rFonts w:ascii="Times New Roman" w:eastAsia="仿宋_GB2312" w:hAnsi="Times New Roman"/>
      <w:b/>
      <w:kern w:val="2"/>
      <w:sz w:val="32"/>
      <w:lang w:val="en-US" w:eastAsia="zh-CN" w:bidi="ar-SA"/>
    </w:rPr>
  </w:style>
  <w:style w:type="character" w:customStyle="1" w:styleId="2Char">
    <w:name w:val="标题 2 Char"/>
    <w:basedOn w:val="a1"/>
    <w:link w:val="2"/>
    <w:qFormat/>
    <w:locked/>
    <w:rPr>
      <w:rFonts w:ascii="Times New Roman" w:eastAsia="仿宋_GB2312" w:hAnsi="Times New Roman"/>
      <w:b/>
      <w:spacing w:val="6"/>
      <w:kern w:val="2"/>
      <w:sz w:val="30"/>
      <w:lang w:val="en-US" w:eastAsia="zh-CN" w:bidi="ar-SA"/>
    </w:rPr>
  </w:style>
  <w:style w:type="character" w:customStyle="1" w:styleId="3Char">
    <w:name w:val="标题 3 Char"/>
    <w:link w:val="3"/>
    <w:uiPriority w:val="99"/>
    <w:qFormat/>
    <w:rPr>
      <w:rFonts w:ascii="Times New Roman" w:eastAsia="仿宋_GB2312" w:hAnsi="Times New Roman"/>
      <w:b/>
      <w:spacing w:val="6"/>
      <w:sz w:val="28"/>
    </w:rPr>
  </w:style>
  <w:style w:type="character" w:customStyle="1" w:styleId="4Char">
    <w:name w:val="标题 4 Char"/>
    <w:basedOn w:val="a1"/>
    <w:link w:val="4"/>
    <w:qFormat/>
    <w:rPr>
      <w:rFonts w:eastAsia="仿宋_GB2312"/>
      <w:b/>
      <w:color w:val="000000"/>
      <w:kern w:val="2"/>
      <w:sz w:val="24"/>
      <w:szCs w:val="28"/>
    </w:rPr>
  </w:style>
  <w:style w:type="paragraph" w:customStyle="1" w:styleId="08522">
    <w:name w:val="样式 小四 首行缩进:  0.85 厘米 行距: 固定值 22 磅"/>
    <w:basedOn w:val="a"/>
    <w:next w:val="a"/>
    <w:qFormat/>
    <w:pPr>
      <w:spacing w:line="440" w:lineRule="exact"/>
      <w:ind w:firstLine="480"/>
    </w:pPr>
  </w:style>
  <w:style w:type="character" w:customStyle="1" w:styleId="Char0">
    <w:name w:val="批注文字 Char"/>
    <w:basedOn w:val="a1"/>
    <w:link w:val="a6"/>
    <w:uiPriority w:val="99"/>
    <w:qFormat/>
    <w:rPr>
      <w:rFonts w:eastAsia="仿宋_GB2312"/>
      <w:kern w:val="2"/>
      <w:sz w:val="24"/>
    </w:rPr>
  </w:style>
  <w:style w:type="character" w:customStyle="1" w:styleId="Char">
    <w:name w:val="正文文本 Char"/>
    <w:basedOn w:val="a1"/>
    <w:link w:val="a0"/>
    <w:qFormat/>
    <w:rPr>
      <w:rFonts w:eastAsia="仿宋_GB2312"/>
      <w:kern w:val="2"/>
      <w:sz w:val="21"/>
    </w:rPr>
  </w:style>
  <w:style w:type="character" w:customStyle="1" w:styleId="Char1">
    <w:name w:val="纯文本 Char"/>
    <w:basedOn w:val="a1"/>
    <w:link w:val="a7"/>
    <w:qFormat/>
    <w:rPr>
      <w:rFonts w:eastAsia="仿宋_GB2312" w:hAnsi="Courier New"/>
      <w:kern w:val="2"/>
      <w:sz w:val="21"/>
    </w:rPr>
  </w:style>
  <w:style w:type="character" w:customStyle="1" w:styleId="Char2">
    <w:name w:val="页脚 Char"/>
    <w:basedOn w:val="a1"/>
    <w:link w:val="a8"/>
    <w:uiPriority w:val="99"/>
    <w:qFormat/>
    <w:rPr>
      <w:rFonts w:eastAsia="仿宋_GB2312"/>
      <w:kern w:val="2"/>
      <w:sz w:val="18"/>
      <w:szCs w:val="18"/>
    </w:rPr>
  </w:style>
  <w:style w:type="character" w:customStyle="1" w:styleId="Char3">
    <w:name w:val="页眉 Char"/>
    <w:basedOn w:val="a1"/>
    <w:link w:val="a9"/>
    <w:qFormat/>
    <w:rPr>
      <w:rFonts w:eastAsia="仿宋_GB2312"/>
      <w:kern w:val="2"/>
      <w:sz w:val="18"/>
    </w:rPr>
  </w:style>
  <w:style w:type="character" w:customStyle="1" w:styleId="3Char0">
    <w:name w:val="正文文本缩进 3 Char"/>
    <w:basedOn w:val="a1"/>
    <w:link w:val="30"/>
    <w:qFormat/>
    <w:rPr>
      <w:rFonts w:eastAsia="仿宋_GB2312"/>
      <w:kern w:val="2"/>
      <w:sz w:val="28"/>
    </w:rPr>
  </w:style>
  <w:style w:type="paragraph" w:customStyle="1" w:styleId="ad">
    <w:name w:val="仿宋"/>
    <w:basedOn w:val="a"/>
    <w:qFormat/>
    <w:pPr>
      <w:spacing w:line="360" w:lineRule="auto"/>
      <w:ind w:firstLineChars="200" w:firstLine="643"/>
    </w:pPr>
  </w:style>
  <w:style w:type="paragraph" w:customStyle="1" w:styleId="11">
    <w:name w:val="正文1"/>
    <w:next w:val="a"/>
    <w:qFormat/>
    <w:pPr>
      <w:spacing w:line="480" w:lineRule="exact"/>
      <w:ind w:firstLineChars="200" w:firstLine="496"/>
    </w:pPr>
    <w:rPr>
      <w:rFonts w:cs="宋体"/>
      <w:color w:val="000000"/>
      <w:spacing w:val="4"/>
      <w:kern w:val="2"/>
      <w:sz w:val="24"/>
      <w:szCs w:val="22"/>
    </w:rPr>
  </w:style>
  <w:style w:type="paragraph" w:customStyle="1" w:styleId="ae">
    <w:name w:val="水保表头"/>
    <w:basedOn w:val="af"/>
    <w:qFormat/>
    <w:pPr>
      <w:spacing w:line="240" w:lineRule="auto"/>
      <w:ind w:firstLineChars="0" w:firstLine="0"/>
      <w:jc w:val="center"/>
    </w:pPr>
    <w:rPr>
      <w:b/>
      <w:sz w:val="21"/>
    </w:rPr>
  </w:style>
  <w:style w:type="paragraph" w:customStyle="1" w:styleId="af">
    <w:name w:val="水保"/>
    <w:qFormat/>
    <w:pPr>
      <w:spacing w:line="360" w:lineRule="auto"/>
      <w:ind w:firstLineChars="200" w:firstLine="723"/>
      <w:jc w:val="both"/>
    </w:pPr>
    <w:rPr>
      <w:rFonts w:eastAsia="仿宋_GB2312"/>
      <w:color w:val="000000"/>
      <w:sz w:val="24"/>
      <w:szCs w:val="28"/>
    </w:rPr>
  </w:style>
  <w:style w:type="paragraph" w:customStyle="1" w:styleId="af0">
    <w:name w:val="表格内容"/>
    <w:basedOn w:val="a"/>
    <w:qFormat/>
    <w:pPr>
      <w:jc w:val="center"/>
    </w:pPr>
    <w:rPr>
      <w:sz w:val="21"/>
    </w:rPr>
  </w:style>
  <w:style w:type="paragraph" w:customStyle="1" w:styleId="31">
    <w:name w:val="3级标题"/>
    <w:basedOn w:val="3"/>
    <w:qFormat/>
    <w:rPr>
      <w:color w:val="000000"/>
      <w:kern w:val="0"/>
      <w:szCs w:val="28"/>
    </w:rPr>
  </w:style>
  <w:style w:type="paragraph" w:customStyle="1" w:styleId="af1">
    <w:name w:val="慧慧水保"/>
    <w:basedOn w:val="a"/>
    <w:qFormat/>
    <w:pPr>
      <w:spacing w:line="360" w:lineRule="auto"/>
      <w:ind w:firstLineChars="200" w:firstLine="664"/>
    </w:pPr>
  </w:style>
  <w:style w:type="paragraph" w:customStyle="1" w:styleId="af2">
    <w:name w:val="慧慧表格"/>
    <w:basedOn w:val="aa"/>
    <w:qFormat/>
    <w:rPr>
      <w:sz w:val="21"/>
      <w:szCs w:val="21"/>
    </w:rPr>
  </w:style>
  <w:style w:type="character" w:customStyle="1" w:styleId="font41">
    <w:name w:val="font41"/>
    <w:basedOn w:val="a1"/>
    <w:qFormat/>
    <w:rPr>
      <w:rFonts w:ascii="仿宋_GB2312" w:eastAsia="仿宋_GB2312" w:cs="仿宋_GB2312"/>
      <w:color w:val="339966"/>
      <w:sz w:val="18"/>
      <w:szCs w:val="18"/>
      <w:u w:val="none"/>
    </w:rPr>
  </w:style>
  <w:style w:type="paragraph" w:customStyle="1" w:styleId="af3">
    <w:name w:val="慧慧样式"/>
    <w:qFormat/>
    <w:pPr>
      <w:spacing w:line="360" w:lineRule="auto"/>
      <w:ind w:firstLineChars="200" w:firstLine="723"/>
      <w:jc w:val="both"/>
    </w:pPr>
    <w:rPr>
      <w:rFonts w:eastAsia="仿宋_GB2312"/>
      <w:color w:val="000000"/>
      <w:sz w:val="24"/>
      <w:szCs w:val="28"/>
    </w:rPr>
  </w:style>
  <w:style w:type="paragraph" w:customStyle="1" w:styleId="Char4">
    <w:name w:val="Char"/>
    <w:basedOn w:val="a"/>
    <w:next w:val="a"/>
    <w:qFormat/>
    <w:pPr>
      <w:autoSpaceDE w:val="0"/>
      <w:autoSpaceDN w:val="0"/>
      <w:spacing w:before="50" w:after="50" w:line="360" w:lineRule="auto"/>
      <w:ind w:firstLineChars="200" w:firstLine="560"/>
    </w:pPr>
    <w:rPr>
      <w:color w:val="000000"/>
    </w:rPr>
  </w:style>
  <w:style w:type="character" w:customStyle="1" w:styleId="font51">
    <w:name w:val="font51"/>
    <w:basedOn w:val="a1"/>
    <w:qFormat/>
    <w:rPr>
      <w:rFonts w:ascii="宋体" w:eastAsia="宋体" w:hAnsi="宋体" w:cs="宋体" w:hint="eastAsia"/>
      <w:color w:val="000000"/>
      <w:sz w:val="20"/>
      <w:szCs w:val="20"/>
      <w:u w:val="none"/>
    </w:rPr>
  </w:style>
  <w:style w:type="character" w:customStyle="1" w:styleId="font11">
    <w:name w:val="font11"/>
    <w:basedOn w:val="a1"/>
    <w:qFormat/>
    <w:rPr>
      <w:rFonts w:ascii="Times New Roman" w:hAnsi="Times New Roman" w:cs="Times New Roman" w:hint="default"/>
      <w:color w:val="000000"/>
      <w:sz w:val="20"/>
      <w:szCs w:val="20"/>
      <w:u w:val="none"/>
      <w:vertAlign w:val="superscript"/>
    </w:rPr>
  </w:style>
  <w:style w:type="character" w:customStyle="1" w:styleId="font01">
    <w:name w:val="font01"/>
    <w:basedOn w:val="a1"/>
    <w:qFormat/>
    <w:rPr>
      <w:rFonts w:ascii="宋体" w:eastAsia="宋体" w:hAnsi="宋体" w:cs="宋体" w:hint="eastAsia"/>
      <w:color w:val="000000"/>
      <w:sz w:val="20"/>
      <w:szCs w:val="20"/>
      <w:u w:val="none"/>
    </w:rPr>
  </w:style>
  <w:style w:type="character" w:customStyle="1" w:styleId="font21">
    <w:name w:val="font21"/>
    <w:basedOn w:val="a1"/>
    <w:qFormat/>
    <w:rPr>
      <w:rFonts w:ascii="Times New Roman" w:hAnsi="Times New Roman" w:cs="Times New Roman" w:hint="default"/>
      <w:color w:val="000000"/>
      <w:sz w:val="20"/>
      <w:szCs w:val="20"/>
      <w:u w:val="none"/>
    </w:rPr>
  </w:style>
  <w:style w:type="character" w:customStyle="1" w:styleId="font31">
    <w:name w:val="font31"/>
    <w:basedOn w:val="a1"/>
    <w:qFormat/>
    <w:rPr>
      <w:rFonts w:ascii="Times New Roman" w:hAnsi="Times New Roman" w:cs="Times New Roman" w:hint="default"/>
      <w:color w:val="000000"/>
      <w:sz w:val="20"/>
      <w:szCs w:val="20"/>
      <w:u w:val="none"/>
    </w:rPr>
  </w:style>
  <w:style w:type="paragraph" w:customStyle="1" w:styleId="0">
    <w:name w:val="0水保正文"/>
    <w:basedOn w:val="a"/>
    <w:qFormat/>
    <w:pPr>
      <w:ind w:firstLineChars="200" w:firstLine="480"/>
    </w:pPr>
    <w:rPr>
      <w:rFonts w:ascii="宋体" w:hAnsi="宋体"/>
      <w:color w:val="000000"/>
      <w:kern w:val="0"/>
    </w:rPr>
  </w:style>
  <w:style w:type="character" w:customStyle="1" w:styleId="font71">
    <w:name w:val="font71"/>
    <w:basedOn w:val="a1"/>
    <w:qFormat/>
    <w:rPr>
      <w:rFonts w:ascii="宋体" w:eastAsia="宋体" w:hAnsi="宋体" w:cs="宋体" w:hint="eastAsia"/>
      <w:b/>
      <w:color w:val="000000"/>
      <w:sz w:val="20"/>
      <w:szCs w:val="20"/>
      <w:u w:val="none"/>
    </w:rPr>
  </w:style>
  <w:style w:type="character" w:customStyle="1" w:styleId="font61">
    <w:name w:val="font61"/>
    <w:basedOn w:val="a1"/>
    <w:qFormat/>
    <w:rPr>
      <w:rFonts w:ascii="Times New Roman" w:hAnsi="Times New Roman" w:cs="Times New Roman" w:hint="default"/>
      <w:b/>
      <w:color w:val="000000"/>
      <w:sz w:val="20"/>
      <w:szCs w:val="20"/>
      <w:u w:val="none"/>
    </w:rPr>
  </w:style>
  <w:style w:type="character" w:customStyle="1" w:styleId="font81">
    <w:name w:val="font81"/>
    <w:basedOn w:val="a1"/>
    <w:qFormat/>
    <w:rPr>
      <w:rFonts w:ascii="宋体" w:eastAsia="宋体" w:hAnsi="宋体" w:cs="宋体" w:hint="eastAsia"/>
      <w:b/>
      <w:color w:val="000000"/>
      <w:sz w:val="20"/>
      <w:szCs w:val="20"/>
      <w:u w:val="none"/>
    </w:rPr>
  </w:style>
  <w:style w:type="paragraph" w:customStyle="1" w:styleId="af4">
    <w:name w:val="表标题"/>
    <w:basedOn w:val="a"/>
    <w:qFormat/>
    <w:pPr>
      <w:jc w:val="center"/>
    </w:pPr>
    <w:rPr>
      <w:rFonts w:ascii="黑体" w:eastAsia="黑体"/>
      <w:b/>
    </w:rPr>
  </w:style>
  <w:style w:type="paragraph" w:customStyle="1" w:styleId="WPSOffice1">
    <w:name w:val="WPSOffice手动目录 1"/>
    <w:qFormat/>
  </w:style>
  <w:style w:type="paragraph" w:customStyle="1" w:styleId="WPSOffice2">
    <w:name w:val="WPSOffice手动目录 2"/>
    <w:qFormat/>
    <w:pPr>
      <w:ind w:leftChars="200" w:left="200"/>
    </w:pPr>
  </w:style>
  <w:style w:type="paragraph" w:customStyle="1" w:styleId="BZDL1">
    <w:name w:val="BZDL1"/>
    <w:basedOn w:val="a"/>
    <w:qFormat/>
    <w:pPr>
      <w:spacing w:beforeLines="50" w:before="156" w:afterLines="50" w:after="156" w:line="480" w:lineRule="exact"/>
      <w:ind w:firstLineChars="200" w:firstLine="200"/>
    </w:pPr>
    <w:rPr>
      <w:rFonts w:ascii="仿宋_GB2312"/>
      <w:sz w:val="28"/>
      <w:szCs w:val="28"/>
    </w:rPr>
  </w:style>
  <w:style w:type="paragraph" w:customStyle="1" w:styleId="15">
    <w:name w:val="样式15"/>
    <w:basedOn w:val="a9"/>
    <w:qFormat/>
    <w:pPr>
      <w:pBdr>
        <w:bottom w:val="none" w:sz="0" w:space="0" w:color="auto"/>
      </w:pBdr>
    </w:pPr>
  </w:style>
  <w:style w:type="paragraph" w:customStyle="1" w:styleId="00">
    <w:name w:val="0表标题居中"/>
    <w:basedOn w:val="a"/>
    <w:qFormat/>
    <w:pPr>
      <w:adjustRightInd/>
      <w:snapToGrid/>
      <w:jc w:val="center"/>
    </w:pPr>
    <w:rPr>
      <w:rFonts w:ascii="宋体" w:hAnsi="宋体"/>
      <w:b/>
    </w:rPr>
  </w:style>
  <w:style w:type="paragraph" w:customStyle="1" w:styleId="099">
    <w:name w:val="样式 左侧:  0.99 厘米"/>
    <w:basedOn w:val="a"/>
    <w:qFormat/>
    <w:rPr>
      <w:rFonts w:eastAsia="宋体" w:cs="宋体"/>
      <w:sz w:val="21"/>
    </w:rPr>
  </w:style>
  <w:style w:type="paragraph" w:customStyle="1" w:styleId="16">
    <w:name w:val="样式16"/>
    <w:basedOn w:val="a"/>
    <w:qFormat/>
    <w:pPr>
      <w:jc w:val="right"/>
    </w:pPr>
  </w:style>
  <w:style w:type="paragraph" w:customStyle="1" w:styleId="af5">
    <w:name w:val="表格表头"/>
    <w:basedOn w:val="a"/>
    <w:qFormat/>
    <w:pPr>
      <w:widowControl/>
      <w:adjustRightInd/>
      <w:snapToGrid/>
      <w:jc w:val="left"/>
    </w:pPr>
    <w:rPr>
      <w:b/>
      <w:bCs/>
      <w:kern w:val="0"/>
    </w:rPr>
  </w:style>
  <w:style w:type="paragraph" w:customStyle="1" w:styleId="Char11">
    <w:name w:val="Char11"/>
    <w:basedOn w:val="a"/>
    <w:qFormat/>
    <w:pPr>
      <w:autoSpaceDE w:val="0"/>
      <w:autoSpaceDN w:val="0"/>
      <w:spacing w:before="50" w:after="50"/>
    </w:pPr>
    <w:rPr>
      <w:color w:val="000000"/>
    </w:rPr>
  </w:style>
  <w:style w:type="paragraph" w:customStyle="1" w:styleId="af6">
    <w:name w:val="表头"/>
    <w:basedOn w:val="5"/>
    <w:qFormat/>
    <w:pPr>
      <w:widowControl/>
      <w:jc w:val="center"/>
    </w:pPr>
    <w:rPr>
      <w:rFonts w:ascii="黑体" w:eastAsia="黑体" w:hAnsi="黑体"/>
    </w:rPr>
  </w:style>
  <w:style w:type="paragraph" w:customStyle="1" w:styleId="nice">
    <w:name w:val="nice"/>
    <w:basedOn w:val="a"/>
    <w:qFormat/>
    <w:pPr>
      <w:topLinePunct/>
      <w:spacing w:line="360" w:lineRule="auto"/>
    </w:pPr>
    <w:rPr>
      <w:bCs/>
    </w:rPr>
  </w:style>
  <w:style w:type="paragraph" w:styleId="af7">
    <w:name w:val="List Paragraph"/>
    <w:basedOn w:val="a"/>
    <w:uiPriority w:val="99"/>
    <w:qFormat/>
    <w:pPr>
      <w:ind w:firstLineChars="200" w:firstLine="420"/>
    </w:pPr>
  </w:style>
  <w:style w:type="character" w:customStyle="1" w:styleId="3015Char">
    <w:name w:val="样式 样式 小四 蓝色 行距: 固定值 30 磅 + 行距: 1.5 倍行距 Char"/>
    <w:link w:val="3015"/>
    <w:qFormat/>
    <w:rPr>
      <w:rFonts w:cs="宋体"/>
      <w:color w:val="0000FF"/>
      <w:kern w:val="2"/>
      <w:sz w:val="24"/>
    </w:rPr>
  </w:style>
  <w:style w:type="paragraph" w:customStyle="1" w:styleId="3015">
    <w:name w:val="样式 样式 小四 蓝色 行距: 固定值 30 磅 + 行距: 1.5 倍行距"/>
    <w:basedOn w:val="a"/>
    <w:link w:val="3015Char"/>
    <w:qFormat/>
    <w:pPr>
      <w:spacing w:line="360" w:lineRule="auto"/>
      <w:ind w:firstLineChars="200" w:firstLine="480"/>
    </w:pPr>
    <w:rPr>
      <w:rFonts w:eastAsia="宋体" w:cs="宋体"/>
      <w:color w:val="0000FF"/>
    </w:rPr>
  </w:style>
  <w:style w:type="character" w:customStyle="1" w:styleId="1Char0">
    <w:name w:val="1正文版式 Char"/>
    <w:link w:val="12"/>
    <w:qFormat/>
    <w:rPr>
      <w:kern w:val="2"/>
      <w:sz w:val="24"/>
      <w:szCs w:val="24"/>
    </w:rPr>
  </w:style>
  <w:style w:type="paragraph" w:customStyle="1" w:styleId="12">
    <w:name w:val="1正文版式"/>
    <w:basedOn w:val="a"/>
    <w:link w:val="1Char0"/>
    <w:qFormat/>
    <w:pPr>
      <w:tabs>
        <w:tab w:val="left" w:pos="3514"/>
      </w:tabs>
      <w:spacing w:line="360" w:lineRule="auto"/>
      <w:ind w:firstLineChars="200" w:firstLine="200"/>
    </w:pPr>
    <w:rPr>
      <w:rFonts w:eastAsia="宋体"/>
      <w:szCs w:val="24"/>
    </w:rPr>
  </w:style>
  <w:style w:type="character" w:customStyle="1" w:styleId="Char5">
    <w:name w:val="表格标题 Char"/>
    <w:link w:val="af8"/>
    <w:qFormat/>
    <w:rPr>
      <w:rFonts w:eastAsia="仿宋_GB2312"/>
      <w:b/>
      <w:kern w:val="2"/>
      <w:sz w:val="21"/>
      <w:szCs w:val="21"/>
    </w:rPr>
  </w:style>
  <w:style w:type="paragraph" w:customStyle="1" w:styleId="af8">
    <w:name w:val="表格标题"/>
    <w:next w:val="a"/>
    <w:link w:val="Char5"/>
    <w:qFormat/>
    <w:pPr>
      <w:adjustRightInd w:val="0"/>
      <w:snapToGrid w:val="0"/>
      <w:jc w:val="center"/>
    </w:pPr>
    <w:rPr>
      <w:rFonts w:eastAsia="仿宋_GB2312"/>
      <w:b/>
      <w:kern w:val="2"/>
      <w:sz w:val="21"/>
      <w:szCs w:val="21"/>
    </w:rPr>
  </w:style>
  <w:style w:type="character" w:customStyle="1" w:styleId="Char6">
    <w:name w:val="表格文字 Char"/>
    <w:link w:val="af9"/>
    <w:uiPriority w:val="99"/>
    <w:qFormat/>
    <w:rPr>
      <w:sz w:val="21"/>
      <w:szCs w:val="21"/>
    </w:rPr>
  </w:style>
  <w:style w:type="paragraph" w:customStyle="1" w:styleId="af9">
    <w:name w:val="表格文字"/>
    <w:basedOn w:val="a"/>
    <w:next w:val="a"/>
    <w:link w:val="Char6"/>
    <w:uiPriority w:val="99"/>
    <w:qFormat/>
    <w:pPr>
      <w:widowControl/>
      <w:jc w:val="center"/>
    </w:pPr>
    <w:rPr>
      <w:rFonts w:eastAsia="宋体"/>
      <w:kern w:val="0"/>
      <w:sz w:val="21"/>
      <w:szCs w:val="21"/>
    </w:rPr>
  </w:style>
  <w:style w:type="paragraph" w:customStyle="1" w:styleId="13">
    <w:name w:val="1 正文"/>
    <w:basedOn w:val="a"/>
    <w:uiPriority w:val="99"/>
    <w:qFormat/>
    <w:pPr>
      <w:tabs>
        <w:tab w:val="left" w:pos="3514"/>
      </w:tabs>
      <w:spacing w:line="500" w:lineRule="exact"/>
      <w:ind w:firstLineChars="200" w:firstLine="200"/>
    </w:pPr>
  </w:style>
  <w:style w:type="paragraph" w:customStyle="1" w:styleId="afa">
    <w:name w:val="表名称"/>
    <w:uiPriority w:val="99"/>
    <w:qFormat/>
    <w:pPr>
      <w:keepNext/>
      <w:widowControl w:val="0"/>
      <w:spacing w:line="500" w:lineRule="exact"/>
      <w:jc w:val="center"/>
    </w:pPr>
    <w:rPr>
      <w:rFonts w:eastAsia="黑体"/>
      <w:kern w:val="2"/>
      <w:sz w:val="24"/>
      <w:szCs w:val="22"/>
    </w:rPr>
  </w:style>
  <w:style w:type="paragraph" w:customStyle="1" w:styleId="afb">
    <w:name w:val="表序号"/>
    <w:uiPriority w:val="99"/>
    <w:qFormat/>
    <w:pPr>
      <w:keepNext/>
      <w:widowControl w:val="0"/>
      <w:spacing w:line="500" w:lineRule="exact"/>
      <w:ind w:firstLineChars="100" w:firstLine="100"/>
    </w:pPr>
    <w:rPr>
      <w:rFonts w:eastAsia="黑体"/>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footer" Target="footer2.xml"/><Relationship Id="rId3" Type="http://schemas.openxmlformats.org/officeDocument/2006/relationships/numbering" Target="numbering.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hyperlink" Target="https://baike.baidu.com/item/%E5%B7%B4%E5%B9%BF%E6%B8%9D%E9%AB%98%E9%80%9F%E5%85%AC%E8%B7%AF" TargetMode="External"/><Relationship Id="rId25" Type="http://schemas.openxmlformats.org/officeDocument/2006/relationships/oleObject" Target="embeddings/oleObject2.bin"/><Relationship Id="rId2" Type="http://schemas.openxmlformats.org/officeDocument/2006/relationships/customXml" Target="../customXml/item2.xml"/><Relationship Id="rId16" Type="http://schemas.openxmlformats.org/officeDocument/2006/relationships/hyperlink" Target="https://baike.baidu.com/item/%E6%88%90%E5%B7%B4%E9%AB%98%E9%80%9F%E5%85%AC%E8%B7%AF" TargetMode="External"/><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11.wmf"/><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oleObject" Target="embeddings/oleObject1.bin"/><Relationship Id="rId28"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7.png"/><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4.png"/><Relationship Id="rId22" Type="http://schemas.openxmlformats.org/officeDocument/2006/relationships/image" Target="media/image10.wmf"/><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E229017-4144-40DA-B852-E21214FD6B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1</Pages>
  <Words>4327</Words>
  <Characters>24670</Characters>
  <Application>Microsoft Office Word</Application>
  <DocSecurity>0</DocSecurity>
  <Lines>205</Lines>
  <Paragraphs>57</Paragraphs>
  <ScaleCrop>false</ScaleCrop>
  <Company>微软中国</Company>
  <LinksUpToDate>false</LinksUpToDate>
  <CharactersWithSpaces>28940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 Grew</dc:creator>
  <cp:lastModifiedBy>Administrator</cp:lastModifiedBy>
  <cp:revision>76</cp:revision>
  <dcterms:created xsi:type="dcterms:W3CDTF">2020-11-16T02:28:00Z</dcterms:created>
  <dcterms:modified xsi:type="dcterms:W3CDTF">2021-04-20T07:24:00Z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2052-11.1.0.10463</vt:lpwstr>
  </property>
  <property fmtid="{D5CDD505-2E9C-101B-9397-08002B2CF9AE}" pid="3" name="ICV">
    <vt:lpwstr>E92A8EE2CE514DF2944FDF451C597092</vt:lpwstr>
  </property>
</Properties>
</file>