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djustRightInd w:val="0"/>
        <w:snapToGrid w:val="0"/>
        <w:jc w:val="center"/>
        <w:rPr>
          <w:rFonts w:hint="default" w:ascii="Times New Roman" w:hAnsi="Times New Roman" w:eastAsia="仿宋_GB2312" w:cs="Times New Roman"/>
          <w:b/>
          <w:bCs/>
          <w:color w:val="auto"/>
          <w:sz w:val="24"/>
          <w:szCs w:val="24"/>
          <w:lang w:eastAsia="zh-CN"/>
        </w:rPr>
      </w:pPr>
      <w:r>
        <w:rPr>
          <w:rFonts w:hint="eastAsia" w:ascii="Times New Roman" w:hAnsi="Times New Roman" w:eastAsia="仿宋_GB2312" w:cs="Times New Roman"/>
          <w:b/>
          <w:bCs/>
          <w:color w:val="auto"/>
          <w:sz w:val="24"/>
          <w:szCs w:val="24"/>
          <w:lang w:eastAsia="zh-CN"/>
        </w:rPr>
        <w:t>凯信誉城</w:t>
      </w:r>
      <w:r>
        <w:rPr>
          <w:rFonts w:hint="default" w:ascii="Times New Roman" w:hAnsi="Times New Roman" w:eastAsia="仿宋_GB2312" w:cs="Times New Roman"/>
          <w:b/>
          <w:bCs/>
          <w:color w:val="auto"/>
          <w:sz w:val="24"/>
          <w:szCs w:val="24"/>
          <w:lang w:eastAsia="zh-CN"/>
        </w:rPr>
        <w:t>水土保持方案报告表</w:t>
      </w:r>
    </w:p>
    <w:tbl>
      <w:tblPr>
        <w:tblStyle w:val="5"/>
        <w:tblW w:w="8522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4"/>
        <w:gridCol w:w="770"/>
        <w:gridCol w:w="1467"/>
        <w:gridCol w:w="1338"/>
        <w:gridCol w:w="286"/>
        <w:gridCol w:w="611"/>
        <w:gridCol w:w="386"/>
        <w:gridCol w:w="134"/>
        <w:gridCol w:w="353"/>
        <w:gridCol w:w="426"/>
        <w:gridCol w:w="327"/>
        <w:gridCol w:w="481"/>
        <w:gridCol w:w="1189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754" w:type="dxa"/>
            <w:vMerge w:val="restart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  <w:t>项目概况</w:t>
            </w:r>
          </w:p>
        </w:tc>
        <w:tc>
          <w:tcPr>
            <w:tcW w:w="2237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  <w:t>位置</w:t>
            </w:r>
          </w:p>
        </w:tc>
        <w:tc>
          <w:tcPr>
            <w:tcW w:w="5531" w:type="dxa"/>
            <w:gridSpan w:val="10"/>
            <w:tcBorders>
              <w:lef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eastAsia="zh-CN"/>
              </w:rPr>
              <w:t>四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zh-CN" w:eastAsia="zh-CN"/>
              </w:rPr>
              <w:t>川省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18"/>
                <w:szCs w:val="18"/>
                <w:lang w:eastAsia="zh-CN"/>
              </w:rPr>
              <w:t>南充市仪陇县马鞍镇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754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</w:pPr>
          </w:p>
        </w:tc>
        <w:tc>
          <w:tcPr>
            <w:tcW w:w="2237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  <w:t>建设内容</w:t>
            </w:r>
          </w:p>
        </w:tc>
        <w:tc>
          <w:tcPr>
            <w:tcW w:w="5531" w:type="dxa"/>
            <w:gridSpan w:val="10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eastAsia="zh-CN"/>
              </w:rPr>
              <w:t>本工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>程主要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eastAsia="zh-CN"/>
              </w:rPr>
              <w:t>包括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18"/>
                <w:szCs w:val="18"/>
                <w:lang w:eastAsia="zh-CN"/>
              </w:rPr>
              <w:t>住宅用房、物管用房、设备用房及地下车库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eastAsia="zh-CN"/>
              </w:rPr>
              <w:t>等</w:t>
            </w: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18"/>
                <w:szCs w:val="18"/>
                <w:lang w:val="zh-CN"/>
              </w:rPr>
              <w:t>。项目规划净用地面积</w:t>
            </w:r>
            <w:r>
              <w:rPr>
                <w:rFonts w:hint="eastAsia" w:ascii="Times New Roman" w:hAnsi="Times New Roman" w:eastAsia="仿宋_GB2312" w:cs="Times New Roman"/>
                <w:bCs/>
                <w:color w:val="auto"/>
                <w:sz w:val="18"/>
                <w:szCs w:val="18"/>
                <w:lang w:val="zh-CN"/>
              </w:rPr>
              <w:t>11411.85</w:t>
            </w: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18"/>
                <w:szCs w:val="18"/>
                <w:lang w:val="zh-CN"/>
              </w:rPr>
              <w:t>m²，规划总建筑面积</w:t>
            </w:r>
            <w:r>
              <w:rPr>
                <w:rFonts w:hint="eastAsia" w:ascii="Times New Roman" w:hAnsi="Times New Roman" w:eastAsia="仿宋_GB2312" w:cs="Times New Roman"/>
                <w:bCs/>
                <w:color w:val="auto"/>
                <w:sz w:val="18"/>
                <w:szCs w:val="18"/>
                <w:lang w:val="en-US" w:eastAsia="zh-CN"/>
              </w:rPr>
              <w:t>15476.72</w:t>
            </w: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18"/>
                <w:szCs w:val="18"/>
                <w:lang w:val="zh-CN"/>
              </w:rPr>
              <w:t>m²，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  <w:t>其中地上建筑面积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>12140.75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  <w:t>m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vertAlign w:val="superscript"/>
              </w:rPr>
              <w:t>2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18"/>
                <w:szCs w:val="18"/>
                <w:vertAlign w:val="baseline"/>
                <w:lang w:eastAsia="zh-CN"/>
              </w:rPr>
              <w:t>（不计架空层面积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18"/>
                <w:szCs w:val="18"/>
                <w:vertAlign w:val="baseline"/>
                <w:lang w:val="en-US" w:eastAsia="zh-CN"/>
              </w:rPr>
              <w:t>115.20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  <w:t>m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vertAlign w:val="superscript"/>
              </w:rPr>
              <w:t>2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18"/>
                <w:szCs w:val="18"/>
                <w:vertAlign w:val="baseline"/>
                <w:lang w:eastAsia="zh-CN"/>
              </w:rPr>
              <w:t>）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  <w:t>，地下建筑面积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>3220.77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  <w:t>m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vertAlign w:val="superscript"/>
              </w:rPr>
              <w:t>2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  <w:t>，</w:t>
            </w: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18"/>
                <w:szCs w:val="18"/>
                <w:lang w:val="zh-CN"/>
              </w:rPr>
              <w:t>地下</w:t>
            </w:r>
            <w:r>
              <w:rPr>
                <w:rFonts w:hint="eastAsia" w:ascii="Times New Roman" w:hAnsi="Times New Roman" w:eastAsia="仿宋_GB2312" w:cs="Times New Roman"/>
                <w:bCs/>
                <w:color w:val="auto"/>
                <w:sz w:val="18"/>
                <w:szCs w:val="18"/>
                <w:lang w:val="en-US" w:eastAsia="zh-CN"/>
              </w:rPr>
              <w:t>1</w:t>
            </w: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18"/>
                <w:szCs w:val="18"/>
                <w:lang w:val="zh-CN"/>
              </w:rPr>
              <w:t>层，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  <w:t>主要建筑内容包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18"/>
                <w:szCs w:val="18"/>
                <w:lang w:eastAsia="zh-CN"/>
              </w:rPr>
              <w:t>物管、设备用房及停车位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  <w:t>，基底面积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>3309.44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  <w:t>m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vertAlign w:val="superscript"/>
              </w:rPr>
              <w:t>2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  <w:t>，建筑密度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>29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>%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  <w:t>，容积率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18"/>
                <w:szCs w:val="18"/>
                <w:lang w:eastAsia="zh-CN"/>
              </w:rPr>
              <w:t>1.076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  <w:t>，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eastAsia="zh-CN"/>
              </w:rPr>
              <w:t>绿化面积</w:t>
            </w:r>
            <w:r>
              <w:rPr>
                <w:rFonts w:hint="eastAsia" w:ascii="Times New Roman" w:hAnsi="Times New Roman" w:cs="Times New Roman"/>
                <w:color w:val="auto"/>
                <w:spacing w:val="-4"/>
                <w:sz w:val="18"/>
                <w:szCs w:val="18"/>
                <w:highlight w:val="none"/>
                <w:lang w:val="en-US" w:eastAsia="zh-CN"/>
              </w:rPr>
              <w:t>3434.97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  <w:t>m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vertAlign w:val="superscript"/>
              </w:rPr>
              <w:t>2</w:t>
            </w:r>
            <w:r>
              <w:rPr>
                <w:rFonts w:hint="default" w:ascii="Times New Roman" w:hAnsi="Times New Roman" w:cs="Times New Roman"/>
                <w:color w:val="auto"/>
                <w:spacing w:val="-4"/>
                <w:sz w:val="18"/>
                <w:szCs w:val="18"/>
                <w:highlight w:val="none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  <w:t>绿化率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>30.10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>%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  <w:t>。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eastAsia="zh-CN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54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</w:pPr>
          </w:p>
        </w:tc>
        <w:tc>
          <w:tcPr>
            <w:tcW w:w="2237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  <w:t>建设性质</w:t>
            </w:r>
          </w:p>
        </w:tc>
        <w:tc>
          <w:tcPr>
            <w:tcW w:w="2621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>改扩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>建</w:t>
            </w:r>
          </w:p>
        </w:tc>
        <w:tc>
          <w:tcPr>
            <w:tcW w:w="1240" w:type="dxa"/>
            <w:gridSpan w:val="4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>总投资（万元）</w:t>
            </w:r>
          </w:p>
        </w:tc>
        <w:tc>
          <w:tcPr>
            <w:tcW w:w="167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>4600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754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</w:pPr>
          </w:p>
        </w:tc>
        <w:tc>
          <w:tcPr>
            <w:tcW w:w="2237" w:type="dxa"/>
            <w:gridSpan w:val="2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  <w:t>土建投资（万元）</w:t>
            </w:r>
          </w:p>
        </w:tc>
        <w:tc>
          <w:tcPr>
            <w:tcW w:w="2621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>3450</w:t>
            </w:r>
          </w:p>
        </w:tc>
        <w:tc>
          <w:tcPr>
            <w:tcW w:w="1240" w:type="dxa"/>
            <w:gridSpan w:val="4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  <w:t>占地面积（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/>
              </w:rPr>
              <w:t>hm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vertAlign w:val="superscript"/>
                <w:lang w:val="en-US"/>
              </w:rPr>
              <w:t>2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  <w:t>）</w:t>
            </w:r>
          </w:p>
        </w:tc>
        <w:tc>
          <w:tcPr>
            <w:tcW w:w="167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  <w:t>永久：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>1.14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54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</w:pPr>
          </w:p>
        </w:tc>
        <w:tc>
          <w:tcPr>
            <w:tcW w:w="2237" w:type="dxa"/>
            <w:gridSpan w:val="2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</w:pPr>
          </w:p>
        </w:tc>
        <w:tc>
          <w:tcPr>
            <w:tcW w:w="2621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</w:pPr>
          </w:p>
        </w:tc>
        <w:tc>
          <w:tcPr>
            <w:tcW w:w="1240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</w:pPr>
          </w:p>
        </w:tc>
        <w:tc>
          <w:tcPr>
            <w:tcW w:w="1670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  <w:t>临时：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754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</w:pPr>
          </w:p>
        </w:tc>
        <w:tc>
          <w:tcPr>
            <w:tcW w:w="2237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  <w:t>动工时间</w:t>
            </w:r>
          </w:p>
        </w:tc>
        <w:tc>
          <w:tcPr>
            <w:tcW w:w="2621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  <w:t>20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>20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  <w:t>年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>12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  <w:t>月</w:t>
            </w:r>
          </w:p>
        </w:tc>
        <w:tc>
          <w:tcPr>
            <w:tcW w:w="1240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  <w:t>完工时间</w:t>
            </w:r>
          </w:p>
        </w:tc>
        <w:tc>
          <w:tcPr>
            <w:tcW w:w="1670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  <w:t>20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>3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  <w:t>年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>12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  <w:t>月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754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</w:pPr>
          </w:p>
        </w:tc>
        <w:tc>
          <w:tcPr>
            <w:tcW w:w="2237" w:type="dxa"/>
            <w:gridSpan w:val="2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  <w:t>土石方（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eastAsia="zh-CN"/>
              </w:rPr>
              <w:t>万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/>
              </w:rPr>
              <w:t>m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vertAlign w:val="superscript"/>
                <w:lang w:val="en-US"/>
              </w:rPr>
              <w:t>3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  <w:t>）</w:t>
            </w: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  <w:t>挖方</w:t>
            </w:r>
          </w:p>
        </w:tc>
        <w:tc>
          <w:tcPr>
            <w:tcW w:w="12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  <w:t>填方</w:t>
            </w:r>
          </w:p>
        </w:tc>
        <w:tc>
          <w:tcPr>
            <w:tcW w:w="1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  <w:t>借方</w:t>
            </w:r>
          </w:p>
        </w:tc>
        <w:tc>
          <w:tcPr>
            <w:tcW w:w="16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  <w:t>余（弃）方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754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</w:pPr>
          </w:p>
        </w:tc>
        <w:tc>
          <w:tcPr>
            <w:tcW w:w="2237" w:type="dxa"/>
            <w:gridSpan w:val="2"/>
            <w:vMerge w:val="continue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>3.37</w:t>
            </w:r>
          </w:p>
        </w:tc>
        <w:tc>
          <w:tcPr>
            <w:tcW w:w="12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>0.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1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16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>2.89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  <w:jc w:val="center"/>
        </w:trPr>
        <w:tc>
          <w:tcPr>
            <w:tcW w:w="754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</w:pPr>
          </w:p>
        </w:tc>
        <w:tc>
          <w:tcPr>
            <w:tcW w:w="2237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  <w:t>取土（石、渣）场</w:t>
            </w:r>
          </w:p>
        </w:tc>
        <w:tc>
          <w:tcPr>
            <w:tcW w:w="553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  <w:t>/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54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</w:pPr>
          </w:p>
        </w:tc>
        <w:tc>
          <w:tcPr>
            <w:tcW w:w="2237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  <w:t>弃土（石、渣）场</w:t>
            </w:r>
          </w:p>
        </w:tc>
        <w:tc>
          <w:tcPr>
            <w:tcW w:w="5531" w:type="dxa"/>
            <w:gridSpan w:val="10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  <w:t>/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54" w:type="dxa"/>
            <w:vMerge w:val="restart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  <w:t>项目区概况</w:t>
            </w:r>
          </w:p>
        </w:tc>
        <w:tc>
          <w:tcPr>
            <w:tcW w:w="2237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  <w:t>涉及重点防治区情况</w:t>
            </w:r>
          </w:p>
        </w:tc>
        <w:tc>
          <w:tcPr>
            <w:tcW w:w="162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  <w:t>属于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>嘉陵江及沱江中下游国家级水土流失重点治理区</w:t>
            </w:r>
          </w:p>
        </w:tc>
        <w:tc>
          <w:tcPr>
            <w:tcW w:w="1131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/>
              </w:rPr>
              <w:t>地貌类型</w:t>
            </w:r>
          </w:p>
        </w:tc>
        <w:tc>
          <w:tcPr>
            <w:tcW w:w="2776" w:type="dxa"/>
            <w:gridSpan w:val="5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>浅丘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  <w:t>地貌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754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</w:pPr>
          </w:p>
        </w:tc>
        <w:tc>
          <w:tcPr>
            <w:tcW w:w="2237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  <w:t>原地貌土壤侵蚀模数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/>
              </w:rPr>
              <w:t>[t/(km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vertAlign w:val="superscript"/>
                <w:lang w:val="en-US"/>
              </w:rPr>
              <w:t>2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/>
              </w:rPr>
              <w:t>.a)]</w:t>
            </w:r>
          </w:p>
        </w:tc>
        <w:tc>
          <w:tcPr>
            <w:tcW w:w="2621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/>
              </w:rPr>
              <w:t>300</w:t>
            </w:r>
          </w:p>
        </w:tc>
        <w:tc>
          <w:tcPr>
            <w:tcW w:w="1721" w:type="dxa"/>
            <w:gridSpan w:val="5"/>
            <w:tcBorders>
              <w:top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  <w:t>容许土壤流失量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/>
              </w:rPr>
              <w:t>[t/(km2.a)]</w:t>
            </w:r>
          </w:p>
        </w:tc>
        <w:tc>
          <w:tcPr>
            <w:tcW w:w="1189" w:type="dxa"/>
            <w:tcBorders>
              <w:top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  <w:t>500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  <w:jc w:val="center"/>
        </w:trPr>
        <w:tc>
          <w:tcPr>
            <w:tcW w:w="2991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  <w:t>项目选址（线）水土保持评价</w:t>
            </w:r>
          </w:p>
        </w:tc>
        <w:tc>
          <w:tcPr>
            <w:tcW w:w="5531" w:type="dxa"/>
            <w:gridSpan w:val="1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  <w:t>项目在国家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eastAsia="zh-CN"/>
              </w:rPr>
              <w:t>级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  <w:t>或四川省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eastAsia="zh-CN"/>
              </w:rPr>
              <w:t>级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  <w:t>水土流失重点预防区和重点治理区；工程不涉及河流两岸、湖泊和水库周边的植物保护带；不涉及全国水土保持监测网络中的水土保持监测站点、重点实验区及国家确定的水土保持长期定位观测站。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18"/>
                <w:szCs w:val="18"/>
              </w:rPr>
              <w:t>项目建设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  <w:t>不存在重大水土保持制约性因素。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2991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>预测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  <w:t>水土流失总量</w:t>
            </w:r>
          </w:p>
        </w:tc>
        <w:tc>
          <w:tcPr>
            <w:tcW w:w="5531" w:type="dxa"/>
            <w:gridSpan w:val="1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>94.68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>t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2991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  <w:t>防治责任范围（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/>
              </w:rPr>
              <w:t>hm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vertAlign w:val="superscript"/>
                <w:lang w:val="en-US"/>
              </w:rPr>
              <w:t>2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  <w:t>）</w:t>
            </w:r>
          </w:p>
        </w:tc>
        <w:tc>
          <w:tcPr>
            <w:tcW w:w="5531" w:type="dxa"/>
            <w:gridSpan w:val="1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>1.14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754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  <w:t>防治标准等级及目标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  <w:t>防治等级标准</w:t>
            </w:r>
          </w:p>
        </w:tc>
        <w:tc>
          <w:tcPr>
            <w:tcW w:w="5531" w:type="dxa"/>
            <w:gridSpan w:val="1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  <w:t>西南紫色土区（一级）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754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</w:pPr>
          </w:p>
        </w:tc>
        <w:tc>
          <w:tcPr>
            <w:tcW w:w="2237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eastAsia="zh-CN"/>
              </w:rPr>
              <w:t>水土流失治理度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/>
              </w:rPr>
              <w:t>%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  <w:t>）</w:t>
            </w:r>
          </w:p>
        </w:tc>
        <w:tc>
          <w:tcPr>
            <w:tcW w:w="2235" w:type="dxa"/>
            <w:gridSpan w:val="3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/>
              </w:rPr>
              <w:t>9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299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/>
              </w:rPr>
              <w:t>土壤流失控制比</w:t>
            </w:r>
          </w:p>
        </w:tc>
        <w:tc>
          <w:tcPr>
            <w:tcW w:w="1997" w:type="dxa"/>
            <w:gridSpan w:val="3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/>
              </w:rPr>
              <w:t>1.0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754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</w:pPr>
          </w:p>
        </w:tc>
        <w:tc>
          <w:tcPr>
            <w:tcW w:w="2237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  <w:t>渣土防护率（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/>
              </w:rPr>
              <w:t>%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  <w:t>）</w:t>
            </w:r>
          </w:p>
        </w:tc>
        <w:tc>
          <w:tcPr>
            <w:tcW w:w="2235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>94</w:t>
            </w:r>
          </w:p>
        </w:tc>
        <w:tc>
          <w:tcPr>
            <w:tcW w:w="12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/>
              </w:rPr>
              <w:t>表土保护率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/>
              </w:rPr>
              <w:t>%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  <w:t>）</w:t>
            </w: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>92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754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</w:pPr>
          </w:p>
        </w:tc>
        <w:tc>
          <w:tcPr>
            <w:tcW w:w="2237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  <w:t>林草植被恢复率（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/>
              </w:rPr>
              <w:t>%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  <w:t>）</w:t>
            </w:r>
          </w:p>
        </w:tc>
        <w:tc>
          <w:tcPr>
            <w:tcW w:w="2235" w:type="dxa"/>
            <w:gridSpan w:val="3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/>
              </w:rPr>
              <w:t>9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299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/>
              </w:rPr>
              <w:t>林草覆盖率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/>
              </w:rPr>
              <w:t>%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  <w:t>）</w:t>
            </w: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>25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54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  <w:t>水土保持措施</w:t>
            </w:r>
          </w:p>
        </w:tc>
        <w:tc>
          <w:tcPr>
            <w:tcW w:w="7768" w:type="dxa"/>
            <w:gridSpan w:val="12"/>
            <w:tcBorders>
              <w:lef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2"/>
              </w:numPr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>主体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eastAsia="zh-CN"/>
              </w:rPr>
              <w:t>工程区：</w:t>
            </w:r>
          </w:p>
          <w:p>
            <w:pPr>
              <w:widowControl/>
              <w:numPr>
                <w:ilvl w:val="0"/>
                <w:numId w:val="0"/>
              </w:numPr>
              <w:adjustRightInd w:val="0"/>
              <w:snapToGrid w:val="0"/>
              <w:jc w:val="both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zh-CN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zh-CN" w:eastAsia="zh-CN"/>
              </w:rPr>
              <w:t>①工程措施：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>雨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>水管网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>750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>m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zh-CN" w:eastAsia="zh-CN"/>
              </w:rPr>
              <w:t>，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>雨水口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>28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>个，截水沟2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>8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>0m，土地整治0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>.3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>4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  <w:t>hm²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>，表土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>剥离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>0.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>13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>万m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vertAlign w:val="superscript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>表土回覆0.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>13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>万m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vertAlign w:val="superscript"/>
                <w:lang w:val="en-US" w:eastAsia="zh-CN"/>
              </w:rPr>
              <w:t>3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>；②植物措施：景观绿化0.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>3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>4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  <w:t>hm²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>，抚育管理0.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>3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>4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  <w:t>hm²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>；③临时措施：临时排水沟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>55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>0m，临时沉砂池2座，集水沟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>2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>80m，集水坑4座，洗车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>池1座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>，防雨布遮盖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>5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>000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  <w:t>m²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>。</w:t>
            </w:r>
          </w:p>
          <w:p>
            <w:pPr>
              <w:widowControl/>
              <w:numPr>
                <w:ilvl w:val="0"/>
                <w:numId w:val="2"/>
              </w:numPr>
              <w:adjustRightInd w:val="0"/>
              <w:snapToGrid w:val="0"/>
              <w:ind w:left="0" w:leftChars="0" w:firstLine="0" w:firstLineChars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>施工场地区：</w:t>
            </w:r>
          </w:p>
          <w:p>
            <w:pPr>
              <w:widowControl/>
              <w:numPr>
                <w:ilvl w:val="0"/>
                <w:numId w:val="0"/>
              </w:numPr>
              <w:adjustRightInd w:val="0"/>
              <w:snapToGrid w:val="0"/>
              <w:ind w:leftChars="0"/>
              <w:jc w:val="both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zh-CN" w:eastAsia="zh-CN"/>
              </w:rPr>
              <w:t>①临时措施：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>临时排水沟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>6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>0m，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zh-CN" w:eastAsia="zh-CN"/>
              </w:rPr>
              <w:t>防雨布遮盖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>5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>00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  <w:t>m²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zh-CN" w:eastAsia="zh-CN"/>
              </w:rPr>
              <w:t>。</w:t>
            </w:r>
          </w:p>
          <w:p>
            <w:pPr>
              <w:widowControl/>
              <w:numPr>
                <w:ilvl w:val="0"/>
                <w:numId w:val="2"/>
              </w:numPr>
              <w:adjustRightInd w:val="0"/>
              <w:snapToGrid w:val="0"/>
              <w:ind w:left="0" w:leftChars="0" w:firstLine="0" w:firstLineChars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>临时堆土场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>区：</w:t>
            </w:r>
          </w:p>
          <w:p>
            <w:pPr>
              <w:widowControl/>
              <w:numPr>
                <w:ilvl w:val="0"/>
                <w:numId w:val="0"/>
              </w:numPr>
              <w:adjustRightInd w:val="0"/>
              <w:snapToGrid w:val="0"/>
              <w:ind w:leftChars="0"/>
              <w:jc w:val="both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zh-CN" w:eastAsia="zh-CN"/>
              </w:rPr>
              <w:t>①临时措施：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>临时排水沟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>9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>0m，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>编织土袋拦挡160m，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zh-CN" w:eastAsia="zh-CN"/>
              </w:rPr>
              <w:t>防雨布遮盖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>15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>00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  <w:t>m²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zh-CN" w:eastAsia="zh-CN"/>
              </w:rPr>
              <w:t>。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754" w:type="dxa"/>
            <w:vMerge w:val="restart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  <w:t>水土保持投资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eastAsia="zh-CN"/>
              </w:rPr>
              <w:t>估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  <w:t>算（万元）</w:t>
            </w:r>
          </w:p>
        </w:tc>
        <w:tc>
          <w:tcPr>
            <w:tcW w:w="2237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  <w:t>工程措施</w:t>
            </w:r>
          </w:p>
        </w:tc>
        <w:tc>
          <w:tcPr>
            <w:tcW w:w="2621" w:type="dxa"/>
            <w:gridSpan w:val="4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>36.72</w:t>
            </w:r>
          </w:p>
        </w:tc>
        <w:tc>
          <w:tcPr>
            <w:tcW w:w="1240" w:type="dxa"/>
            <w:gridSpan w:val="4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  <w:t>植物措施</w:t>
            </w:r>
          </w:p>
        </w:tc>
        <w:tc>
          <w:tcPr>
            <w:tcW w:w="1670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>48.04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754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</w:pPr>
          </w:p>
        </w:tc>
        <w:tc>
          <w:tcPr>
            <w:tcW w:w="2237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  <w:t>临时措施</w:t>
            </w:r>
          </w:p>
        </w:tc>
        <w:tc>
          <w:tcPr>
            <w:tcW w:w="2621" w:type="dxa"/>
            <w:gridSpan w:val="4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>25.26</w:t>
            </w:r>
          </w:p>
        </w:tc>
        <w:tc>
          <w:tcPr>
            <w:tcW w:w="1240" w:type="dxa"/>
            <w:gridSpan w:val="4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  <w:t>水土保持补偿费</w:t>
            </w:r>
          </w:p>
        </w:tc>
        <w:tc>
          <w:tcPr>
            <w:tcW w:w="1670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>1.484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754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</w:pPr>
          </w:p>
        </w:tc>
        <w:tc>
          <w:tcPr>
            <w:tcW w:w="2237" w:type="dxa"/>
            <w:gridSpan w:val="2"/>
            <w:vMerge w:val="restart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  <w:t>独立费用</w:t>
            </w:r>
          </w:p>
        </w:tc>
        <w:tc>
          <w:tcPr>
            <w:tcW w:w="2621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>建设管理费</w:t>
            </w:r>
          </w:p>
        </w:tc>
        <w:tc>
          <w:tcPr>
            <w:tcW w:w="2910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>0.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>65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754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</w:pPr>
          </w:p>
        </w:tc>
        <w:tc>
          <w:tcPr>
            <w:tcW w:w="2237" w:type="dxa"/>
            <w:gridSpan w:val="2"/>
            <w:vMerge w:val="continue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</w:pPr>
          </w:p>
        </w:tc>
        <w:tc>
          <w:tcPr>
            <w:tcW w:w="2621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  <w:t>水土保持监理费</w:t>
            </w:r>
          </w:p>
        </w:tc>
        <w:tc>
          <w:tcPr>
            <w:tcW w:w="2910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>2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>.00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754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</w:pPr>
          </w:p>
        </w:tc>
        <w:tc>
          <w:tcPr>
            <w:tcW w:w="2237" w:type="dxa"/>
            <w:gridSpan w:val="2"/>
            <w:vMerge w:val="continue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</w:pPr>
          </w:p>
        </w:tc>
        <w:tc>
          <w:tcPr>
            <w:tcW w:w="2621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  <w:t>设计费</w:t>
            </w:r>
          </w:p>
        </w:tc>
        <w:tc>
          <w:tcPr>
            <w:tcW w:w="2910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>8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>.00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754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</w:pPr>
          </w:p>
        </w:tc>
        <w:tc>
          <w:tcPr>
            <w:tcW w:w="2237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  <w:t>总投资</w:t>
            </w:r>
          </w:p>
        </w:tc>
        <w:tc>
          <w:tcPr>
            <w:tcW w:w="5531" w:type="dxa"/>
            <w:gridSpan w:val="10"/>
            <w:tcBorders>
              <w:top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>130.51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524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  <w:t>编制单位</w:t>
            </w:r>
          </w:p>
        </w:tc>
        <w:tc>
          <w:tcPr>
            <w:tcW w:w="2805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18"/>
                <w:szCs w:val="18"/>
                <w:lang w:eastAsia="zh-CN"/>
              </w:rPr>
              <w:t>四川丰讯工程技术咨询有限公司</w:t>
            </w:r>
          </w:p>
        </w:tc>
        <w:tc>
          <w:tcPr>
            <w:tcW w:w="1770" w:type="dxa"/>
            <w:gridSpan w:val="5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eastAsia="zh-CN"/>
              </w:rPr>
              <w:t>建设单位</w:t>
            </w:r>
          </w:p>
        </w:tc>
        <w:tc>
          <w:tcPr>
            <w:tcW w:w="2423" w:type="dxa"/>
            <w:gridSpan w:val="4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18"/>
                <w:szCs w:val="18"/>
                <w:lang w:eastAsia="zh-CN"/>
              </w:rPr>
              <w:t>仪陇县凯信房地产开发有限公司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524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  <w:t>法人代表</w:t>
            </w:r>
          </w:p>
        </w:tc>
        <w:tc>
          <w:tcPr>
            <w:tcW w:w="2805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18"/>
                <w:szCs w:val="18"/>
                <w:lang w:eastAsia="zh-CN"/>
              </w:rPr>
              <w:t>吴韬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 xml:space="preserve"> </w:t>
            </w:r>
          </w:p>
        </w:tc>
        <w:tc>
          <w:tcPr>
            <w:tcW w:w="1770" w:type="dxa"/>
            <w:gridSpan w:val="5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  <w:t>法人代表</w:t>
            </w:r>
          </w:p>
        </w:tc>
        <w:tc>
          <w:tcPr>
            <w:tcW w:w="2423" w:type="dxa"/>
            <w:gridSpan w:val="4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仿宋_GB2312" w:cs="Times New Roman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18"/>
                <w:szCs w:val="18"/>
                <w:lang w:eastAsia="zh-CN"/>
              </w:rPr>
              <w:t>艾迁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1524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  <w:t>地址</w:t>
            </w:r>
          </w:p>
        </w:tc>
        <w:tc>
          <w:tcPr>
            <w:tcW w:w="2805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18"/>
                <w:szCs w:val="18"/>
                <w:lang w:eastAsia="zh-CN"/>
              </w:rPr>
              <w:t>成都市金牛区金青路62号附58号</w:t>
            </w:r>
          </w:p>
        </w:tc>
        <w:tc>
          <w:tcPr>
            <w:tcW w:w="1770" w:type="dxa"/>
            <w:gridSpan w:val="5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  <w:t>地址</w:t>
            </w:r>
          </w:p>
        </w:tc>
        <w:tc>
          <w:tcPr>
            <w:tcW w:w="2423" w:type="dxa"/>
            <w:gridSpan w:val="4"/>
            <w:vAlign w:val="center"/>
          </w:tcPr>
          <w:p>
            <w:pPr>
              <w:widowControl/>
              <w:adjustRightInd w:val="0"/>
              <w:snapToGrid w:val="0"/>
              <w:jc w:val="both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  <w:t>四川省南充市仪陇县马鞍镇人民北路188号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1524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  <w:t>邮编</w:t>
            </w:r>
          </w:p>
        </w:tc>
        <w:tc>
          <w:tcPr>
            <w:tcW w:w="2805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>610037</w:t>
            </w:r>
          </w:p>
        </w:tc>
        <w:tc>
          <w:tcPr>
            <w:tcW w:w="1770" w:type="dxa"/>
            <w:gridSpan w:val="5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  <w:t>邮编</w:t>
            </w:r>
          </w:p>
        </w:tc>
        <w:tc>
          <w:tcPr>
            <w:tcW w:w="2423" w:type="dxa"/>
            <w:gridSpan w:val="4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>637631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524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  <w:t>联系人及电话</w:t>
            </w:r>
          </w:p>
        </w:tc>
        <w:tc>
          <w:tcPr>
            <w:tcW w:w="2805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18"/>
                <w:szCs w:val="18"/>
                <w:lang w:eastAsia="zh-CN"/>
              </w:rPr>
              <w:t>吴韬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 xml:space="preserve"> 18581506588</w:t>
            </w:r>
          </w:p>
        </w:tc>
        <w:tc>
          <w:tcPr>
            <w:tcW w:w="1770" w:type="dxa"/>
            <w:gridSpan w:val="5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  <w:t>联系人及电话</w:t>
            </w:r>
          </w:p>
        </w:tc>
        <w:tc>
          <w:tcPr>
            <w:tcW w:w="2423" w:type="dxa"/>
            <w:gridSpan w:val="4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>万滨侨 13118262323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1524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  <w:t>电子信箱</w:t>
            </w:r>
          </w:p>
        </w:tc>
        <w:tc>
          <w:tcPr>
            <w:tcW w:w="2805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18"/>
                <w:szCs w:val="18"/>
                <w:lang w:eastAsia="zh-CN"/>
              </w:rPr>
              <w:t>564241494@qq.com</w:t>
            </w:r>
          </w:p>
        </w:tc>
        <w:tc>
          <w:tcPr>
            <w:tcW w:w="1770" w:type="dxa"/>
            <w:gridSpan w:val="5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  <w:t>电子信箱</w:t>
            </w:r>
          </w:p>
        </w:tc>
        <w:tc>
          <w:tcPr>
            <w:tcW w:w="2423" w:type="dxa"/>
            <w:gridSpan w:val="4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1524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  <w:t>传真</w:t>
            </w:r>
          </w:p>
        </w:tc>
        <w:tc>
          <w:tcPr>
            <w:tcW w:w="2805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1770" w:type="dxa"/>
            <w:gridSpan w:val="5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  <w:t>传真</w:t>
            </w:r>
          </w:p>
        </w:tc>
        <w:tc>
          <w:tcPr>
            <w:tcW w:w="2423" w:type="dxa"/>
            <w:gridSpan w:val="4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>/</w:t>
            </w:r>
          </w:p>
        </w:tc>
      </w:tr>
    </w:tbl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F3CB81"/>
    <w:multiLevelType w:val="singleLevel"/>
    <w:tmpl w:val="71F3CB8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73A606E8"/>
    <w:multiLevelType w:val="multilevel"/>
    <w:tmpl w:val="73A606E8"/>
    <w:lvl w:ilvl="0" w:tentative="0">
      <w:start w:val="1"/>
      <w:numFmt w:val="decimal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pStyle w:val="2"/>
      <w:suff w:val="space"/>
      <w:lvlText w:val="%1.%2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suff w:val="space"/>
      <w:lvlText w:val="%1.%2.%3"/>
      <w:lvlJc w:val="left"/>
      <w:pPr>
        <w:ind w:left="0" w:firstLine="0"/>
      </w:pPr>
      <w:rPr>
        <w:rFonts w:hint="eastAsia"/>
      </w:rPr>
    </w:lvl>
    <w:lvl w:ilvl="3" w:tentative="0">
      <w:start w:val="1"/>
      <w:numFmt w:val="decimal"/>
      <w:suff w:val="space"/>
      <w:lvlText w:val="%1.%2.%3.%4"/>
      <w:lvlJc w:val="left"/>
      <w:pPr>
        <w:ind w:left="0" w:firstLine="0"/>
      </w:pPr>
      <w:rPr>
        <w:rFonts w:hint="eastAsia"/>
      </w:rPr>
    </w:lvl>
    <w:lvl w:ilvl="4" w:tentative="0">
      <w:start w:val="1"/>
      <w:numFmt w:val="decimal"/>
      <w:suff w:val="space"/>
      <w:lvlText w:val="%1.%2.%3.%4.%5"/>
      <w:lvlJc w:val="left"/>
      <w:pPr>
        <w:ind w:left="0" w:firstLine="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222F99"/>
    <w:rsid w:val="00CB4EC2"/>
    <w:rsid w:val="02721E5E"/>
    <w:rsid w:val="041F37E6"/>
    <w:rsid w:val="05A45030"/>
    <w:rsid w:val="08EF4461"/>
    <w:rsid w:val="09131AFD"/>
    <w:rsid w:val="0C8C54EB"/>
    <w:rsid w:val="11525BFB"/>
    <w:rsid w:val="16883332"/>
    <w:rsid w:val="17C010C1"/>
    <w:rsid w:val="181F1510"/>
    <w:rsid w:val="1DD52B01"/>
    <w:rsid w:val="1DF36F0E"/>
    <w:rsid w:val="1E54333C"/>
    <w:rsid w:val="1FE143BD"/>
    <w:rsid w:val="1FFA0DE3"/>
    <w:rsid w:val="21A64C17"/>
    <w:rsid w:val="220F04C1"/>
    <w:rsid w:val="22293286"/>
    <w:rsid w:val="24403EEB"/>
    <w:rsid w:val="25141D95"/>
    <w:rsid w:val="259A26B1"/>
    <w:rsid w:val="26C75E54"/>
    <w:rsid w:val="28B10AB2"/>
    <w:rsid w:val="28EC7580"/>
    <w:rsid w:val="2A6F111C"/>
    <w:rsid w:val="2C4668FD"/>
    <w:rsid w:val="2E43086E"/>
    <w:rsid w:val="2F581427"/>
    <w:rsid w:val="31F96744"/>
    <w:rsid w:val="330421B0"/>
    <w:rsid w:val="342C73A8"/>
    <w:rsid w:val="36F70403"/>
    <w:rsid w:val="3AB11CAE"/>
    <w:rsid w:val="3AB8791C"/>
    <w:rsid w:val="3DC91A2C"/>
    <w:rsid w:val="3DFD73B3"/>
    <w:rsid w:val="41F515DC"/>
    <w:rsid w:val="45F91D00"/>
    <w:rsid w:val="46E339D2"/>
    <w:rsid w:val="47AA67F6"/>
    <w:rsid w:val="4A401F41"/>
    <w:rsid w:val="4A9C5450"/>
    <w:rsid w:val="4C486702"/>
    <w:rsid w:val="4E8D0E28"/>
    <w:rsid w:val="4EAD460D"/>
    <w:rsid w:val="519B43F4"/>
    <w:rsid w:val="52AA71E9"/>
    <w:rsid w:val="53222F99"/>
    <w:rsid w:val="53B0751A"/>
    <w:rsid w:val="545A77A8"/>
    <w:rsid w:val="545D62AB"/>
    <w:rsid w:val="571667A0"/>
    <w:rsid w:val="5A897471"/>
    <w:rsid w:val="5C914F97"/>
    <w:rsid w:val="5CD570DE"/>
    <w:rsid w:val="5DE268E8"/>
    <w:rsid w:val="5EE839D0"/>
    <w:rsid w:val="60420577"/>
    <w:rsid w:val="611C7389"/>
    <w:rsid w:val="61EC4CF8"/>
    <w:rsid w:val="631364FF"/>
    <w:rsid w:val="63816D59"/>
    <w:rsid w:val="66FF4D39"/>
    <w:rsid w:val="679963AC"/>
    <w:rsid w:val="68736717"/>
    <w:rsid w:val="69CD4D48"/>
    <w:rsid w:val="6C776A44"/>
    <w:rsid w:val="70413F63"/>
    <w:rsid w:val="71F44753"/>
    <w:rsid w:val="72910E1A"/>
    <w:rsid w:val="73A933A4"/>
    <w:rsid w:val="73B46568"/>
    <w:rsid w:val="751A3050"/>
    <w:rsid w:val="75A367D4"/>
    <w:rsid w:val="76627824"/>
    <w:rsid w:val="780E2137"/>
    <w:rsid w:val="7B3B7D7D"/>
    <w:rsid w:val="7BFD329E"/>
    <w:rsid w:val="7FBF6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2"/>
    <w:basedOn w:val="1"/>
    <w:next w:val="3"/>
    <w:qFormat/>
    <w:uiPriority w:val="0"/>
    <w:pPr>
      <w:keepNext/>
      <w:keepLines/>
      <w:numPr>
        <w:ilvl w:val="1"/>
        <w:numId w:val="1"/>
      </w:numPr>
      <w:spacing w:line="360" w:lineRule="auto"/>
      <w:outlineLvl w:val="1"/>
    </w:pPr>
    <w:rPr>
      <w:rFonts w:ascii="Times New Roman" w:hAnsi="Times New Roman"/>
      <w:b/>
      <w:bCs/>
      <w:sz w:val="30"/>
      <w:szCs w:val="32"/>
      <w:lang w:val="zh-CN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unhideWhenUsed/>
    <w:qFormat/>
    <w:uiPriority w:val="0"/>
    <w:pPr>
      <w:ind w:firstLine="420" w:firstLineChars="200"/>
    </w:pPr>
    <w:rPr>
      <w:lang w:val="en-US" w:eastAsia="zh-CN" w:bidi="ar-SA"/>
    </w:rPr>
  </w:style>
  <w:style w:type="paragraph" w:styleId="4">
    <w:name w:val="Body Text"/>
    <w:basedOn w:val="1"/>
    <w:qFormat/>
    <w:uiPriority w:val="0"/>
    <w:pPr>
      <w:spacing w:after="120"/>
    </w:pPr>
  </w:style>
  <w:style w:type="paragraph" w:customStyle="1" w:styleId="7">
    <w:name w:val="Table Paragraph"/>
    <w:basedOn w:val="1"/>
    <w:qFormat/>
    <w:uiPriority w:val="1"/>
    <w:pPr>
      <w:jc w:val="center"/>
    </w:pPr>
  </w:style>
  <w:style w:type="paragraph" w:styleId="8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9">
    <w:name w:val="表格文字"/>
    <w:basedOn w:val="4"/>
    <w:next w:val="1"/>
    <w:qFormat/>
    <w:uiPriority w:val="99"/>
    <w:pPr>
      <w:tabs>
        <w:tab w:val="left" w:pos="3720"/>
      </w:tabs>
      <w:adjustRightInd w:val="0"/>
      <w:spacing w:after="0"/>
      <w:jc w:val="center"/>
      <w:textAlignment w:val="bottom"/>
    </w:pPr>
    <w:rPr>
      <w:rFonts w:ascii="Calibri" w:hAnsi="Calibri" w:eastAsia="仿宋" w:cs="Times New Roman"/>
      <w:sz w:val="21"/>
      <w:szCs w:val="20"/>
      <w:lang w:val="en-US" w:bidi="ar-SA"/>
    </w:rPr>
  </w:style>
  <w:style w:type="paragraph" w:customStyle="1" w:styleId="10">
    <w:name w:val="标准"/>
    <w:qFormat/>
    <w:uiPriority w:val="0"/>
    <w:pPr>
      <w:widowControl w:val="0"/>
      <w:spacing w:line="500" w:lineRule="exact"/>
      <w:ind w:firstLine="200" w:firstLineChars="200"/>
      <w:jc w:val="both"/>
    </w:pPr>
    <w:rPr>
      <w:rFonts w:ascii="Times New Roman" w:hAnsi="Times New Roman" w:eastAsia="仿宋" w:cs="Times New Roman"/>
      <w:kern w:val="2"/>
      <w:sz w:val="24"/>
      <w:szCs w:val="28"/>
      <w:lang w:val="en-US" w:eastAsia="zh-CN" w:bidi="ar-SA"/>
    </w:rPr>
  </w:style>
  <w:style w:type="paragraph" w:customStyle="1" w:styleId="11">
    <w:name w:val="表文"/>
    <w:basedOn w:val="1"/>
    <w:next w:val="1"/>
    <w:qFormat/>
    <w:uiPriority w:val="0"/>
    <w:pPr>
      <w:overflowPunct w:val="0"/>
      <w:topLinePunct/>
      <w:spacing w:line="320" w:lineRule="exact"/>
      <w:jc w:val="center"/>
      <w:outlineLvl w:val="6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2019-04-24T08:03:00Z</dcterms:created>
  <dc:creator>Administrator</dc:creator>
  <cp:lastModifiedBy>套牌打卤面卤子不要钱</cp:lastModifiedBy>
  <dcterms:modified xsi:type="dcterms:W3CDTF">2021-01-11T09:24:45Z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